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50DFA1FE" w:rsidR="00A8539F" w:rsidRPr="00A8539F" w:rsidRDefault="009F7701" w:rsidP="00A8539F">
      <w:pPr>
        <w:keepLines/>
        <w:tabs>
          <w:tab w:val="right" w:pos="10440"/>
          <w:tab w:val="right" w:pos="13323"/>
        </w:tabs>
        <w:spacing w:after="0"/>
        <w:rPr>
          <w:rFonts w:ascii="Arial" w:eastAsia="SimSun" w:hAnsi="Arial" w:cs="Arial"/>
          <w:b/>
          <w:sz w:val="24"/>
          <w:szCs w:val="24"/>
          <w:lang w:val="en-US" w:eastAsia="zh-CN"/>
        </w:rPr>
      </w:pPr>
      <w:r w:rsidRPr="009F7701">
        <w:rPr>
          <w:rFonts w:ascii="Arial" w:eastAsia="MS Mincho" w:hAnsi="Arial" w:cs="Arial"/>
          <w:b/>
          <w:sz w:val="24"/>
          <w:szCs w:val="24"/>
          <w:lang w:val="en-US"/>
        </w:rPr>
        <w:t>3GPP TSG-RAN WG4 Meeting # 10</w:t>
      </w:r>
      <w:r w:rsidR="00EE19A6">
        <w:rPr>
          <w:rFonts w:ascii="Arial" w:eastAsia="MS Mincho" w:hAnsi="Arial" w:cs="Arial"/>
          <w:b/>
          <w:sz w:val="24"/>
          <w:szCs w:val="24"/>
          <w:lang w:val="en-US"/>
        </w:rPr>
        <w:t>7</w:t>
      </w:r>
      <w:r w:rsidR="00A8539F" w:rsidRPr="00A8539F">
        <w:rPr>
          <w:rFonts w:ascii="Arial" w:eastAsia="MS Mincho" w:hAnsi="Arial" w:cs="Arial"/>
          <w:b/>
          <w:sz w:val="24"/>
          <w:szCs w:val="24"/>
          <w:lang w:val="en-US"/>
        </w:rPr>
        <w:tab/>
      </w:r>
      <w:r w:rsidR="00125B23" w:rsidRPr="00125B23">
        <w:rPr>
          <w:rFonts w:ascii="Arial" w:eastAsia="MS Mincho" w:hAnsi="Arial" w:cs="Arial"/>
          <w:b/>
          <w:sz w:val="24"/>
          <w:szCs w:val="24"/>
          <w:lang w:val="en-US"/>
        </w:rPr>
        <w:t>R4-2309245</w:t>
      </w:r>
    </w:p>
    <w:p w14:paraId="36A9A473" w14:textId="32A2AB97" w:rsidR="009F7701" w:rsidRDefault="00585DE9" w:rsidP="00C00E40">
      <w:pPr>
        <w:pStyle w:val="Header"/>
        <w:rPr>
          <w:rFonts w:eastAsia="MS Mincho" w:cs="Arial"/>
          <w:noProof w:val="0"/>
          <w:sz w:val="24"/>
          <w:szCs w:val="24"/>
        </w:rPr>
      </w:pPr>
      <w:r w:rsidRPr="00585DE9">
        <w:rPr>
          <w:rFonts w:eastAsia="MS Mincho" w:cs="Arial"/>
          <w:noProof w:val="0"/>
          <w:sz w:val="24"/>
          <w:szCs w:val="24"/>
        </w:rPr>
        <w:t>Incheon, KR, May 22 – May 26, 2023</w:t>
      </w:r>
    </w:p>
    <w:p w14:paraId="265DFE88" w14:textId="77777777" w:rsidR="00585DE9" w:rsidRPr="0062465A" w:rsidRDefault="00585DE9" w:rsidP="00C00E40">
      <w:pPr>
        <w:pStyle w:val="Header"/>
        <w:rPr>
          <w:b w:val="0"/>
          <w:sz w:val="28"/>
          <w:szCs w:val="22"/>
        </w:rPr>
      </w:pPr>
    </w:p>
    <w:p w14:paraId="740A512E" w14:textId="09293859"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636B2D">
        <w:rPr>
          <w:rFonts w:ascii="Arial" w:hAnsi="Arial" w:cs="Arial"/>
          <w:sz w:val="22"/>
          <w:szCs w:val="22"/>
          <w:lang w:val="sv-SE"/>
        </w:rPr>
        <w:t>8</w:t>
      </w:r>
      <w:r w:rsidR="009F7701" w:rsidRPr="0062465A">
        <w:rPr>
          <w:rFonts w:ascii="Arial" w:hAnsi="Arial" w:cs="Arial"/>
          <w:sz w:val="22"/>
          <w:szCs w:val="22"/>
          <w:lang w:val="sv-SE"/>
        </w:rPr>
        <w:t>.</w:t>
      </w:r>
      <w:r w:rsidR="00636B2D">
        <w:rPr>
          <w:rFonts w:ascii="Arial" w:hAnsi="Arial" w:cs="Arial"/>
          <w:sz w:val="22"/>
          <w:szCs w:val="22"/>
          <w:lang w:val="sv-SE"/>
        </w:rPr>
        <w:t>3</w:t>
      </w:r>
      <w:r w:rsidR="009F7701" w:rsidRPr="0062465A">
        <w:rPr>
          <w:rFonts w:ascii="Arial" w:hAnsi="Arial" w:cs="Arial"/>
          <w:sz w:val="22"/>
          <w:szCs w:val="22"/>
          <w:lang w:val="sv-SE"/>
        </w:rPr>
        <w:t>.</w:t>
      </w:r>
      <w:r w:rsidR="00636B2D">
        <w:rPr>
          <w:rFonts w:ascii="Arial" w:hAnsi="Arial" w:cs="Arial"/>
          <w:sz w:val="22"/>
          <w:szCs w:val="22"/>
          <w:lang w:val="sv-SE"/>
        </w:rPr>
        <w:t>3</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625854BF"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9F7701" w:rsidRPr="0062465A">
        <w:rPr>
          <w:rFonts w:ascii="Arial" w:hAnsi="Arial"/>
          <w:sz w:val="22"/>
          <w:szCs w:val="22"/>
        </w:rPr>
        <w:t>Discu</w:t>
      </w:r>
      <w:r w:rsidR="008E4A90" w:rsidRPr="0062465A">
        <w:rPr>
          <w:rFonts w:ascii="Arial" w:hAnsi="Arial"/>
          <w:sz w:val="22"/>
          <w:szCs w:val="22"/>
        </w:rPr>
        <w:t>s</w:t>
      </w:r>
      <w:r w:rsidR="009F7701" w:rsidRPr="0062465A">
        <w:rPr>
          <w:rFonts w:ascii="Arial" w:hAnsi="Arial"/>
          <w:sz w:val="22"/>
          <w:szCs w:val="22"/>
        </w:rPr>
        <w:t>sion o</w:t>
      </w:r>
      <w:r w:rsidR="002A20A4" w:rsidRPr="0062465A">
        <w:rPr>
          <w:rFonts w:ascii="Arial" w:hAnsi="Arial"/>
          <w:sz w:val="22"/>
          <w:szCs w:val="22"/>
        </w:rPr>
        <w:t xml:space="preserve">n </w:t>
      </w:r>
      <w:r w:rsidR="00F94F41">
        <w:rPr>
          <w:rFonts w:ascii="Arial" w:hAnsi="Arial"/>
          <w:sz w:val="22"/>
          <w:szCs w:val="22"/>
        </w:rPr>
        <w:t>RRM</w:t>
      </w:r>
      <w:r w:rsidR="00585DE9">
        <w:rPr>
          <w:rFonts w:ascii="Arial" w:hAnsi="Arial"/>
          <w:sz w:val="22"/>
          <w:szCs w:val="22"/>
        </w:rPr>
        <w:t xml:space="preserve"> </w:t>
      </w:r>
      <w:r w:rsidR="002A20A4" w:rsidRPr="0062465A">
        <w:rPr>
          <w:rFonts w:ascii="Arial" w:hAnsi="Arial"/>
          <w:sz w:val="22"/>
          <w:szCs w:val="22"/>
        </w:rPr>
        <w:t>test method for FR2 multi-Rx UE</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0E2BD921" w:rsidR="00A00E2A" w:rsidRPr="00446396" w:rsidRDefault="00D96AF3" w:rsidP="00446396">
      <w:pPr>
        <w:jc w:val="both"/>
      </w:pPr>
      <w:r w:rsidRPr="00CF0993">
        <w:t>In RAN4#10</w:t>
      </w:r>
      <w:r w:rsidR="009F7701" w:rsidRPr="00CF0993">
        <w:t>6</w:t>
      </w:r>
      <w:r w:rsidR="00956DF3">
        <w:t xml:space="preserve"> bis-e</w:t>
      </w:r>
      <w:r w:rsidRPr="00CF0993">
        <w:t>, the test methods for FR2 multi</w:t>
      </w:r>
      <w:r w:rsidRPr="00CF0993">
        <w:rPr>
          <w:rFonts w:hint="eastAsia"/>
          <w:lang w:eastAsia="zh-CN"/>
        </w:rPr>
        <w:t>-Rx</w:t>
      </w:r>
      <w:r w:rsidRPr="00CF0993">
        <w:t xml:space="preserve"> UE were discussed and the WF was approved in [1]. In this meeting, we provide our </w:t>
      </w:r>
      <w:r w:rsidR="009F7701" w:rsidRPr="00CF0993">
        <w:t>views</w:t>
      </w:r>
      <w:r w:rsidRPr="00CF0993">
        <w:t xml:space="preserve"> on the test method for </w:t>
      </w:r>
      <w:r w:rsidR="00796E5C" w:rsidRPr="00CF0993">
        <w:t xml:space="preserve">UE </w:t>
      </w:r>
      <w:r w:rsidR="00F94F41">
        <w:t>RRM</w:t>
      </w:r>
      <w:r w:rsidRPr="00CF0993">
        <w:t xml:space="preserve">. </w:t>
      </w:r>
      <w:r w:rsidR="002A36F2" w:rsidRPr="0060798E">
        <w:rPr>
          <w:b/>
          <w:bCs/>
          <w:lang w:val="en-US"/>
        </w:rPr>
        <w:t xml:space="preserve">                              </w:t>
      </w:r>
    </w:p>
    <w:p w14:paraId="2BC331C3" w14:textId="482D3B16" w:rsidR="009D67FE" w:rsidRDefault="00953A5E" w:rsidP="009D67FE">
      <w:pPr>
        <w:pStyle w:val="Heading1"/>
        <w:rPr>
          <w:lang w:val="en-US"/>
        </w:rPr>
      </w:pPr>
      <w:r>
        <w:rPr>
          <w:lang w:val="en-US"/>
        </w:rPr>
        <w:t>Discussion</w:t>
      </w:r>
    </w:p>
    <w:p w14:paraId="6F3F9FE9" w14:textId="16CFD62E" w:rsidR="00B348D3" w:rsidRPr="004C69F8" w:rsidRDefault="00083F57" w:rsidP="004C69F8">
      <w:pPr>
        <w:pStyle w:val="Heading2"/>
        <w:rPr>
          <w:lang w:val="en-US"/>
        </w:rPr>
      </w:pPr>
      <w:r>
        <w:rPr>
          <w:lang w:val="en-US"/>
        </w:rPr>
        <w:t xml:space="preserve">SINR control </w:t>
      </w:r>
    </w:p>
    <w:p w14:paraId="3082EBD8" w14:textId="72363F05" w:rsidR="007D2F7B" w:rsidRDefault="00377861" w:rsidP="005F7AFE">
      <w:pPr>
        <w:jc w:val="both"/>
        <w:rPr>
          <w:lang w:val="en-US"/>
        </w:rPr>
      </w:pPr>
      <w:r>
        <w:rPr>
          <w:lang w:val="en-US"/>
        </w:rPr>
        <w:t xml:space="preserve">In RAN4#106bis-e, </w:t>
      </w:r>
      <w:r w:rsidR="007D2F7B">
        <w:rPr>
          <w:lang w:val="en-US"/>
        </w:rPr>
        <w:t xml:space="preserve">option 1 was agreed as the starting point </w:t>
      </w:r>
      <w:r w:rsidR="00585252">
        <w:rPr>
          <w:lang w:val="en-US"/>
        </w:rPr>
        <w:t xml:space="preserve">to further discuss SINR </w:t>
      </w:r>
      <w:r w:rsidR="004E5355">
        <w:rPr>
          <w:lang w:val="en-US"/>
        </w:rPr>
        <w:t xml:space="preserve">control for </w:t>
      </w:r>
      <w:r w:rsidR="00D77C7D" w:rsidRPr="00D77C7D">
        <w:rPr>
          <w:lang w:val="en-US"/>
        </w:rPr>
        <w:t xml:space="preserve">multi-DCI with overlapping scheme </w:t>
      </w:r>
      <w:r w:rsidR="00D77C7D">
        <w:rPr>
          <w:lang w:val="en-US"/>
        </w:rPr>
        <w:t xml:space="preserve">in </w:t>
      </w:r>
      <w:r w:rsidR="004E5355">
        <w:rPr>
          <w:lang w:val="en-US"/>
        </w:rPr>
        <w:t xml:space="preserve">multi-Rx RRM </w:t>
      </w:r>
      <w:r w:rsidR="00D77C7D">
        <w:rPr>
          <w:lang w:val="en-US"/>
        </w:rPr>
        <w:t>testing</w:t>
      </w:r>
      <w:r w:rsidR="004E5355">
        <w:rPr>
          <w:lang w:val="en-US"/>
        </w:rPr>
        <w:t>.</w:t>
      </w:r>
    </w:p>
    <w:tbl>
      <w:tblPr>
        <w:tblStyle w:val="TableGrid"/>
        <w:tblW w:w="0" w:type="auto"/>
        <w:tblLook w:val="04A0" w:firstRow="1" w:lastRow="0" w:firstColumn="1" w:lastColumn="0" w:noHBand="0" w:noVBand="1"/>
      </w:tblPr>
      <w:tblGrid>
        <w:gridCol w:w="9621"/>
      </w:tblGrid>
      <w:tr w:rsidR="007D2F7B" w14:paraId="5AB0619C" w14:textId="77777777" w:rsidTr="007D2F7B">
        <w:tc>
          <w:tcPr>
            <w:tcW w:w="9621" w:type="dxa"/>
          </w:tcPr>
          <w:p w14:paraId="3B9D90C3" w14:textId="77777777" w:rsidR="007D2F7B" w:rsidRPr="00924F47" w:rsidRDefault="007D2F7B" w:rsidP="007D2F7B">
            <w:pPr>
              <w:rPr>
                <w:b/>
                <w:color w:val="000000" w:themeColor="text1"/>
                <w:u w:val="single"/>
                <w:lang w:eastAsia="ko-KR"/>
              </w:rPr>
            </w:pPr>
            <w:r w:rsidRPr="00924F47">
              <w:rPr>
                <w:b/>
                <w:color w:val="000000" w:themeColor="text1"/>
                <w:u w:val="single"/>
                <w:lang w:eastAsia="ko-KR"/>
              </w:rPr>
              <w:t xml:space="preserve">Issue 2-1-1: SINR control for multi-DCI with overlapping scheme </w:t>
            </w:r>
          </w:p>
          <w:p w14:paraId="26C762AE" w14:textId="77777777" w:rsidR="007D2F7B" w:rsidRPr="00924F47" w:rsidRDefault="007D2F7B" w:rsidP="007D2F7B">
            <w:pPr>
              <w:pStyle w:val="ListParagraph"/>
              <w:numPr>
                <w:ilvl w:val="0"/>
                <w:numId w:val="22"/>
              </w:numPr>
              <w:overflowPunct/>
              <w:autoSpaceDE/>
              <w:autoSpaceDN/>
              <w:adjustRightInd/>
              <w:spacing w:after="120"/>
              <w:ind w:left="72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4A217EE2" w14:textId="77777777" w:rsidR="007D2F7B" w:rsidRPr="00924F47" w:rsidRDefault="007D2F7B" w:rsidP="007D2F7B">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Option 1 (Qualcomm): RAN4 to consider equation (1) and (2) as the baseline to control the SINR for multi-Rx with overlapping scheme. Where S1 and S2 are signal level for probe 1 and probe 2 respectively. G1 and G2 are the antenna gain for probe 1 and probe 2 respectively. And further discuss and decide the range of G1/G2</w:t>
            </w:r>
          </w:p>
          <w:p w14:paraId="020D7D7F" w14:textId="77777777" w:rsidR="007D2F7B" w:rsidRPr="00924F47" w:rsidRDefault="007D2F7B" w:rsidP="007D2F7B">
            <w:pPr>
              <w:pStyle w:val="ListParagraph"/>
              <w:numPr>
                <w:ilvl w:val="2"/>
                <w:numId w:val="22"/>
              </w:numPr>
              <w:overflowPunct/>
              <w:autoSpaceDE/>
              <w:autoSpaceDN/>
              <w:adjustRightInd/>
              <w:spacing w:after="12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Mode 1 (SNR emulation): Test system transmits useful signals (S) and noise signals (N) to emulate target SNR condition.</w:t>
            </w:r>
          </w:p>
          <w:p w14:paraId="5A9418FF" w14:textId="77777777" w:rsidR="007D2F7B" w:rsidRPr="00924F47" w:rsidRDefault="007D2F7B" w:rsidP="007D2F7B">
            <w:pPr>
              <w:jc w:val="right"/>
              <w:rPr>
                <w:color w:val="000000" w:themeColor="text1"/>
                <w:lang w:val="en-US"/>
              </w:rPr>
            </w:pPr>
            <w:r w:rsidRPr="00924F47">
              <w:rPr>
                <w:noProof/>
                <w:color w:val="000000" w:themeColor="text1"/>
                <w:lang w:val="en-US" w:eastAsia="zh-CN"/>
              </w:rPr>
              <w:drawing>
                <wp:inline distT="0" distB="0" distL="0" distR="0" wp14:anchorId="627FD403" wp14:editId="5CF5690E">
                  <wp:extent cx="4178300" cy="412750"/>
                  <wp:effectExtent l="0" t="0" r="0" b="6350"/>
                  <wp:docPr id="10" name="Picture 10">
                    <a:extLst xmlns:a="http://schemas.openxmlformats.org/drawingml/2006/main">
                      <a:ext uri="{FF2B5EF4-FFF2-40B4-BE49-F238E27FC236}">
                        <a16:creationId xmlns:a16="http://schemas.microsoft.com/office/drawing/2014/main" id="{4B23683E-0BE6-424D-AA92-7A1C581F4A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4B23683E-0BE6-424D-AA92-7A1C581F4AE3}"/>
                              </a:ext>
                            </a:extLst>
                          </pic:cNvPr>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7830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924F47">
              <w:rPr>
                <w:color w:val="000000" w:themeColor="text1"/>
                <w:lang w:val="en-US"/>
              </w:rPr>
              <w:t xml:space="preserve">                      (1)</w:t>
            </w:r>
          </w:p>
          <w:p w14:paraId="7E8FE0C0" w14:textId="77777777" w:rsidR="007D2F7B" w:rsidRPr="00924F47" w:rsidRDefault="007D2F7B" w:rsidP="007D2F7B">
            <w:pPr>
              <w:pStyle w:val="ListParagraph"/>
              <w:numPr>
                <w:ilvl w:val="2"/>
                <w:numId w:val="22"/>
              </w:numPr>
              <w:overflowPunct/>
              <w:autoSpaceDE/>
              <w:autoSpaceDN/>
              <w:adjustRightInd/>
              <w:spacing w:after="12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Mode 2 (noise-free transmission): Test system transmits only useful signals (S).</w:t>
            </w:r>
          </w:p>
          <w:p w14:paraId="70AE2F17" w14:textId="77777777" w:rsidR="007D2F7B" w:rsidRPr="00924F47" w:rsidRDefault="00BC31D6" w:rsidP="007D2F7B">
            <w:pPr>
              <w:jc w:val="right"/>
              <w:rPr>
                <w:color w:val="000000" w:themeColor="text1"/>
                <w:lang w:val="en-US"/>
              </w:rPr>
            </w:pPr>
            <m:oMath>
              <m:sSub>
                <m:sSubPr>
                  <m:ctrlPr>
                    <w:rPr>
                      <w:rFonts w:ascii="Cambria Math" w:hAnsi="Cambria Math"/>
                      <w:i/>
                      <w:color w:val="000000" w:themeColor="text1"/>
                      <w:lang w:val="en-US"/>
                    </w:rPr>
                  </m:ctrlPr>
                </m:sSubPr>
                <m:e>
                  <m:r>
                    <w:rPr>
                      <w:rFonts w:ascii="Cambria Math" w:hAnsi="Cambria Math"/>
                      <w:color w:val="000000" w:themeColor="text1"/>
                      <w:lang w:val="en-US"/>
                    </w:rPr>
                    <m:t>SINR1</m:t>
                  </m:r>
                </m:e>
                <m:sub>
                  <m:r>
                    <w:rPr>
                      <w:rFonts w:ascii="Cambria Math" w:hAnsi="Cambria Math"/>
                      <w:color w:val="000000" w:themeColor="text1"/>
                      <w:lang w:val="en-US"/>
                    </w:rPr>
                    <m:t>BB</m:t>
                  </m:r>
                </m:sub>
              </m:sSub>
              <m:r>
                <w:rPr>
                  <w:rFonts w:ascii="Cambria Math" w:hAnsi="Cambria Math"/>
                  <w:color w:val="000000" w:themeColor="text1"/>
                  <w:lang w:val="en-US"/>
                </w:rPr>
                <m:t>≈</m:t>
              </m:r>
              <m:f>
                <m:fPr>
                  <m:ctrlPr>
                    <w:rPr>
                      <w:rFonts w:ascii="Cambria Math" w:hAnsi="Cambria Math"/>
                      <w:i/>
                      <w:color w:val="000000" w:themeColor="text1"/>
                      <w:lang w:val="en-US"/>
                    </w:rPr>
                  </m:ctrlPr>
                </m:fPr>
                <m:num>
                  <m:r>
                    <w:rPr>
                      <w:rFonts w:ascii="Cambria Math" w:hAnsi="Cambria Math"/>
                      <w:color w:val="000000" w:themeColor="text1"/>
                      <w:lang w:val="en-US"/>
                    </w:rPr>
                    <m:t>S1</m:t>
                  </m:r>
                </m:num>
                <m:den>
                  <m:r>
                    <w:rPr>
                      <w:rFonts w:ascii="Cambria Math" w:hAnsi="Cambria Math"/>
                      <w:color w:val="000000" w:themeColor="text1"/>
                      <w:lang w:val="en-US"/>
                    </w:rPr>
                    <m:t>S2*G2/G1</m:t>
                  </m:r>
                </m:den>
              </m:f>
            </m:oMath>
            <w:r w:rsidR="007D2F7B" w:rsidRPr="00924F47">
              <w:rPr>
                <w:color w:val="000000" w:themeColor="text1"/>
                <w:lang w:val="en-US"/>
              </w:rPr>
              <w:t xml:space="preserve">                                                                                 (2)</w:t>
            </w:r>
          </w:p>
          <w:p w14:paraId="6551839C" w14:textId="77777777" w:rsidR="007D2F7B" w:rsidRPr="00924F47" w:rsidRDefault="007D2F7B" w:rsidP="007D2F7B">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Option 2: Specify other option if any.</w:t>
            </w:r>
          </w:p>
          <w:p w14:paraId="0332D410" w14:textId="77777777" w:rsidR="007D2F7B" w:rsidRPr="00772C3F" w:rsidRDefault="007D2F7B" w:rsidP="007D2F7B">
            <w:pPr>
              <w:pStyle w:val="ListParagraph"/>
              <w:numPr>
                <w:ilvl w:val="0"/>
                <w:numId w:val="22"/>
              </w:numPr>
              <w:overflowPunct/>
              <w:autoSpaceDE/>
              <w:autoSpaceDN/>
              <w:adjustRightInd/>
              <w:spacing w:after="120"/>
              <w:ind w:left="720"/>
              <w:contextualSpacing w:val="0"/>
              <w:textAlignment w:val="auto"/>
              <w:rPr>
                <w:rFonts w:eastAsia="SimSun"/>
                <w:color w:val="000000" w:themeColor="text1"/>
                <w:szCs w:val="24"/>
                <w:lang w:eastAsia="zh-CN"/>
              </w:rPr>
            </w:pPr>
            <w:r w:rsidRPr="00772C3F">
              <w:rPr>
                <w:rFonts w:eastAsia="SimSun"/>
                <w:color w:val="000000" w:themeColor="text1"/>
                <w:szCs w:val="24"/>
                <w:lang w:eastAsia="zh-CN"/>
              </w:rPr>
              <w:t>Agreement</w:t>
            </w:r>
          </w:p>
          <w:p w14:paraId="09ECC0E2" w14:textId="731B4253" w:rsidR="007D2F7B" w:rsidRPr="00D77C7D" w:rsidRDefault="007D2F7B" w:rsidP="00D77C7D">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772C3F">
              <w:rPr>
                <w:rFonts w:eastAsia="SimSun"/>
                <w:color w:val="000000" w:themeColor="text1"/>
                <w:szCs w:val="24"/>
                <w:lang w:eastAsia="zh-CN"/>
              </w:rPr>
              <w:t xml:space="preserve">Option 1 as starting point depending on the progress on RRM session discussion </w:t>
            </w:r>
          </w:p>
        </w:tc>
      </w:tr>
    </w:tbl>
    <w:p w14:paraId="44E01AB5" w14:textId="77777777" w:rsidR="007D2F7B" w:rsidRDefault="007D2F7B" w:rsidP="005F7AFE">
      <w:pPr>
        <w:jc w:val="both"/>
        <w:rPr>
          <w:lang w:val="en-US"/>
        </w:rPr>
      </w:pPr>
    </w:p>
    <w:p w14:paraId="77A8DBC5" w14:textId="0B2719EC" w:rsidR="00D77C7D" w:rsidRDefault="00C5023D" w:rsidP="005F7AFE">
      <w:pPr>
        <w:jc w:val="both"/>
        <w:rPr>
          <w:lang w:val="en-US"/>
        </w:rPr>
      </w:pPr>
      <w:r>
        <w:rPr>
          <w:lang w:val="en-US"/>
        </w:rPr>
        <w:t xml:space="preserve">As shown </w:t>
      </w:r>
      <w:r w:rsidR="00821444">
        <w:rPr>
          <w:lang w:val="en-US"/>
        </w:rPr>
        <w:t xml:space="preserve">in </w:t>
      </w:r>
      <w:r w:rsidR="009925C1">
        <w:rPr>
          <w:lang w:val="en-US"/>
        </w:rPr>
        <w:t>equations</w:t>
      </w:r>
      <w:r w:rsidR="00821444">
        <w:rPr>
          <w:lang w:val="en-US"/>
        </w:rPr>
        <w:t xml:space="preserve"> (1) and (2), </w:t>
      </w:r>
      <w:r w:rsidR="00C9142A">
        <w:rPr>
          <w:lang w:val="en-US"/>
        </w:rPr>
        <w:t xml:space="preserve">the key </w:t>
      </w:r>
      <w:r w:rsidR="008D17C5">
        <w:rPr>
          <w:lang w:val="en-US"/>
        </w:rPr>
        <w:t xml:space="preserve">parameter affecting the </w:t>
      </w:r>
      <w:r w:rsidR="009817FD">
        <w:rPr>
          <w:lang w:val="en-US"/>
        </w:rPr>
        <w:t xml:space="preserve">SINR at </w:t>
      </w:r>
      <w:r w:rsidR="009925C1">
        <w:rPr>
          <w:lang w:val="en-US"/>
        </w:rPr>
        <w:t xml:space="preserve">the </w:t>
      </w:r>
      <w:r w:rsidR="009817FD">
        <w:rPr>
          <w:lang w:val="en-US"/>
        </w:rPr>
        <w:t xml:space="preserve">baseband </w:t>
      </w:r>
      <w:r w:rsidR="0010380D">
        <w:rPr>
          <w:lang w:val="en-US"/>
        </w:rPr>
        <w:t>is G1/G2</w:t>
      </w:r>
      <w:r w:rsidR="0025594B">
        <w:rPr>
          <w:lang w:val="en-US"/>
        </w:rPr>
        <w:t xml:space="preserve">. </w:t>
      </w:r>
      <w:r w:rsidR="00E4389A">
        <w:rPr>
          <w:lang w:val="en-US"/>
        </w:rPr>
        <w:t xml:space="preserve">The value of G1/G2 </w:t>
      </w:r>
      <w:r w:rsidR="006D2B9C">
        <w:rPr>
          <w:lang w:val="en-US"/>
        </w:rPr>
        <w:t>depends o</w:t>
      </w:r>
      <w:r w:rsidR="007F558B">
        <w:rPr>
          <w:lang w:val="en-US"/>
        </w:rPr>
        <w:t xml:space="preserve">n </w:t>
      </w:r>
      <w:r w:rsidR="006B0820">
        <w:rPr>
          <w:lang w:val="en-US"/>
        </w:rPr>
        <w:t>UE implementation</w:t>
      </w:r>
      <w:r w:rsidR="00FC737F">
        <w:rPr>
          <w:lang w:val="en-US"/>
        </w:rPr>
        <w:t xml:space="preserve">, </w:t>
      </w:r>
      <w:proofErr w:type="spellStart"/>
      <w:r w:rsidR="004B0455">
        <w:rPr>
          <w:lang w:val="en-US"/>
        </w:rPr>
        <w:t>AoA</w:t>
      </w:r>
      <w:proofErr w:type="spellEnd"/>
      <w:r w:rsidR="004B0455">
        <w:rPr>
          <w:lang w:val="en-US"/>
        </w:rPr>
        <w:t xml:space="preserve"> separation, </w:t>
      </w:r>
      <w:r w:rsidR="00396053">
        <w:rPr>
          <w:lang w:val="en-US"/>
        </w:rPr>
        <w:t xml:space="preserve">and the relative </w:t>
      </w:r>
      <w:r w:rsidR="00654B92">
        <w:rPr>
          <w:lang w:val="en-US"/>
        </w:rPr>
        <w:t>position</w:t>
      </w:r>
      <w:r w:rsidR="00ED301A">
        <w:rPr>
          <w:lang w:val="en-US"/>
        </w:rPr>
        <w:t xml:space="preserve"> between </w:t>
      </w:r>
      <w:r w:rsidR="00CA7F51">
        <w:rPr>
          <w:lang w:val="en-US"/>
        </w:rPr>
        <w:t xml:space="preserve">the </w:t>
      </w:r>
      <w:r w:rsidR="000425D4">
        <w:rPr>
          <w:lang w:val="en-US"/>
        </w:rPr>
        <w:t>probe and UE or</w:t>
      </w:r>
      <w:r w:rsidR="0087084D">
        <w:rPr>
          <w:lang w:val="en-US"/>
        </w:rPr>
        <w:t xml:space="preserve">ientation. </w:t>
      </w:r>
      <w:r w:rsidR="006A18E7">
        <w:rPr>
          <w:lang w:val="en-US"/>
        </w:rPr>
        <w:t xml:space="preserve">Therefore, it is not possible to obtain the exact G1/G2 value for multi-Rx RRM testing. </w:t>
      </w:r>
      <w:r w:rsidR="00F96980">
        <w:rPr>
          <w:lang w:val="en-US"/>
        </w:rPr>
        <w:t xml:space="preserve">But we can decide the lower bound of G1/G2 </w:t>
      </w:r>
      <w:r w:rsidR="00EF2C7F">
        <w:rPr>
          <w:lang w:val="en-US"/>
        </w:rPr>
        <w:t xml:space="preserve">which can be used to derive the lower bound of SINR </w:t>
      </w:r>
      <w:r w:rsidR="005E390F">
        <w:rPr>
          <w:lang w:val="en-US"/>
        </w:rPr>
        <w:t>at the baseband.</w:t>
      </w:r>
      <w:r w:rsidR="004D43BF">
        <w:rPr>
          <w:lang w:val="en-US"/>
        </w:rPr>
        <w:t xml:space="preserve"> There are two cases when </w:t>
      </w:r>
      <w:r w:rsidR="002A68F5">
        <w:rPr>
          <w:lang w:val="en-US"/>
        </w:rPr>
        <w:t>deriving</w:t>
      </w:r>
      <w:r w:rsidR="004D43BF">
        <w:rPr>
          <w:lang w:val="en-US"/>
        </w:rPr>
        <w:t xml:space="preserve"> the lower bound of </w:t>
      </w:r>
      <w:r w:rsidR="002A68F5">
        <w:rPr>
          <w:lang w:val="en-US"/>
        </w:rPr>
        <w:t>G1/G2.</w:t>
      </w:r>
    </w:p>
    <w:p w14:paraId="001B1142" w14:textId="52E6F130" w:rsidR="002A68F5" w:rsidRDefault="002A68F5" w:rsidP="002A68F5">
      <w:pPr>
        <w:pStyle w:val="ListParagraph"/>
        <w:numPr>
          <w:ilvl w:val="0"/>
          <w:numId w:val="37"/>
        </w:numPr>
        <w:jc w:val="both"/>
        <w:rPr>
          <w:lang w:val="en-US"/>
        </w:rPr>
      </w:pPr>
      <w:r>
        <w:rPr>
          <w:lang w:val="en-US"/>
        </w:rPr>
        <w:t xml:space="preserve">Case 1: </w:t>
      </w:r>
      <w:r w:rsidR="009217A0">
        <w:rPr>
          <w:lang w:val="en-US"/>
        </w:rPr>
        <w:t>The beams from AoA1 and AoA2 are fine beam</w:t>
      </w:r>
    </w:p>
    <w:p w14:paraId="52F699CE" w14:textId="7858EB93" w:rsidR="009217A0" w:rsidRPr="009217A0" w:rsidRDefault="002371E4" w:rsidP="009217A0">
      <w:pPr>
        <w:jc w:val="both"/>
        <w:rPr>
          <w:lang w:val="en-US"/>
        </w:rPr>
      </w:pPr>
      <w:r>
        <w:rPr>
          <w:lang w:val="en-US"/>
        </w:rPr>
        <w:t xml:space="preserve">Figure 1 provides the illustration of antenna gain for Probe #1 and </w:t>
      </w:r>
      <w:r w:rsidR="00F73D3D">
        <w:rPr>
          <w:lang w:val="en-US"/>
        </w:rPr>
        <w:t>Probe #2</w:t>
      </w:r>
      <w:r w:rsidR="005E3BFD">
        <w:rPr>
          <w:lang w:val="en-US"/>
        </w:rPr>
        <w:t xml:space="preserve"> where G_UE_P1 and G_UE_P2 indicate the antenna </w:t>
      </w:r>
      <w:r w:rsidR="008375BC">
        <w:rPr>
          <w:lang w:val="en-US"/>
        </w:rPr>
        <w:t>gain from AoA1 and AoA2 respectively.</w:t>
      </w:r>
    </w:p>
    <w:p w14:paraId="454E084F" w14:textId="6BCE104D" w:rsidR="00573E09" w:rsidRDefault="00CF5DEA" w:rsidP="0068541C">
      <w:pPr>
        <w:jc w:val="center"/>
      </w:pPr>
      <w:r>
        <w:object w:dxaOrig="7656" w:dyaOrig="3517" w14:anchorId="5BCA6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8pt;height:106pt" o:ole="">
            <v:imagedata r:id="rId12" o:title=""/>
          </v:shape>
          <o:OLEObject Type="Embed" ProgID="Visio.Drawing.15" ShapeID="_x0000_i1025" DrawAspect="Content" ObjectID="_1745697480" r:id="rId13"/>
        </w:object>
      </w:r>
    </w:p>
    <w:p w14:paraId="7DD43190" w14:textId="0F77B172" w:rsidR="00A62615" w:rsidRDefault="00A62615" w:rsidP="0068541C">
      <w:pPr>
        <w:jc w:val="center"/>
      </w:pPr>
      <w:r>
        <w:t>Figure 1: Antenna gain for P1 and P2 with fine beam</w:t>
      </w:r>
    </w:p>
    <w:p w14:paraId="29D717A0" w14:textId="59802ED4" w:rsidR="008375BC" w:rsidRDefault="008375BC" w:rsidP="00D254E7">
      <w:pPr>
        <w:jc w:val="both"/>
      </w:pPr>
      <w:r>
        <w:t>With fine beam</w:t>
      </w:r>
      <w:r w:rsidR="00F45FC1">
        <w:t>s from AoA1 and AoA2</w:t>
      </w:r>
      <w:r>
        <w:t xml:space="preserve">, the </w:t>
      </w:r>
      <w:r w:rsidR="00A60DD7">
        <w:t xml:space="preserve">lower bound of G1/G2 </w:t>
      </w:r>
      <w:r w:rsidR="00F45FC1">
        <w:t xml:space="preserve">can be derived </w:t>
      </w:r>
      <w:r w:rsidR="00992593">
        <w:t>based on</w:t>
      </w:r>
      <w:r w:rsidR="00A60DD7">
        <w:t xml:space="preserve"> the case when AoA1 is from beam peak direction and </w:t>
      </w:r>
      <w:r w:rsidR="00C54D63">
        <w:t xml:space="preserve">AoA2 is from the direction at 50% </w:t>
      </w:r>
      <w:r w:rsidR="007C1485">
        <w:t>of legacy EIS</w:t>
      </w:r>
      <w:r w:rsidR="004237B1">
        <w:t xml:space="preserve"> spherical coverage CDF</w:t>
      </w:r>
      <w:r w:rsidR="00D254E7">
        <w:t>, and vice versa</w:t>
      </w:r>
      <w:r w:rsidR="00992593">
        <w:t xml:space="preserve">. </w:t>
      </w:r>
    </w:p>
    <w:p w14:paraId="21A740A7" w14:textId="77777777" w:rsidR="00A71955" w:rsidRPr="00A71955" w:rsidRDefault="00A71955" w:rsidP="00A71955">
      <w:pPr>
        <w:jc w:val="both"/>
        <w:rPr>
          <w:b/>
          <w:bCs/>
        </w:rPr>
      </w:pPr>
      <w:r w:rsidRPr="00A71955">
        <w:rPr>
          <w:b/>
          <w:bCs/>
        </w:rPr>
        <w:t xml:space="preserve">Observation 1: With fine beams from AoA1 and AoA2, the lower bound of G1/G2 can be derived based on the case when AoA1 is from beam peak direction and AoA2 is from the direction at 50% of legacy EIS spherical coverage CDF, and vice versa. </w:t>
      </w:r>
    </w:p>
    <w:p w14:paraId="6EAECF0F" w14:textId="7384B06E" w:rsidR="00A71955" w:rsidRPr="00CB4D59" w:rsidRDefault="00CB4D59" w:rsidP="00D254E7">
      <w:pPr>
        <w:jc w:val="both"/>
        <w:rPr>
          <w:b/>
          <w:bCs/>
        </w:rPr>
      </w:pPr>
      <w:r w:rsidRPr="00CB4D59">
        <w:rPr>
          <w:b/>
          <w:bCs/>
        </w:rPr>
        <w:t xml:space="preserve">Proposal 1: </w:t>
      </w:r>
      <w:r w:rsidR="000636F3">
        <w:rPr>
          <w:b/>
          <w:bCs/>
        </w:rPr>
        <w:t>For fine beam, t</w:t>
      </w:r>
      <w:r>
        <w:rPr>
          <w:b/>
          <w:bCs/>
        </w:rPr>
        <w:t xml:space="preserve">he lower bound of G1/G2 is </w:t>
      </w:r>
      <w:r w:rsidR="00DC4EE6">
        <w:rPr>
          <w:b/>
          <w:bCs/>
        </w:rPr>
        <w:t xml:space="preserve">the gain </w:t>
      </w:r>
      <w:r w:rsidR="00D8634F">
        <w:rPr>
          <w:b/>
          <w:bCs/>
        </w:rPr>
        <w:t>different</w:t>
      </w:r>
      <w:r w:rsidR="00DC4EE6">
        <w:rPr>
          <w:b/>
          <w:bCs/>
        </w:rPr>
        <w:t xml:space="preserve"> from legacy REFSENS and </w:t>
      </w:r>
      <w:r w:rsidR="00A376E5">
        <w:rPr>
          <w:b/>
          <w:bCs/>
        </w:rPr>
        <w:t xml:space="preserve">legacy EIS spherical coverage. </w:t>
      </w:r>
    </w:p>
    <w:p w14:paraId="56666665" w14:textId="2CFE02F0" w:rsidR="00D50D9C" w:rsidRDefault="00D50D9C" w:rsidP="00D50D9C">
      <w:pPr>
        <w:pStyle w:val="ListParagraph"/>
        <w:numPr>
          <w:ilvl w:val="0"/>
          <w:numId w:val="37"/>
        </w:numPr>
        <w:jc w:val="both"/>
        <w:rPr>
          <w:lang w:val="en-US"/>
        </w:rPr>
      </w:pPr>
      <w:r>
        <w:rPr>
          <w:lang w:val="en-US"/>
        </w:rPr>
        <w:t>Case 2: The beams from AoA1 and AoA2 are rough beam</w:t>
      </w:r>
    </w:p>
    <w:p w14:paraId="6FDC35E3" w14:textId="587273A3" w:rsidR="008375BC" w:rsidRDefault="00D67013" w:rsidP="008375BC">
      <w:r>
        <w:rPr>
          <w:lang w:val="en-US"/>
        </w:rPr>
        <w:t xml:space="preserve">With rough beams from </w:t>
      </w:r>
      <w:r>
        <w:t xml:space="preserve">AoA1 and AoA2, it is obvious that the </w:t>
      </w:r>
      <w:r w:rsidR="00AC49FB">
        <w:t xml:space="preserve">lower bound of G1/G2 </w:t>
      </w:r>
      <w:r w:rsidR="00D85A1D">
        <w:t>should be sma</w:t>
      </w:r>
      <w:r w:rsidR="0025709E">
        <w:t xml:space="preserve">ller than that for fine beam due to the gain difference between </w:t>
      </w:r>
      <w:r w:rsidR="001C7241">
        <w:t>fine</w:t>
      </w:r>
      <w:r w:rsidR="0025709E">
        <w:t xml:space="preserve"> and rough Rx </w:t>
      </w:r>
      <w:r w:rsidR="001C7241">
        <w:t>beams</w:t>
      </w:r>
      <w:r w:rsidR="0025709E">
        <w:t>.</w:t>
      </w:r>
    </w:p>
    <w:p w14:paraId="52AD1323" w14:textId="5303C9F2" w:rsidR="00F668E1" w:rsidRDefault="001E0891" w:rsidP="00F668E1">
      <w:pPr>
        <w:jc w:val="center"/>
      </w:pPr>
      <w:r>
        <w:object w:dxaOrig="7656" w:dyaOrig="3517" w14:anchorId="520FCCBC">
          <v:shape id="_x0000_i1026" type="#_x0000_t75" style="width:238.8pt;height:110.4pt" o:ole="">
            <v:imagedata r:id="rId14" o:title=""/>
          </v:shape>
          <o:OLEObject Type="Embed" ProgID="Visio.Drawing.15" ShapeID="_x0000_i1026" DrawAspect="Content" ObjectID="_1745697481" r:id="rId15"/>
        </w:object>
      </w:r>
    </w:p>
    <w:p w14:paraId="4FDCFCFA" w14:textId="44902259" w:rsidR="00F668E1" w:rsidRDefault="00F668E1" w:rsidP="00F66065">
      <w:pPr>
        <w:jc w:val="center"/>
      </w:pPr>
      <w:r>
        <w:t xml:space="preserve">Figure </w:t>
      </w:r>
      <w:r w:rsidR="00F66065">
        <w:t>2</w:t>
      </w:r>
      <w:r>
        <w:t xml:space="preserve">: Antenna gain for P1 and P2 with </w:t>
      </w:r>
      <w:r w:rsidR="00F66065">
        <w:t>rough</w:t>
      </w:r>
      <w:r>
        <w:t xml:space="preserve"> beam</w:t>
      </w:r>
    </w:p>
    <w:p w14:paraId="40FD7D32" w14:textId="1EB282F7" w:rsidR="001C7241" w:rsidRPr="00F66065" w:rsidRDefault="00436E26" w:rsidP="00F66065">
      <w:pPr>
        <w:jc w:val="both"/>
        <w:rPr>
          <w:b/>
          <w:bCs/>
        </w:rPr>
      </w:pPr>
      <w:r>
        <w:rPr>
          <w:b/>
          <w:bCs/>
        </w:rPr>
        <w:t>Proposal 2: For rough beam</w:t>
      </w:r>
      <w:r w:rsidR="00FF546D">
        <w:rPr>
          <w:b/>
          <w:bCs/>
        </w:rPr>
        <w:t xml:space="preserve">, the lower bound of G1/G2 is smaller than that for fine beam. FFS on the difference </w:t>
      </w:r>
      <w:r w:rsidR="00F668E1">
        <w:rPr>
          <w:b/>
          <w:bCs/>
        </w:rPr>
        <w:t xml:space="preserve">of </w:t>
      </w:r>
      <w:r w:rsidR="007F75AE">
        <w:rPr>
          <w:b/>
          <w:bCs/>
        </w:rPr>
        <w:t xml:space="preserve">lower bound of </w:t>
      </w:r>
      <w:r w:rsidR="00F668E1">
        <w:rPr>
          <w:b/>
          <w:bCs/>
        </w:rPr>
        <w:t>G1/G2 between fine and rough beams.</w:t>
      </w:r>
    </w:p>
    <w:p w14:paraId="046CAD26" w14:textId="565C22D6" w:rsidR="00056E05" w:rsidRPr="00DD5DDF" w:rsidRDefault="004F01B2" w:rsidP="004F01B2">
      <w:pPr>
        <w:pStyle w:val="Heading2"/>
        <w:rPr>
          <w:lang w:val="en-US"/>
        </w:rPr>
      </w:pPr>
      <w:r>
        <w:rPr>
          <w:lang w:val="en-US"/>
        </w:rPr>
        <w:t>Simultaneous probe number</w:t>
      </w:r>
    </w:p>
    <w:p w14:paraId="194A4FCB" w14:textId="53605181" w:rsidR="00F0690D" w:rsidRDefault="00A85C7E" w:rsidP="00A2003E">
      <w:pPr>
        <w:rPr>
          <w:rFonts w:eastAsia="DengXian"/>
          <w:lang w:val="en-US" w:eastAsia="zh-CN"/>
        </w:rPr>
      </w:pPr>
      <w:r w:rsidRPr="00DC0A67">
        <w:rPr>
          <w:rFonts w:eastAsia="DengXian"/>
          <w:lang w:val="en-US" w:eastAsia="zh-CN"/>
        </w:rPr>
        <w:t xml:space="preserve">For the probe number, </w:t>
      </w:r>
      <w:r w:rsidR="002B483E">
        <w:rPr>
          <w:rFonts w:eastAsia="DengXian"/>
          <w:lang w:val="en-US" w:eastAsia="zh-CN"/>
        </w:rPr>
        <w:t xml:space="preserve">the feasibility of transmitting simultaneously </w:t>
      </w:r>
      <w:r w:rsidR="009D43A3">
        <w:rPr>
          <w:rFonts w:eastAsia="DengXian"/>
          <w:lang w:val="en-US" w:eastAsia="zh-CN"/>
        </w:rPr>
        <w:t xml:space="preserve">from </w:t>
      </w:r>
      <w:r w:rsidR="007F75AE">
        <w:rPr>
          <w:rFonts w:eastAsia="DengXian"/>
          <w:lang w:val="en-US" w:eastAsia="zh-CN"/>
        </w:rPr>
        <w:t xml:space="preserve">one </w:t>
      </w:r>
      <w:proofErr w:type="spellStart"/>
      <w:r w:rsidR="007F75AE">
        <w:rPr>
          <w:rFonts w:eastAsia="DengXian"/>
          <w:lang w:val="en-US" w:eastAsia="zh-CN"/>
        </w:rPr>
        <w:t>AoA</w:t>
      </w:r>
      <w:proofErr w:type="spellEnd"/>
      <w:r w:rsidR="007F75AE">
        <w:rPr>
          <w:rFonts w:eastAsia="DengXian"/>
          <w:lang w:val="en-US" w:eastAsia="zh-CN"/>
        </w:rPr>
        <w:t xml:space="preserve"> pair</w:t>
      </w:r>
      <w:r w:rsidR="009D43A3">
        <w:rPr>
          <w:rFonts w:eastAsia="DengXian"/>
          <w:lang w:val="en-US" w:eastAsia="zh-CN"/>
        </w:rPr>
        <w:t xml:space="preserve"> to another </w:t>
      </w:r>
      <w:proofErr w:type="spellStart"/>
      <w:r w:rsidR="007F75AE">
        <w:rPr>
          <w:rFonts w:eastAsia="DengXian"/>
          <w:lang w:val="en-US" w:eastAsia="zh-CN"/>
        </w:rPr>
        <w:t>AoA</w:t>
      </w:r>
      <w:proofErr w:type="spellEnd"/>
      <w:r w:rsidR="007F75AE">
        <w:rPr>
          <w:rFonts w:eastAsia="DengXian"/>
          <w:lang w:val="en-US" w:eastAsia="zh-CN"/>
        </w:rPr>
        <w:t xml:space="preserve"> pair</w:t>
      </w:r>
      <w:r w:rsidR="009D43A3">
        <w:rPr>
          <w:rFonts w:eastAsia="DengXian"/>
          <w:lang w:val="en-US" w:eastAsia="zh-CN"/>
        </w:rPr>
        <w:t xml:space="preserve"> with TDM manner was discussed and </w:t>
      </w:r>
      <w:r w:rsidR="002D1CFC">
        <w:rPr>
          <w:rFonts w:eastAsia="DengXian"/>
          <w:lang w:val="en-US" w:eastAsia="zh-CN"/>
        </w:rPr>
        <w:t>the following agreement</w:t>
      </w:r>
      <w:r w:rsidR="00F463C2">
        <w:rPr>
          <w:rFonts w:eastAsia="DengXian"/>
          <w:lang w:val="en-US" w:eastAsia="zh-CN"/>
        </w:rPr>
        <w:t>s</w:t>
      </w:r>
      <w:r w:rsidR="002D1CFC">
        <w:rPr>
          <w:rFonts w:eastAsia="DengXian"/>
          <w:lang w:val="en-US" w:eastAsia="zh-CN"/>
        </w:rPr>
        <w:t xml:space="preserve"> were capture</w:t>
      </w:r>
      <w:r w:rsidR="00824CBC">
        <w:rPr>
          <w:rFonts w:eastAsia="DengXian"/>
          <w:lang w:val="en-US" w:eastAsia="zh-CN"/>
        </w:rPr>
        <w:t>d</w:t>
      </w:r>
      <w:r w:rsidR="002D1CFC">
        <w:rPr>
          <w:rFonts w:eastAsia="DengXian"/>
          <w:lang w:val="en-US" w:eastAsia="zh-CN"/>
        </w:rPr>
        <w:t xml:space="preserve"> in [1].</w:t>
      </w:r>
    </w:p>
    <w:tbl>
      <w:tblPr>
        <w:tblStyle w:val="TableGrid"/>
        <w:tblW w:w="0" w:type="auto"/>
        <w:jc w:val="center"/>
        <w:tblLook w:val="04A0" w:firstRow="1" w:lastRow="0" w:firstColumn="1" w:lastColumn="0" w:noHBand="0" w:noVBand="1"/>
      </w:tblPr>
      <w:tblGrid>
        <w:gridCol w:w="8908"/>
      </w:tblGrid>
      <w:tr w:rsidR="00CF5DEA" w14:paraId="1EEA8D30" w14:textId="77777777" w:rsidTr="00CF5DEA">
        <w:trPr>
          <w:trHeight w:val="2802"/>
          <w:jc w:val="center"/>
        </w:trPr>
        <w:tc>
          <w:tcPr>
            <w:tcW w:w="8908" w:type="dxa"/>
          </w:tcPr>
          <w:p w14:paraId="27372855" w14:textId="77777777" w:rsidR="00CF5DEA" w:rsidRPr="00924F47" w:rsidRDefault="00CF5DEA" w:rsidP="00CF5DEA">
            <w:pPr>
              <w:rPr>
                <w:b/>
                <w:color w:val="000000" w:themeColor="text1"/>
                <w:u w:val="single"/>
                <w:lang w:eastAsia="ko-KR"/>
              </w:rPr>
            </w:pPr>
            <w:r w:rsidRPr="00924F47">
              <w:rPr>
                <w:b/>
                <w:color w:val="000000" w:themeColor="text1"/>
                <w:u w:val="single"/>
                <w:lang w:eastAsia="ko-KR"/>
              </w:rPr>
              <w:t>Issue 2-2-1: Is it feasible to transmit simultaneously for 2AoAs and switch to another 2AoAs with TDM manner?</w:t>
            </w:r>
          </w:p>
          <w:p w14:paraId="0A12F9B5" w14:textId="77777777" w:rsidR="00CF5DEA" w:rsidRPr="00924F47" w:rsidRDefault="00CF5DEA" w:rsidP="00CF5DEA">
            <w:pPr>
              <w:pStyle w:val="ListParagraph"/>
              <w:numPr>
                <w:ilvl w:val="0"/>
                <w:numId w:val="22"/>
              </w:numPr>
              <w:overflowPunct/>
              <w:autoSpaceDE/>
              <w:autoSpaceDN/>
              <w:adjustRightInd/>
              <w:spacing w:after="120"/>
              <w:ind w:left="72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 xml:space="preserve">Proposals: </w:t>
            </w:r>
          </w:p>
          <w:p w14:paraId="15024A68" w14:textId="77777777" w:rsidR="00CF5DEA" w:rsidRPr="00924F47" w:rsidRDefault="00CF5DEA" w:rsidP="00CF5DEA">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Option 1: Yes</w:t>
            </w:r>
          </w:p>
          <w:p w14:paraId="13ED2D5C" w14:textId="77777777" w:rsidR="00CF5DEA" w:rsidRPr="00924F47" w:rsidRDefault="00CF5DEA" w:rsidP="00CF5DEA">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Option 2: No, please specify the reasons</w:t>
            </w:r>
          </w:p>
          <w:p w14:paraId="0CF1D108" w14:textId="77777777" w:rsidR="00CF5DEA" w:rsidRPr="00772C3F" w:rsidRDefault="00CF5DEA" w:rsidP="00CF5DEA">
            <w:pPr>
              <w:pStyle w:val="ListParagraph"/>
              <w:numPr>
                <w:ilvl w:val="0"/>
                <w:numId w:val="22"/>
              </w:numPr>
              <w:overflowPunct/>
              <w:autoSpaceDE/>
              <w:autoSpaceDN/>
              <w:adjustRightInd/>
              <w:spacing w:after="120"/>
              <w:ind w:left="720"/>
              <w:contextualSpacing w:val="0"/>
              <w:textAlignment w:val="auto"/>
              <w:rPr>
                <w:rFonts w:eastAsia="SimSun"/>
                <w:color w:val="000000" w:themeColor="text1"/>
                <w:szCs w:val="24"/>
                <w:lang w:eastAsia="zh-CN"/>
              </w:rPr>
            </w:pPr>
            <w:r w:rsidRPr="00772C3F">
              <w:rPr>
                <w:rFonts w:eastAsia="SimSun"/>
                <w:color w:val="000000" w:themeColor="text1"/>
                <w:szCs w:val="24"/>
                <w:lang w:eastAsia="zh-CN"/>
              </w:rPr>
              <w:t>Agreement:</w:t>
            </w:r>
          </w:p>
          <w:p w14:paraId="33ECD2A2" w14:textId="77777777" w:rsidR="00CF5DEA" w:rsidRPr="00772C3F" w:rsidRDefault="00CF5DEA" w:rsidP="00CF5DEA">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772C3F">
              <w:rPr>
                <w:rFonts w:eastAsia="SimSun"/>
                <w:color w:val="000000" w:themeColor="text1"/>
                <w:szCs w:val="24"/>
                <w:lang w:eastAsia="zh-CN"/>
              </w:rPr>
              <w:t xml:space="preserve">FFS on feasibility </w:t>
            </w:r>
          </w:p>
          <w:p w14:paraId="1F596992" w14:textId="77777777" w:rsidR="00CF5DEA" w:rsidRPr="00772C3F" w:rsidRDefault="00CF5DEA" w:rsidP="00CF5DEA">
            <w:pPr>
              <w:pStyle w:val="ListParagraph"/>
              <w:numPr>
                <w:ilvl w:val="2"/>
                <w:numId w:val="22"/>
              </w:numPr>
              <w:overflowPunct/>
              <w:autoSpaceDE/>
              <w:autoSpaceDN/>
              <w:adjustRightInd/>
              <w:spacing w:after="120"/>
              <w:contextualSpacing w:val="0"/>
              <w:textAlignment w:val="auto"/>
              <w:rPr>
                <w:rFonts w:eastAsia="SimSun"/>
                <w:color w:val="000000" w:themeColor="text1"/>
                <w:szCs w:val="24"/>
                <w:lang w:eastAsia="zh-CN"/>
              </w:rPr>
            </w:pPr>
            <w:r>
              <w:rPr>
                <w:rFonts w:eastAsiaTheme="minorEastAsia"/>
                <w:color w:val="000000" w:themeColor="text1"/>
                <w:lang w:val="en-US" w:eastAsia="zh-CN"/>
              </w:rPr>
              <w:t>T</w:t>
            </w:r>
            <w:r w:rsidRPr="00772C3F">
              <w:rPr>
                <w:rFonts w:eastAsiaTheme="minorEastAsia"/>
                <w:color w:val="000000" w:themeColor="text1"/>
                <w:lang w:val="en-US" w:eastAsia="zh-CN"/>
              </w:rPr>
              <w:t>he required SINR before / after dual TCI switching</w:t>
            </w:r>
          </w:p>
          <w:p w14:paraId="4FF902BB" w14:textId="2983A2A4" w:rsidR="00CF5DEA" w:rsidRPr="00CF5DEA" w:rsidRDefault="00CF5DEA" w:rsidP="00A2003E">
            <w:pPr>
              <w:pStyle w:val="ListParagraph"/>
              <w:numPr>
                <w:ilvl w:val="2"/>
                <w:numId w:val="22"/>
              </w:numPr>
              <w:overflowPunct/>
              <w:autoSpaceDE/>
              <w:autoSpaceDN/>
              <w:adjustRightInd/>
              <w:spacing w:after="120"/>
              <w:contextualSpacing w:val="0"/>
              <w:textAlignment w:val="auto"/>
              <w:rPr>
                <w:rFonts w:eastAsia="SimSun"/>
                <w:color w:val="000000" w:themeColor="text1"/>
                <w:szCs w:val="24"/>
                <w:lang w:eastAsia="zh-CN"/>
              </w:rPr>
            </w:pPr>
            <w:r>
              <w:rPr>
                <w:rFonts w:eastAsiaTheme="minorEastAsia"/>
                <w:color w:val="000000" w:themeColor="text1"/>
                <w:lang w:eastAsia="zh-CN"/>
              </w:rPr>
              <w:t>T</w:t>
            </w:r>
            <w:r w:rsidRPr="00772C3F">
              <w:rPr>
                <w:rFonts w:eastAsiaTheme="minorEastAsia"/>
                <w:color w:val="000000" w:themeColor="text1"/>
                <w:lang w:eastAsia="zh-CN"/>
              </w:rPr>
              <w:t xml:space="preserve">he impact on side condition </w:t>
            </w:r>
          </w:p>
        </w:tc>
      </w:tr>
    </w:tbl>
    <w:p w14:paraId="600A928E" w14:textId="77777777" w:rsidR="002D1CFC" w:rsidRDefault="002D1CFC" w:rsidP="00A2003E">
      <w:pPr>
        <w:rPr>
          <w:rFonts w:eastAsia="DengXian"/>
          <w:lang w:val="en-US" w:eastAsia="zh-CN"/>
        </w:rPr>
      </w:pPr>
    </w:p>
    <w:p w14:paraId="01F0B24B" w14:textId="05FA8EE9" w:rsidR="00824CBC" w:rsidRDefault="00824CBC" w:rsidP="00F463C2">
      <w:pPr>
        <w:jc w:val="both"/>
        <w:rPr>
          <w:rFonts w:eastAsia="DengXian"/>
          <w:lang w:val="en-US" w:eastAsia="zh-CN"/>
        </w:rPr>
      </w:pPr>
      <w:r w:rsidRPr="009E5D38">
        <w:rPr>
          <w:rFonts w:eastAsia="DengXian"/>
          <w:lang w:val="en-US" w:eastAsia="zh-CN"/>
        </w:rPr>
        <w:lastRenderedPageBreak/>
        <w:t xml:space="preserve">From </w:t>
      </w:r>
      <w:r w:rsidR="00703516" w:rsidRPr="009E5D38">
        <w:rPr>
          <w:rFonts w:eastAsia="DengXian"/>
          <w:lang w:val="en-US" w:eastAsia="zh-CN"/>
        </w:rPr>
        <w:t xml:space="preserve">the </w:t>
      </w:r>
      <w:r w:rsidRPr="009E5D38">
        <w:rPr>
          <w:rFonts w:eastAsia="DengXian"/>
          <w:lang w:val="en-US" w:eastAsia="zh-CN"/>
        </w:rPr>
        <w:t xml:space="preserve">testability point of view, it is necessary to clarify the </w:t>
      </w:r>
      <w:r w:rsidR="00690114" w:rsidRPr="009E5D38">
        <w:rPr>
          <w:rFonts w:eastAsia="DengXian"/>
          <w:lang w:val="en-US" w:eastAsia="zh-CN"/>
        </w:rPr>
        <w:t xml:space="preserve">test </w:t>
      </w:r>
      <w:r w:rsidRPr="009E5D38">
        <w:rPr>
          <w:rFonts w:eastAsia="DengXian"/>
          <w:lang w:val="en-US" w:eastAsia="zh-CN"/>
        </w:rPr>
        <w:t xml:space="preserve">scenarios </w:t>
      </w:r>
      <w:r w:rsidR="00690114" w:rsidRPr="009E5D38">
        <w:rPr>
          <w:rFonts w:eastAsia="DengXian"/>
          <w:lang w:val="en-US" w:eastAsia="zh-CN"/>
        </w:rPr>
        <w:t xml:space="preserve">and test assumptions for the RRM test cases. </w:t>
      </w:r>
      <w:r w:rsidR="004E6A98" w:rsidRPr="009E5D38">
        <w:rPr>
          <w:rFonts w:eastAsia="DengXian"/>
          <w:lang w:val="en-US" w:eastAsia="zh-CN"/>
        </w:rPr>
        <w:t>Even though</w:t>
      </w:r>
      <w:r w:rsidR="00B6299B" w:rsidRPr="009E5D38">
        <w:rPr>
          <w:rFonts w:eastAsia="DengXian"/>
          <w:lang w:val="en-US" w:eastAsia="zh-CN"/>
        </w:rPr>
        <w:t xml:space="preserve"> the RRM test cases are still under discussion in RRM session, </w:t>
      </w:r>
      <w:r w:rsidR="005F38D5" w:rsidRPr="009E5D38">
        <w:rPr>
          <w:rFonts w:eastAsia="DengXian"/>
          <w:lang w:val="en-US" w:eastAsia="zh-CN"/>
        </w:rPr>
        <w:t xml:space="preserve">the </w:t>
      </w:r>
      <w:r w:rsidR="004E6A98" w:rsidRPr="009E5D38">
        <w:rPr>
          <w:rFonts w:eastAsia="DengXian"/>
          <w:lang w:val="en-US" w:eastAsia="zh-CN"/>
        </w:rPr>
        <w:t xml:space="preserve">multi-Rx RRM test case can be divided into the following three </w:t>
      </w:r>
      <w:r w:rsidR="009E5D38" w:rsidRPr="009E5D38">
        <w:rPr>
          <w:rFonts w:eastAsia="DengXian"/>
          <w:lang w:val="en-US" w:eastAsia="zh-CN"/>
        </w:rPr>
        <w:t>scenarios</w:t>
      </w:r>
      <w:r w:rsidR="004E6A98" w:rsidRPr="009E5D38">
        <w:rPr>
          <w:rFonts w:eastAsia="DengXian"/>
          <w:lang w:val="en-US" w:eastAsia="zh-CN"/>
        </w:rPr>
        <w:t>:</w:t>
      </w:r>
    </w:p>
    <w:p w14:paraId="1CD40504" w14:textId="2797F3F0" w:rsidR="004E6A98" w:rsidRPr="00DF063A" w:rsidRDefault="009E5D38" w:rsidP="00A2003E">
      <w:pPr>
        <w:pStyle w:val="ListParagraph"/>
        <w:numPr>
          <w:ilvl w:val="0"/>
          <w:numId w:val="37"/>
        </w:numPr>
        <w:jc w:val="both"/>
        <w:rPr>
          <w:lang w:val="en-US"/>
        </w:rPr>
      </w:pPr>
      <w:r w:rsidRPr="009E5D38">
        <w:rPr>
          <w:lang w:val="en-US"/>
        </w:rPr>
        <w:t xml:space="preserve">Scenario 1: </w:t>
      </w:r>
      <w:r w:rsidR="00E24F12">
        <w:rPr>
          <w:lang w:val="en-US"/>
        </w:rPr>
        <w:t xml:space="preserve">probe number </w:t>
      </w:r>
      <w:r w:rsidR="00A91134">
        <w:rPr>
          <w:lang w:val="en-US"/>
        </w:rPr>
        <w:t xml:space="preserve">for multiple </w:t>
      </w:r>
      <w:proofErr w:type="spellStart"/>
      <w:r w:rsidR="00A91134">
        <w:rPr>
          <w:lang w:val="en-US"/>
        </w:rPr>
        <w:t>AoA</w:t>
      </w:r>
      <w:proofErr w:type="spellEnd"/>
      <w:r w:rsidR="00A91134">
        <w:rPr>
          <w:lang w:val="en-US"/>
        </w:rPr>
        <w:t xml:space="preserve"> test system </w:t>
      </w:r>
      <w:r w:rsidR="00E24F12">
        <w:rPr>
          <w:lang w:val="en-US"/>
        </w:rPr>
        <w:t xml:space="preserve">is </w:t>
      </w:r>
      <w:r w:rsidR="00C7740C">
        <w:rPr>
          <w:lang w:val="en-US"/>
        </w:rPr>
        <w:t>at least 2</w:t>
      </w:r>
    </w:p>
    <w:p w14:paraId="5D5918AA" w14:textId="7C190100" w:rsidR="00B11D2F" w:rsidRDefault="001E2D09" w:rsidP="00B11D2F">
      <w:pPr>
        <w:jc w:val="center"/>
      </w:pPr>
      <w:r>
        <w:object w:dxaOrig="12720" w:dyaOrig="6420" w14:anchorId="0E60894A">
          <v:shape id="_x0000_i1027" type="#_x0000_t75" style="width:302.8pt;height:152.8pt" o:ole="">
            <v:imagedata r:id="rId16" o:title=""/>
          </v:shape>
          <o:OLEObject Type="Embed" ProgID="Visio.Drawing.15" ShapeID="_x0000_i1027" DrawAspect="Content" ObjectID="_1745697482" r:id="rId17"/>
        </w:object>
      </w:r>
    </w:p>
    <w:p w14:paraId="011566AD" w14:textId="6EDAF2BC" w:rsidR="00B11D2F" w:rsidRPr="00B11D2F" w:rsidRDefault="00B11D2F" w:rsidP="00B11D2F">
      <w:pPr>
        <w:jc w:val="center"/>
      </w:pPr>
      <w:r>
        <w:t>Figure 3: Illustration of scenario 1</w:t>
      </w:r>
    </w:p>
    <w:p w14:paraId="7709EBA4" w14:textId="0F15B701" w:rsidR="00C7740C" w:rsidRPr="00135940" w:rsidRDefault="00E24F12" w:rsidP="00A2003E">
      <w:r w:rsidRPr="00135940">
        <w:t xml:space="preserve">For scenario 1, </w:t>
      </w:r>
      <w:r w:rsidR="00285384" w:rsidRPr="00135940">
        <w:t xml:space="preserve">TCI </w:t>
      </w:r>
      <w:r w:rsidR="00FE0358" w:rsidRPr="00135940">
        <w:t>state 1</w:t>
      </w:r>
      <w:r w:rsidR="00285384" w:rsidRPr="00135940">
        <w:t xml:space="preserve"> is added </w:t>
      </w:r>
      <w:r w:rsidR="00C7740C" w:rsidRPr="00135940">
        <w:t>in the T2 slot</w:t>
      </w:r>
      <w:r w:rsidR="00CE1CF6" w:rsidRPr="00135940">
        <w:t xml:space="preserve"> on top of TCI state 0</w:t>
      </w:r>
      <w:r w:rsidR="00983D0C" w:rsidRPr="00135940">
        <w:t>. The probe number for scenario 1 is at least 2</w:t>
      </w:r>
      <w:r w:rsidR="00C7740C" w:rsidRPr="00135940">
        <w:rPr>
          <w:rFonts w:ascii="DengXian" w:eastAsia="DengXian" w:hAnsi="DengXian" w:hint="eastAsia"/>
          <w:lang w:eastAsia="zh-CN"/>
        </w:rPr>
        <w:t>.</w:t>
      </w:r>
      <w:r w:rsidR="006B409C" w:rsidRPr="00135940">
        <w:rPr>
          <w:rFonts w:ascii="DengXian" w:eastAsia="DengXian" w:hAnsi="DengXian"/>
          <w:lang w:eastAsia="zh-CN"/>
        </w:rPr>
        <w:t xml:space="preserve"> </w:t>
      </w:r>
      <w:r w:rsidR="006B409C" w:rsidRPr="00135940">
        <w:t xml:space="preserve">It is obvious that </w:t>
      </w:r>
      <w:r w:rsidR="00F463C2">
        <w:t xml:space="preserve">the </w:t>
      </w:r>
      <w:r w:rsidR="007F5489" w:rsidRPr="00135940">
        <w:t xml:space="preserve">legacy RRM test system could be reused for scenario 1 and the only difference is </w:t>
      </w:r>
      <w:r w:rsidR="00234191" w:rsidRPr="00135940">
        <w:t xml:space="preserve">SINR control </w:t>
      </w:r>
      <w:r w:rsidR="00135940" w:rsidRPr="00135940">
        <w:t xml:space="preserve">for simultaneous transmission </w:t>
      </w:r>
      <w:r w:rsidR="00234191" w:rsidRPr="00135940">
        <w:t xml:space="preserve">from 2AoAs </w:t>
      </w:r>
      <w:r w:rsidR="00E176E4" w:rsidRPr="00135940">
        <w:t>need to be studied.</w:t>
      </w:r>
    </w:p>
    <w:p w14:paraId="449C23A9" w14:textId="7B87BAD2" w:rsidR="00135940" w:rsidRPr="00135940" w:rsidRDefault="00135940" w:rsidP="00A2003E">
      <w:pPr>
        <w:rPr>
          <w:b/>
          <w:bCs/>
        </w:rPr>
      </w:pPr>
      <w:r w:rsidRPr="00135940">
        <w:rPr>
          <w:b/>
          <w:bCs/>
        </w:rPr>
        <w:t xml:space="preserve">Observation </w:t>
      </w:r>
      <w:r w:rsidR="00125B23">
        <w:rPr>
          <w:b/>
          <w:bCs/>
        </w:rPr>
        <w:t>2</w:t>
      </w:r>
      <w:r w:rsidRPr="00135940">
        <w:rPr>
          <w:b/>
          <w:bCs/>
        </w:rPr>
        <w:t xml:space="preserve">: </w:t>
      </w:r>
      <w:r>
        <w:rPr>
          <w:b/>
          <w:bCs/>
        </w:rPr>
        <w:t>L</w:t>
      </w:r>
      <w:r w:rsidRPr="00135940">
        <w:rPr>
          <w:b/>
          <w:bCs/>
        </w:rPr>
        <w:t xml:space="preserve">egacy RRM test system could be reused for scenario 1 and the only difference is SINR control for simultaneous </w:t>
      </w:r>
      <w:r>
        <w:rPr>
          <w:b/>
          <w:bCs/>
        </w:rPr>
        <w:t>transmission</w:t>
      </w:r>
      <w:r w:rsidRPr="00135940">
        <w:rPr>
          <w:b/>
          <w:bCs/>
        </w:rPr>
        <w:t xml:space="preserve"> from 2AoAs need to be studied.</w:t>
      </w:r>
    </w:p>
    <w:p w14:paraId="308657CC" w14:textId="044673B1" w:rsidR="00C7740C" w:rsidRDefault="00C7740C" w:rsidP="00C7740C">
      <w:pPr>
        <w:pStyle w:val="ListParagraph"/>
        <w:numPr>
          <w:ilvl w:val="0"/>
          <w:numId w:val="37"/>
        </w:numPr>
        <w:jc w:val="both"/>
        <w:rPr>
          <w:lang w:val="en-US"/>
        </w:rPr>
      </w:pPr>
      <w:r w:rsidRPr="009E5D38">
        <w:rPr>
          <w:lang w:val="en-US"/>
        </w:rPr>
        <w:t xml:space="preserve">Scenario </w:t>
      </w:r>
      <w:r>
        <w:rPr>
          <w:lang w:val="en-US"/>
        </w:rPr>
        <w:t>2</w:t>
      </w:r>
      <w:r w:rsidRPr="009E5D38">
        <w:rPr>
          <w:lang w:val="en-US"/>
        </w:rPr>
        <w:t xml:space="preserve">: </w:t>
      </w:r>
      <w:r w:rsidR="00A91134">
        <w:rPr>
          <w:lang w:val="en-US"/>
        </w:rPr>
        <w:t xml:space="preserve">probe number for multiple </w:t>
      </w:r>
      <w:proofErr w:type="spellStart"/>
      <w:r w:rsidR="00A91134">
        <w:rPr>
          <w:lang w:val="en-US"/>
        </w:rPr>
        <w:t>AoA</w:t>
      </w:r>
      <w:proofErr w:type="spellEnd"/>
      <w:r w:rsidR="00A91134">
        <w:rPr>
          <w:lang w:val="en-US"/>
        </w:rPr>
        <w:t xml:space="preserve"> test system </w:t>
      </w:r>
      <w:r>
        <w:rPr>
          <w:lang w:val="en-US"/>
        </w:rPr>
        <w:t>is at least 3</w:t>
      </w:r>
    </w:p>
    <w:p w14:paraId="6420F146" w14:textId="77777777" w:rsidR="00A66A3C" w:rsidRDefault="00A66A3C" w:rsidP="00A66A3C">
      <w:pPr>
        <w:jc w:val="both"/>
        <w:rPr>
          <w:lang w:val="en-US"/>
        </w:rPr>
      </w:pPr>
    </w:p>
    <w:p w14:paraId="6E31655D" w14:textId="77777777" w:rsidR="00B11D2F" w:rsidRDefault="00007348" w:rsidP="00007348">
      <w:pPr>
        <w:jc w:val="center"/>
      </w:pPr>
      <w:r>
        <w:object w:dxaOrig="12312" w:dyaOrig="6420" w14:anchorId="18421956">
          <v:shape id="_x0000_i1028" type="#_x0000_t75" style="width:287.6pt;height:150.4pt" o:ole="">
            <v:imagedata r:id="rId18" o:title=""/>
          </v:shape>
          <o:OLEObject Type="Embed" ProgID="Visio.Drawing.15" ShapeID="_x0000_i1028" DrawAspect="Content" ObjectID="_1745697483" r:id="rId19"/>
        </w:object>
      </w:r>
    </w:p>
    <w:p w14:paraId="778CB737" w14:textId="1308020D" w:rsidR="00A66A3C" w:rsidRDefault="00B11D2F" w:rsidP="00B11D2F">
      <w:pPr>
        <w:jc w:val="center"/>
      </w:pPr>
      <w:r>
        <w:t>Figure 4: Illustration of scenario 2</w:t>
      </w:r>
    </w:p>
    <w:p w14:paraId="08257329" w14:textId="5958C03C" w:rsidR="00923A02" w:rsidRDefault="00007348" w:rsidP="00923A02">
      <w:r w:rsidRPr="00C7740C">
        <w:t xml:space="preserve">For scenario </w:t>
      </w:r>
      <w:r w:rsidR="00847A8F">
        <w:t>2</w:t>
      </w:r>
      <w:r w:rsidRPr="00C7740C">
        <w:t xml:space="preserve">, TCI </w:t>
      </w:r>
      <w:r w:rsidR="00CE1CF6">
        <w:t xml:space="preserve">state </w:t>
      </w:r>
      <w:r w:rsidR="00A91134">
        <w:t>1</w:t>
      </w:r>
      <w:r w:rsidRPr="00C7740C">
        <w:t xml:space="preserve"> is </w:t>
      </w:r>
      <w:r w:rsidR="00CE1CF6">
        <w:t>switching</w:t>
      </w:r>
      <w:r w:rsidR="001E2D09">
        <w:t xml:space="preserve"> to TCI state 2</w:t>
      </w:r>
      <w:r w:rsidRPr="00C7740C">
        <w:t xml:space="preserve"> in </w:t>
      </w:r>
      <w:r>
        <w:t xml:space="preserve">the </w:t>
      </w:r>
      <w:r w:rsidRPr="00C7740C">
        <w:t>T2 slo</w:t>
      </w:r>
      <w:r w:rsidR="00923A02">
        <w:t>t</w:t>
      </w:r>
      <w:r w:rsidR="0078101D">
        <w:t xml:space="preserve"> while TCI state 0 is </w:t>
      </w:r>
      <w:r w:rsidR="00EC0861">
        <w:t>maintained</w:t>
      </w:r>
      <w:r w:rsidR="00923A02">
        <w:t xml:space="preserve">. </w:t>
      </w:r>
      <w:r w:rsidR="00EC0861">
        <w:t xml:space="preserve">Therefore, </w:t>
      </w:r>
      <w:r w:rsidR="004C5F0F">
        <w:t xml:space="preserve">at least 3 probes need to be </w:t>
      </w:r>
      <w:r w:rsidR="003C751A">
        <w:t xml:space="preserve">supported by test system to achieve the switching </w:t>
      </w:r>
      <w:r w:rsidR="00D32213">
        <w:t>from</w:t>
      </w:r>
      <w:r w:rsidR="003C751A">
        <w:t xml:space="preserve"> probe 2 </w:t>
      </w:r>
      <w:r w:rsidR="00D32213">
        <w:t>to</w:t>
      </w:r>
      <w:r w:rsidR="003C751A">
        <w:t xml:space="preserve"> probe 3.</w:t>
      </w:r>
      <w:r w:rsidR="00135940">
        <w:t xml:space="preserve"> Same as scenario 1, the </w:t>
      </w:r>
      <w:r w:rsidR="00116959" w:rsidRPr="00116959">
        <w:t>SINR control for simultaneous transmission from 2AoAs needs to be studied</w:t>
      </w:r>
    </w:p>
    <w:p w14:paraId="2AF4ACEF" w14:textId="0BE3568F" w:rsidR="00135940" w:rsidRPr="00135940" w:rsidRDefault="00135940" w:rsidP="00923A02">
      <w:pPr>
        <w:rPr>
          <w:b/>
          <w:bCs/>
        </w:rPr>
      </w:pPr>
      <w:r w:rsidRPr="00135940">
        <w:rPr>
          <w:b/>
          <w:bCs/>
        </w:rPr>
        <w:t xml:space="preserve">Observation </w:t>
      </w:r>
      <w:r w:rsidR="00125B23">
        <w:rPr>
          <w:b/>
          <w:bCs/>
        </w:rPr>
        <w:t>3</w:t>
      </w:r>
      <w:r w:rsidRPr="00135940">
        <w:rPr>
          <w:b/>
          <w:bCs/>
        </w:rPr>
        <w:t xml:space="preserve">: At least 3 probes need to be supported by test system to achieve the switching </w:t>
      </w:r>
      <w:r w:rsidR="00D32213">
        <w:rPr>
          <w:b/>
          <w:bCs/>
        </w:rPr>
        <w:t>from</w:t>
      </w:r>
      <w:r w:rsidRPr="00135940">
        <w:rPr>
          <w:b/>
          <w:bCs/>
        </w:rPr>
        <w:t xml:space="preserve"> probe 2 </w:t>
      </w:r>
      <w:r w:rsidR="00D32213">
        <w:rPr>
          <w:b/>
          <w:bCs/>
        </w:rPr>
        <w:t>to</w:t>
      </w:r>
      <w:r w:rsidRPr="00135940">
        <w:rPr>
          <w:b/>
          <w:bCs/>
        </w:rPr>
        <w:t xml:space="preserve"> probe 3 in scenario 2. </w:t>
      </w:r>
      <w:r w:rsidR="00116959">
        <w:rPr>
          <w:b/>
          <w:bCs/>
        </w:rPr>
        <w:t xml:space="preserve">The </w:t>
      </w:r>
      <w:r w:rsidRPr="00135940">
        <w:rPr>
          <w:b/>
          <w:bCs/>
        </w:rPr>
        <w:t xml:space="preserve">SINR control for simultaneous transmission from 2AoAs </w:t>
      </w:r>
      <w:r w:rsidR="00D32213">
        <w:rPr>
          <w:b/>
          <w:bCs/>
        </w:rPr>
        <w:t>needs</w:t>
      </w:r>
      <w:r w:rsidRPr="00135940">
        <w:rPr>
          <w:b/>
          <w:bCs/>
        </w:rPr>
        <w:t xml:space="preserve"> to be studied.</w:t>
      </w:r>
    </w:p>
    <w:p w14:paraId="59AEF9CD" w14:textId="0066F083" w:rsidR="001E2D09" w:rsidRDefault="001E2D09" w:rsidP="00923A02">
      <w:pPr>
        <w:pStyle w:val="ListParagraph"/>
        <w:numPr>
          <w:ilvl w:val="0"/>
          <w:numId w:val="37"/>
        </w:numPr>
        <w:jc w:val="both"/>
        <w:rPr>
          <w:lang w:val="en-US"/>
        </w:rPr>
      </w:pPr>
      <w:r w:rsidRPr="009E5D38">
        <w:rPr>
          <w:lang w:val="en-US"/>
        </w:rPr>
        <w:t xml:space="preserve">Scenario </w:t>
      </w:r>
      <w:r>
        <w:rPr>
          <w:lang w:val="en-US"/>
        </w:rPr>
        <w:t>3</w:t>
      </w:r>
      <w:r w:rsidRPr="009E5D38">
        <w:rPr>
          <w:lang w:val="en-US"/>
        </w:rPr>
        <w:t xml:space="preserve">: </w:t>
      </w:r>
      <w:r w:rsidR="00A91134">
        <w:rPr>
          <w:lang w:val="en-US"/>
        </w:rPr>
        <w:t xml:space="preserve">probe number for multiple </w:t>
      </w:r>
      <w:proofErr w:type="spellStart"/>
      <w:r w:rsidR="00A91134">
        <w:rPr>
          <w:lang w:val="en-US"/>
        </w:rPr>
        <w:t>AoA</w:t>
      </w:r>
      <w:proofErr w:type="spellEnd"/>
      <w:r w:rsidR="00A91134">
        <w:rPr>
          <w:lang w:val="en-US"/>
        </w:rPr>
        <w:t xml:space="preserve"> test system </w:t>
      </w:r>
      <w:r>
        <w:rPr>
          <w:lang w:val="en-US"/>
        </w:rPr>
        <w:t>is at least 4</w:t>
      </w:r>
    </w:p>
    <w:p w14:paraId="1D00A12D" w14:textId="01209FF2" w:rsidR="00007348" w:rsidRDefault="009202DC" w:rsidP="009202DC">
      <w:pPr>
        <w:jc w:val="center"/>
      </w:pPr>
      <w:r>
        <w:object w:dxaOrig="12972" w:dyaOrig="6420" w14:anchorId="0B95C254">
          <v:shape id="_x0000_i1029" type="#_x0000_t75" style="width:298.4pt;height:148pt" o:ole="">
            <v:imagedata r:id="rId20" o:title=""/>
          </v:shape>
          <o:OLEObject Type="Embed" ProgID="Visio.Drawing.15" ShapeID="_x0000_i1029" DrawAspect="Content" ObjectID="_1745697484" r:id="rId21"/>
        </w:object>
      </w:r>
    </w:p>
    <w:p w14:paraId="7EE533B1" w14:textId="0FE5C24A" w:rsidR="00B11D2F" w:rsidRPr="00B11D2F" w:rsidRDefault="00B11D2F" w:rsidP="00B11D2F">
      <w:pPr>
        <w:jc w:val="center"/>
      </w:pPr>
      <w:r>
        <w:t>Figure 5: Illustration of scenario 3</w:t>
      </w:r>
    </w:p>
    <w:p w14:paraId="33568ED4" w14:textId="19B933C4" w:rsidR="00EA0990" w:rsidRDefault="00847A8F" w:rsidP="00135940">
      <w:r w:rsidRPr="00C7740C">
        <w:t xml:space="preserve">For scenario </w:t>
      </w:r>
      <w:r>
        <w:t>3</w:t>
      </w:r>
      <w:r w:rsidRPr="00C7740C">
        <w:t xml:space="preserve">, TCI </w:t>
      </w:r>
      <w:r>
        <w:t xml:space="preserve">state </w:t>
      </w:r>
      <w:r w:rsidR="00A91134">
        <w:t>0</w:t>
      </w:r>
      <w:r w:rsidRPr="00C7740C">
        <w:t xml:space="preserve"> is </w:t>
      </w:r>
      <w:r>
        <w:t xml:space="preserve">switching to TCI state </w:t>
      </w:r>
      <w:r w:rsidR="00BE58B5">
        <w:t>3, and</w:t>
      </w:r>
      <w:r w:rsidR="00BE58B5" w:rsidRPr="00BE58B5">
        <w:t xml:space="preserve"> </w:t>
      </w:r>
      <w:r w:rsidR="00BE58B5" w:rsidRPr="00C7740C">
        <w:t xml:space="preserve">TCI </w:t>
      </w:r>
      <w:r w:rsidR="00BE58B5">
        <w:t>state 1</w:t>
      </w:r>
      <w:r w:rsidR="00BE58B5" w:rsidRPr="00C7740C">
        <w:t xml:space="preserve"> is </w:t>
      </w:r>
      <w:r w:rsidR="00BE58B5">
        <w:t>switching to TCI state 2</w:t>
      </w:r>
      <w:r w:rsidRPr="00C7740C">
        <w:t xml:space="preserve"> in </w:t>
      </w:r>
      <w:r>
        <w:t xml:space="preserve">the </w:t>
      </w:r>
      <w:r w:rsidRPr="00C7740C">
        <w:t>T2 slot</w:t>
      </w:r>
      <w:r w:rsidR="00BE58B5">
        <w:t xml:space="preserve">. </w:t>
      </w:r>
      <w:r w:rsidR="00EA0990" w:rsidRPr="00EA0990">
        <w:rPr>
          <w:rFonts w:hint="eastAsia"/>
        </w:rPr>
        <w:t>The</w:t>
      </w:r>
      <w:r w:rsidR="00EA0990" w:rsidRPr="00EA0990">
        <w:t xml:space="preserve"> probe number for multiple </w:t>
      </w:r>
      <w:proofErr w:type="spellStart"/>
      <w:r w:rsidR="00EA0990" w:rsidRPr="00EA0990">
        <w:t>AoA</w:t>
      </w:r>
      <w:proofErr w:type="spellEnd"/>
      <w:r w:rsidR="00EA0990" w:rsidRPr="00EA0990">
        <w:t xml:space="preserve"> test system is at least 4</w:t>
      </w:r>
      <w:r w:rsidR="00EA0990">
        <w:rPr>
          <w:rFonts w:ascii="DengXian" w:eastAsia="DengXian" w:hAnsi="DengXian" w:hint="eastAsia"/>
          <w:lang w:eastAsia="zh-CN"/>
        </w:rPr>
        <w:t>。</w:t>
      </w:r>
    </w:p>
    <w:p w14:paraId="01EB4676" w14:textId="5D90C854" w:rsidR="00135940" w:rsidRPr="00135940" w:rsidRDefault="00135940" w:rsidP="00135940">
      <w:pPr>
        <w:rPr>
          <w:b/>
          <w:bCs/>
        </w:rPr>
      </w:pPr>
      <w:r w:rsidRPr="00EA0990">
        <w:rPr>
          <w:b/>
          <w:bCs/>
        </w:rPr>
        <w:t xml:space="preserve">Observation </w:t>
      </w:r>
      <w:r w:rsidR="00125B23">
        <w:rPr>
          <w:b/>
          <w:bCs/>
        </w:rPr>
        <w:t>4</w:t>
      </w:r>
      <w:r w:rsidRPr="00135940">
        <w:rPr>
          <w:b/>
          <w:bCs/>
        </w:rPr>
        <w:t xml:space="preserve">: At least </w:t>
      </w:r>
      <w:r>
        <w:rPr>
          <w:b/>
          <w:bCs/>
        </w:rPr>
        <w:t>4</w:t>
      </w:r>
      <w:r w:rsidRPr="00135940">
        <w:rPr>
          <w:b/>
          <w:bCs/>
        </w:rPr>
        <w:t xml:space="preserve"> probes need to be supported by </w:t>
      </w:r>
      <w:r w:rsidR="00AB52EB">
        <w:rPr>
          <w:b/>
          <w:bCs/>
        </w:rPr>
        <w:t xml:space="preserve">test </w:t>
      </w:r>
      <w:r w:rsidRPr="00135940">
        <w:rPr>
          <w:b/>
          <w:bCs/>
        </w:rPr>
        <w:t xml:space="preserve">system to achieve the switching </w:t>
      </w:r>
      <w:r w:rsidR="00D32213">
        <w:rPr>
          <w:b/>
          <w:bCs/>
        </w:rPr>
        <w:t>from</w:t>
      </w:r>
      <w:r w:rsidRPr="00135940">
        <w:rPr>
          <w:b/>
          <w:bCs/>
        </w:rPr>
        <w:t xml:space="preserve"> probe 2 </w:t>
      </w:r>
      <w:r w:rsidR="00D32213">
        <w:rPr>
          <w:b/>
          <w:bCs/>
        </w:rPr>
        <w:t>to</w:t>
      </w:r>
      <w:r w:rsidRPr="00135940">
        <w:rPr>
          <w:b/>
          <w:bCs/>
        </w:rPr>
        <w:t xml:space="preserve"> probe </w:t>
      </w:r>
      <w:r w:rsidR="00AB52EB" w:rsidRPr="00135940">
        <w:rPr>
          <w:b/>
          <w:bCs/>
        </w:rPr>
        <w:t>3</w:t>
      </w:r>
      <w:r w:rsidR="00AB52EB">
        <w:rPr>
          <w:b/>
          <w:bCs/>
        </w:rPr>
        <w:t xml:space="preserve"> and</w:t>
      </w:r>
      <w:r w:rsidR="00D32213">
        <w:rPr>
          <w:b/>
          <w:bCs/>
        </w:rPr>
        <w:t xml:space="preserve"> </w:t>
      </w:r>
      <w:r w:rsidR="00AB52EB">
        <w:rPr>
          <w:b/>
          <w:bCs/>
        </w:rPr>
        <w:t xml:space="preserve">switching from </w:t>
      </w:r>
      <w:r w:rsidR="00D32213">
        <w:rPr>
          <w:b/>
          <w:bCs/>
        </w:rPr>
        <w:t>probe 0 to probe 4</w:t>
      </w:r>
      <w:r w:rsidRPr="00135940">
        <w:rPr>
          <w:b/>
          <w:bCs/>
        </w:rPr>
        <w:t xml:space="preserve"> in scenario </w:t>
      </w:r>
      <w:r w:rsidR="00D32213">
        <w:rPr>
          <w:b/>
          <w:bCs/>
        </w:rPr>
        <w:t>3</w:t>
      </w:r>
      <w:r w:rsidRPr="00135940">
        <w:rPr>
          <w:b/>
          <w:bCs/>
        </w:rPr>
        <w:t xml:space="preserve">. </w:t>
      </w:r>
      <w:r w:rsidR="00AB52EB">
        <w:rPr>
          <w:b/>
          <w:bCs/>
        </w:rPr>
        <w:t xml:space="preserve">The </w:t>
      </w:r>
      <w:r w:rsidRPr="00135940">
        <w:rPr>
          <w:b/>
          <w:bCs/>
        </w:rPr>
        <w:t xml:space="preserve">SINR control for simultaneous transmission from 2AoAs </w:t>
      </w:r>
      <w:r w:rsidR="00D32213">
        <w:rPr>
          <w:b/>
          <w:bCs/>
        </w:rPr>
        <w:t>needs</w:t>
      </w:r>
      <w:r w:rsidRPr="00135940">
        <w:rPr>
          <w:b/>
          <w:bCs/>
        </w:rPr>
        <w:t xml:space="preserve"> to be studied.</w:t>
      </w:r>
    </w:p>
    <w:p w14:paraId="753E6E76" w14:textId="3AFC7EAC" w:rsidR="00847A8F" w:rsidRPr="004F1A45" w:rsidRDefault="004F1A45" w:rsidP="00847A8F">
      <w:pPr>
        <w:rPr>
          <w:b/>
          <w:bCs/>
        </w:rPr>
      </w:pPr>
      <w:r w:rsidRPr="004F1A45">
        <w:rPr>
          <w:b/>
          <w:bCs/>
        </w:rPr>
        <w:t>Proposal 3: It is encouraged TE vendors provide input on the testability of scenario 1/2/3</w:t>
      </w:r>
      <w:r>
        <w:rPr>
          <w:b/>
          <w:bCs/>
        </w:rPr>
        <w:t xml:space="preserve">. </w:t>
      </w:r>
      <w:r w:rsidR="00B11D2F">
        <w:rPr>
          <w:b/>
          <w:bCs/>
        </w:rPr>
        <w:t xml:space="preserve">The conclusion of </w:t>
      </w:r>
      <w:r w:rsidR="00B11D2F" w:rsidRPr="00135940">
        <w:rPr>
          <w:b/>
          <w:bCs/>
        </w:rPr>
        <w:t xml:space="preserve">SINR control for simultaneous transmission from 2AoAs </w:t>
      </w:r>
      <w:r w:rsidR="00B11D2F">
        <w:rPr>
          <w:b/>
          <w:bCs/>
        </w:rPr>
        <w:t>can be applied for all three scenarios.</w:t>
      </w:r>
    </w:p>
    <w:p w14:paraId="1A4E8B34" w14:textId="398F5A4A" w:rsidR="00633D72" w:rsidRDefault="00FC468A" w:rsidP="00633D72">
      <w:pPr>
        <w:pStyle w:val="Heading1"/>
        <w:rPr>
          <w:lang w:val="en-US"/>
        </w:rPr>
      </w:pPr>
      <w:r>
        <w:rPr>
          <w:lang w:val="en-US"/>
        </w:rPr>
        <w:t>Conclusions</w:t>
      </w:r>
    </w:p>
    <w:p w14:paraId="4B87A4AB" w14:textId="64A1C744" w:rsidR="00497D13" w:rsidRDefault="00497D13" w:rsidP="00497D13">
      <w:pPr>
        <w:jc w:val="both"/>
        <w:rPr>
          <w:lang w:val="en-US"/>
        </w:rPr>
      </w:pPr>
      <w:r>
        <w:rPr>
          <w:lang w:val="en-US"/>
        </w:rPr>
        <w:t xml:space="preserve">In this paper, we discuss the test methods for UE </w:t>
      </w:r>
      <w:r w:rsidR="00B11D2F">
        <w:rPr>
          <w:lang w:val="en-US"/>
        </w:rPr>
        <w:t>RRM</w:t>
      </w:r>
      <w:r>
        <w:rPr>
          <w:lang w:val="en-US"/>
        </w:rPr>
        <w:t xml:space="preserve"> for multi-Rx UE. The following observations and proposals are made:</w:t>
      </w:r>
    </w:p>
    <w:p w14:paraId="4CD505AC" w14:textId="77777777" w:rsidR="00125B23" w:rsidRPr="00A71955" w:rsidRDefault="00125B23" w:rsidP="00125B23">
      <w:pPr>
        <w:jc w:val="both"/>
        <w:rPr>
          <w:b/>
          <w:bCs/>
        </w:rPr>
      </w:pPr>
      <w:r w:rsidRPr="00A71955">
        <w:rPr>
          <w:b/>
          <w:bCs/>
        </w:rPr>
        <w:t xml:space="preserve">Observation 1: With fine beams from AoA1 and AoA2, the lower bound of G1/G2 can be derived based on the case when AoA1 is from beam peak direction and AoA2 is from the direction at 50% of legacy EIS spherical coverage CDF, and vice versa. </w:t>
      </w:r>
    </w:p>
    <w:p w14:paraId="234777B2" w14:textId="77777777" w:rsidR="00125B23" w:rsidRPr="00CB4D59" w:rsidRDefault="00125B23" w:rsidP="00125B23">
      <w:pPr>
        <w:jc w:val="both"/>
        <w:rPr>
          <w:b/>
          <w:bCs/>
        </w:rPr>
      </w:pPr>
      <w:r w:rsidRPr="00CB4D59">
        <w:rPr>
          <w:b/>
          <w:bCs/>
        </w:rPr>
        <w:t xml:space="preserve">Proposal 1: </w:t>
      </w:r>
      <w:r>
        <w:rPr>
          <w:b/>
          <w:bCs/>
        </w:rPr>
        <w:t xml:space="preserve">For fine beam, the lower bound of G1/G2 is the gain different from legacy REFSENS and legacy EIS spherical coverage. </w:t>
      </w:r>
    </w:p>
    <w:p w14:paraId="10E4F6C0" w14:textId="77777777" w:rsidR="00125B23" w:rsidRPr="00F66065" w:rsidRDefault="00125B23" w:rsidP="00125B23">
      <w:pPr>
        <w:jc w:val="both"/>
        <w:rPr>
          <w:b/>
          <w:bCs/>
        </w:rPr>
      </w:pPr>
      <w:r>
        <w:rPr>
          <w:b/>
          <w:bCs/>
        </w:rPr>
        <w:t>Proposal 2: For rough beam, the lower bound of G1/G2 is smaller than that for fine beam. FFS on the difference of lower bound of G1/G2 between fine and rough beams.</w:t>
      </w:r>
    </w:p>
    <w:p w14:paraId="4E77F3C5" w14:textId="77777777" w:rsidR="00125B23" w:rsidRPr="00135940" w:rsidRDefault="00125B23" w:rsidP="00125B23">
      <w:pPr>
        <w:rPr>
          <w:b/>
          <w:bCs/>
        </w:rPr>
      </w:pPr>
      <w:r w:rsidRPr="00135940">
        <w:rPr>
          <w:b/>
          <w:bCs/>
        </w:rPr>
        <w:t xml:space="preserve">Observation </w:t>
      </w:r>
      <w:r>
        <w:rPr>
          <w:b/>
          <w:bCs/>
        </w:rPr>
        <w:t>2</w:t>
      </w:r>
      <w:r w:rsidRPr="00135940">
        <w:rPr>
          <w:b/>
          <w:bCs/>
        </w:rPr>
        <w:t xml:space="preserve">: </w:t>
      </w:r>
      <w:r>
        <w:rPr>
          <w:b/>
          <w:bCs/>
        </w:rPr>
        <w:t>L</w:t>
      </w:r>
      <w:r w:rsidRPr="00135940">
        <w:rPr>
          <w:b/>
          <w:bCs/>
        </w:rPr>
        <w:t xml:space="preserve">egacy RRM test system could be reused for scenario 1 and the only difference is SINR control for simultaneous </w:t>
      </w:r>
      <w:r>
        <w:rPr>
          <w:b/>
          <w:bCs/>
        </w:rPr>
        <w:t>transmission</w:t>
      </w:r>
      <w:r w:rsidRPr="00135940">
        <w:rPr>
          <w:b/>
          <w:bCs/>
        </w:rPr>
        <w:t xml:space="preserve"> from 2AoAs need to be studied.</w:t>
      </w:r>
    </w:p>
    <w:p w14:paraId="3CA84483" w14:textId="77777777" w:rsidR="00125B23" w:rsidRPr="00135940" w:rsidRDefault="00125B23" w:rsidP="00125B23">
      <w:pPr>
        <w:rPr>
          <w:b/>
          <w:bCs/>
        </w:rPr>
      </w:pPr>
      <w:r w:rsidRPr="00135940">
        <w:rPr>
          <w:b/>
          <w:bCs/>
        </w:rPr>
        <w:t xml:space="preserve">Observation </w:t>
      </w:r>
      <w:r>
        <w:rPr>
          <w:b/>
          <w:bCs/>
        </w:rPr>
        <w:t>3</w:t>
      </w:r>
      <w:r w:rsidRPr="00135940">
        <w:rPr>
          <w:b/>
          <w:bCs/>
        </w:rPr>
        <w:t xml:space="preserve">: At least 3 probes need to be supported by test system to achieve the switching </w:t>
      </w:r>
      <w:r>
        <w:rPr>
          <w:b/>
          <w:bCs/>
        </w:rPr>
        <w:t>from</w:t>
      </w:r>
      <w:r w:rsidRPr="00135940">
        <w:rPr>
          <w:b/>
          <w:bCs/>
        </w:rPr>
        <w:t xml:space="preserve"> probe 2 </w:t>
      </w:r>
      <w:r>
        <w:rPr>
          <w:b/>
          <w:bCs/>
        </w:rPr>
        <w:t>to</w:t>
      </w:r>
      <w:r w:rsidRPr="00135940">
        <w:rPr>
          <w:b/>
          <w:bCs/>
        </w:rPr>
        <w:t xml:space="preserve"> probe 3 in scenario 2. </w:t>
      </w:r>
      <w:r>
        <w:rPr>
          <w:b/>
          <w:bCs/>
        </w:rPr>
        <w:t xml:space="preserve">The </w:t>
      </w:r>
      <w:r w:rsidRPr="00135940">
        <w:rPr>
          <w:b/>
          <w:bCs/>
        </w:rPr>
        <w:t xml:space="preserve">SINR control for simultaneous transmission from 2AoAs </w:t>
      </w:r>
      <w:r>
        <w:rPr>
          <w:b/>
          <w:bCs/>
        </w:rPr>
        <w:t>needs</w:t>
      </w:r>
      <w:r w:rsidRPr="00135940">
        <w:rPr>
          <w:b/>
          <w:bCs/>
        </w:rPr>
        <w:t xml:space="preserve"> to be studied.</w:t>
      </w:r>
    </w:p>
    <w:p w14:paraId="7363A0D5" w14:textId="77777777" w:rsidR="00125B23" w:rsidRPr="00135940" w:rsidRDefault="00125B23" w:rsidP="00125B23">
      <w:pPr>
        <w:rPr>
          <w:b/>
          <w:bCs/>
        </w:rPr>
      </w:pPr>
      <w:r w:rsidRPr="00EA0990">
        <w:rPr>
          <w:b/>
          <w:bCs/>
        </w:rPr>
        <w:t xml:space="preserve">Observation </w:t>
      </w:r>
      <w:r>
        <w:rPr>
          <w:b/>
          <w:bCs/>
        </w:rPr>
        <w:t>4</w:t>
      </w:r>
      <w:r w:rsidRPr="00135940">
        <w:rPr>
          <w:b/>
          <w:bCs/>
        </w:rPr>
        <w:t xml:space="preserve">: At least </w:t>
      </w:r>
      <w:r>
        <w:rPr>
          <w:b/>
          <w:bCs/>
        </w:rPr>
        <w:t>4</w:t>
      </w:r>
      <w:r w:rsidRPr="00135940">
        <w:rPr>
          <w:b/>
          <w:bCs/>
        </w:rPr>
        <w:t xml:space="preserve"> probes need to be supported by </w:t>
      </w:r>
      <w:r>
        <w:rPr>
          <w:b/>
          <w:bCs/>
        </w:rPr>
        <w:t xml:space="preserve">test </w:t>
      </w:r>
      <w:r w:rsidRPr="00135940">
        <w:rPr>
          <w:b/>
          <w:bCs/>
        </w:rPr>
        <w:t xml:space="preserve">system to achieve the switching </w:t>
      </w:r>
      <w:r>
        <w:rPr>
          <w:b/>
          <w:bCs/>
        </w:rPr>
        <w:t>from</w:t>
      </w:r>
      <w:r w:rsidRPr="00135940">
        <w:rPr>
          <w:b/>
          <w:bCs/>
        </w:rPr>
        <w:t xml:space="preserve"> probe 2 </w:t>
      </w:r>
      <w:r>
        <w:rPr>
          <w:b/>
          <w:bCs/>
        </w:rPr>
        <w:t>to</w:t>
      </w:r>
      <w:r w:rsidRPr="00135940">
        <w:rPr>
          <w:b/>
          <w:bCs/>
        </w:rPr>
        <w:t xml:space="preserve"> probe 3</w:t>
      </w:r>
      <w:r>
        <w:rPr>
          <w:b/>
          <w:bCs/>
        </w:rPr>
        <w:t xml:space="preserve"> and switching from probe 0 to probe 4</w:t>
      </w:r>
      <w:r w:rsidRPr="00135940">
        <w:rPr>
          <w:b/>
          <w:bCs/>
        </w:rPr>
        <w:t xml:space="preserve"> in scenario </w:t>
      </w:r>
      <w:r>
        <w:rPr>
          <w:b/>
          <w:bCs/>
        </w:rPr>
        <w:t>3</w:t>
      </w:r>
      <w:r w:rsidRPr="00135940">
        <w:rPr>
          <w:b/>
          <w:bCs/>
        </w:rPr>
        <w:t xml:space="preserve">. </w:t>
      </w:r>
      <w:r>
        <w:rPr>
          <w:b/>
          <w:bCs/>
        </w:rPr>
        <w:t xml:space="preserve">The </w:t>
      </w:r>
      <w:r w:rsidRPr="00135940">
        <w:rPr>
          <w:b/>
          <w:bCs/>
        </w:rPr>
        <w:t xml:space="preserve">SINR control for simultaneous transmission from 2AoAs </w:t>
      </w:r>
      <w:r>
        <w:rPr>
          <w:b/>
          <w:bCs/>
        </w:rPr>
        <w:t>needs</w:t>
      </w:r>
      <w:r w:rsidRPr="00135940">
        <w:rPr>
          <w:b/>
          <w:bCs/>
        </w:rPr>
        <w:t xml:space="preserve"> to be studied.</w:t>
      </w:r>
    </w:p>
    <w:p w14:paraId="2766DAC3" w14:textId="27CE937A" w:rsidR="00256C97" w:rsidRPr="00125B23" w:rsidRDefault="00125B23" w:rsidP="00125B23">
      <w:pPr>
        <w:rPr>
          <w:b/>
          <w:bCs/>
        </w:rPr>
      </w:pPr>
      <w:r w:rsidRPr="004F1A45">
        <w:rPr>
          <w:b/>
          <w:bCs/>
        </w:rPr>
        <w:t>Proposal 3: It is encouraged TE vendors provide input on the testability of scenario 1/2/3</w:t>
      </w:r>
      <w:r>
        <w:rPr>
          <w:b/>
          <w:bCs/>
        </w:rPr>
        <w:t xml:space="preserve">. The conclusion of </w:t>
      </w:r>
      <w:r w:rsidRPr="00135940">
        <w:rPr>
          <w:b/>
          <w:bCs/>
        </w:rPr>
        <w:t xml:space="preserve">SINR control for simultaneous transmission from 2AoAs </w:t>
      </w:r>
      <w:r>
        <w:rPr>
          <w:b/>
          <w:bCs/>
        </w:rPr>
        <w:t>can be applied for all three scenarios.</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3D6DF03D" w14:textId="77777777" w:rsidR="00D624F3" w:rsidRPr="008F3744" w:rsidRDefault="00D624F3" w:rsidP="00D624F3">
      <w:pPr>
        <w:pStyle w:val="References"/>
        <w:numPr>
          <w:ilvl w:val="0"/>
          <w:numId w:val="19"/>
        </w:numPr>
        <w:spacing w:line="256" w:lineRule="auto"/>
        <w:ind w:left="360"/>
        <w:jc w:val="both"/>
        <w:rPr>
          <w:color w:val="000000" w:themeColor="text1"/>
          <w:sz w:val="20"/>
          <w:lang w:val="en-GB"/>
        </w:rPr>
      </w:pPr>
      <w:r w:rsidRPr="00991B8B">
        <w:rPr>
          <w:color w:val="000000" w:themeColor="text1"/>
          <w:sz w:val="20"/>
          <w:lang w:val="en-GB"/>
        </w:rPr>
        <w:t>R4-2305887</w:t>
      </w:r>
      <w:r w:rsidRPr="00A8233D">
        <w:rPr>
          <w:color w:val="000000" w:themeColor="text1"/>
          <w:sz w:val="20"/>
          <w:lang w:val="en-GB"/>
        </w:rPr>
        <w:t>, “</w:t>
      </w:r>
      <w:r w:rsidRPr="008F3744">
        <w:rPr>
          <w:color w:val="000000" w:themeColor="text1"/>
          <w:sz w:val="20"/>
          <w:lang w:val="en-GB"/>
        </w:rPr>
        <w:t>WF on FR2 OTA test enhancements SI</w:t>
      </w:r>
      <w:r w:rsidRPr="00A8233D">
        <w:rPr>
          <w:color w:val="000000" w:themeColor="text1"/>
          <w:sz w:val="20"/>
          <w:lang w:val="en-GB"/>
        </w:rPr>
        <w:t>”, Qualcomm, RAN4#106-Bis-e, Apr. 2023</w:t>
      </w:r>
    </w:p>
    <w:p w14:paraId="065FEB53" w14:textId="1AEF2834" w:rsidR="006842E9" w:rsidRDefault="006842E9">
      <w:pPr>
        <w:spacing w:after="0"/>
        <w:rPr>
          <w:lang w:eastAsia="en-GB"/>
        </w:rPr>
      </w:pPr>
    </w:p>
    <w:sectPr w:rsidR="006842E9" w:rsidSect="007D2899">
      <w:footerReference w:type="even" r:id="rId22"/>
      <w:footerReference w:type="default" r:id="rId2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4C4CE" w14:textId="77777777" w:rsidR="006902A2" w:rsidRDefault="006902A2">
      <w:r>
        <w:separator/>
      </w:r>
    </w:p>
  </w:endnote>
  <w:endnote w:type="continuationSeparator" w:id="0">
    <w:p w14:paraId="6EB4DBE2" w14:textId="77777777" w:rsidR="006902A2" w:rsidRDefault="006902A2">
      <w:r>
        <w:continuationSeparator/>
      </w:r>
    </w:p>
  </w:endnote>
  <w:endnote w:type="continuationNotice" w:id="1">
    <w:p w14:paraId="450D2EBE" w14:textId="77777777" w:rsidR="006902A2" w:rsidRDefault="00690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D3BCF" w14:textId="77777777" w:rsidR="006902A2" w:rsidRDefault="006902A2">
      <w:r>
        <w:separator/>
      </w:r>
    </w:p>
  </w:footnote>
  <w:footnote w:type="continuationSeparator" w:id="0">
    <w:p w14:paraId="605A122A" w14:textId="77777777" w:rsidR="006902A2" w:rsidRDefault="006902A2">
      <w:r>
        <w:continuationSeparator/>
      </w:r>
    </w:p>
  </w:footnote>
  <w:footnote w:type="continuationNotice" w:id="1">
    <w:p w14:paraId="6147ECEB" w14:textId="77777777" w:rsidR="006902A2" w:rsidRDefault="006902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0"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1"/>
  </w:num>
  <w:num w:numId="2" w16cid:durableId="1818299601">
    <w:abstractNumId w:val="24"/>
  </w:num>
  <w:num w:numId="3" w16cid:durableId="822310547">
    <w:abstractNumId w:val="14"/>
  </w:num>
  <w:num w:numId="4" w16cid:durableId="1022324696">
    <w:abstractNumId w:val="6"/>
  </w:num>
  <w:num w:numId="5" w16cid:durableId="1224174323">
    <w:abstractNumId w:val="2"/>
  </w:num>
  <w:num w:numId="6" w16cid:durableId="789395670">
    <w:abstractNumId w:val="20"/>
  </w:num>
  <w:num w:numId="7" w16cid:durableId="1395664146">
    <w:abstractNumId w:val="7"/>
  </w:num>
  <w:num w:numId="8" w16cid:durableId="1404523643">
    <w:abstractNumId w:val="13"/>
  </w:num>
  <w:num w:numId="9" w16cid:durableId="543058064">
    <w:abstractNumId w:val="26"/>
  </w:num>
  <w:num w:numId="10" w16cid:durableId="185564226">
    <w:abstractNumId w:val="23"/>
  </w:num>
  <w:num w:numId="11" w16cid:durableId="165559958">
    <w:abstractNumId w:val="22"/>
  </w:num>
  <w:num w:numId="12" w16cid:durableId="613631309">
    <w:abstractNumId w:val="0"/>
  </w:num>
  <w:num w:numId="13" w16cid:durableId="23218209">
    <w:abstractNumId w:val="18"/>
  </w:num>
  <w:num w:numId="14" w16cid:durableId="1974825072">
    <w:abstractNumId w:val="8"/>
  </w:num>
  <w:num w:numId="15" w16cid:durableId="1363087755">
    <w:abstractNumId w:val="16"/>
  </w:num>
  <w:num w:numId="16" w16cid:durableId="946277362">
    <w:abstractNumId w:val="17"/>
  </w:num>
  <w:num w:numId="17" w16cid:durableId="1729920205">
    <w:abstractNumId w:val="10"/>
  </w:num>
  <w:num w:numId="18" w16cid:durableId="1253662544">
    <w:abstractNumId w:val="12"/>
  </w:num>
  <w:num w:numId="19" w16cid:durableId="133060761">
    <w:abstractNumId w:val="9"/>
  </w:num>
  <w:num w:numId="20" w16cid:durableId="1448549287">
    <w:abstractNumId w:val="3"/>
  </w:num>
  <w:num w:numId="21" w16cid:durableId="1214580115">
    <w:abstractNumId w:val="11"/>
  </w:num>
  <w:num w:numId="22" w16cid:durableId="1613585904">
    <w:abstractNumId w:val="15"/>
  </w:num>
  <w:num w:numId="23" w16cid:durableId="1469974005">
    <w:abstractNumId w:val="22"/>
  </w:num>
  <w:num w:numId="24" w16cid:durableId="962880810">
    <w:abstractNumId w:val="22"/>
  </w:num>
  <w:num w:numId="25" w16cid:durableId="1885480900">
    <w:abstractNumId w:val="22"/>
  </w:num>
  <w:num w:numId="26" w16cid:durableId="1232352167">
    <w:abstractNumId w:val="22"/>
  </w:num>
  <w:num w:numId="27" w16cid:durableId="637954921">
    <w:abstractNumId w:val="22"/>
  </w:num>
  <w:num w:numId="28" w16cid:durableId="1242642487">
    <w:abstractNumId w:val="22"/>
  </w:num>
  <w:num w:numId="29" w16cid:durableId="92240552">
    <w:abstractNumId w:val="22"/>
  </w:num>
  <w:num w:numId="30" w16cid:durableId="598177325">
    <w:abstractNumId w:val="11"/>
  </w:num>
  <w:num w:numId="31" w16cid:durableId="1072777591">
    <w:abstractNumId w:val="1"/>
  </w:num>
  <w:num w:numId="32" w16cid:durableId="1517500267">
    <w:abstractNumId w:val="22"/>
  </w:num>
  <w:num w:numId="33" w16cid:durableId="1015503061">
    <w:abstractNumId w:val="19"/>
  </w:num>
  <w:num w:numId="34" w16cid:durableId="709497093">
    <w:abstractNumId w:val="4"/>
  </w:num>
  <w:num w:numId="35" w16cid:durableId="1525441199">
    <w:abstractNumId w:val="5"/>
  </w:num>
  <w:num w:numId="36" w16cid:durableId="284503470">
    <w:abstractNumId w:val="22"/>
  </w:num>
  <w:num w:numId="37" w16cid:durableId="986278525">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1028"/>
    <w:rsid w:val="00031046"/>
    <w:rsid w:val="0003108E"/>
    <w:rsid w:val="000311C6"/>
    <w:rsid w:val="0003159E"/>
    <w:rsid w:val="000317A7"/>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5F7"/>
    <w:rsid w:val="000C2A8E"/>
    <w:rsid w:val="000C2F69"/>
    <w:rsid w:val="000C3019"/>
    <w:rsid w:val="000C35EA"/>
    <w:rsid w:val="000C37A8"/>
    <w:rsid w:val="000C37F7"/>
    <w:rsid w:val="000C3857"/>
    <w:rsid w:val="000C3ABA"/>
    <w:rsid w:val="000C3EBD"/>
    <w:rsid w:val="000C3F9C"/>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BC4"/>
    <w:rsid w:val="00194F77"/>
    <w:rsid w:val="00194F8D"/>
    <w:rsid w:val="00195150"/>
    <w:rsid w:val="001957FF"/>
    <w:rsid w:val="00196113"/>
    <w:rsid w:val="0019638A"/>
    <w:rsid w:val="00196875"/>
    <w:rsid w:val="00196C66"/>
    <w:rsid w:val="00196E16"/>
    <w:rsid w:val="00197061"/>
    <w:rsid w:val="00197158"/>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B18"/>
    <w:rsid w:val="001C3F3B"/>
    <w:rsid w:val="001C3FC8"/>
    <w:rsid w:val="001C4016"/>
    <w:rsid w:val="001C4116"/>
    <w:rsid w:val="001C41EF"/>
    <w:rsid w:val="001C42E1"/>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CC"/>
    <w:rsid w:val="00284C7F"/>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DF"/>
    <w:rsid w:val="00374AC7"/>
    <w:rsid w:val="00375253"/>
    <w:rsid w:val="00375497"/>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455"/>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9A5"/>
    <w:rsid w:val="004C3A72"/>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C77"/>
    <w:rsid w:val="008C3F67"/>
    <w:rsid w:val="008C4CF7"/>
    <w:rsid w:val="008C5674"/>
    <w:rsid w:val="008C5B9A"/>
    <w:rsid w:val="008C5E90"/>
    <w:rsid w:val="008C6032"/>
    <w:rsid w:val="008C624A"/>
    <w:rsid w:val="008C6811"/>
    <w:rsid w:val="008C6A28"/>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EAA"/>
    <w:rsid w:val="0098454C"/>
    <w:rsid w:val="009845AD"/>
    <w:rsid w:val="00984712"/>
    <w:rsid w:val="009849BA"/>
    <w:rsid w:val="00984AEC"/>
    <w:rsid w:val="00984CA4"/>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7E"/>
    <w:rsid w:val="00C53951"/>
    <w:rsid w:val="00C53B2F"/>
    <w:rsid w:val="00C53FE2"/>
    <w:rsid w:val="00C541D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74F"/>
    <w:rsid w:val="00D46AF9"/>
    <w:rsid w:val="00D4723F"/>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56B"/>
    <w:rsid w:val="00DE4654"/>
    <w:rsid w:val="00DE4868"/>
    <w:rsid w:val="00DE4AEF"/>
    <w:rsid w:val="00DE4CEC"/>
    <w:rsid w:val="00DE4E25"/>
    <w:rsid w:val="00DE5412"/>
    <w:rsid w:val="00DE54CE"/>
    <w:rsid w:val="00DE56C6"/>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A2"/>
    <w:rsid w:val="00ED6CB3"/>
    <w:rsid w:val="00ED7128"/>
    <w:rsid w:val="00ED7522"/>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106</TotalTime>
  <Pages>4</Pages>
  <Words>1332</Words>
  <Characters>6457</Characters>
  <Application>Microsoft Office Word</Application>
  <DocSecurity>0</DocSecurity>
  <Lines>124</Lines>
  <Paragraphs>79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131</cp:revision>
  <cp:lastPrinted>2016-03-25T21:53:00Z</cp:lastPrinted>
  <dcterms:created xsi:type="dcterms:W3CDTF">2023-05-14T08:23:00Z</dcterms:created>
  <dcterms:modified xsi:type="dcterms:W3CDTF">2023-05-15T15:07:00Z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