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C2C37" w14:textId="360BE607" w:rsidR="00383B79" w:rsidRPr="00E13F75" w:rsidRDefault="00383B79" w:rsidP="00383B79">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7</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308517</w:t>
      </w:r>
    </w:p>
    <w:p w14:paraId="29E904C3" w14:textId="5A77775B" w:rsidR="00383B79" w:rsidRPr="00E13F75" w:rsidRDefault="00DE4976" w:rsidP="00383B79">
      <w:pPr>
        <w:pStyle w:val="a5"/>
        <w:tabs>
          <w:tab w:val="left" w:pos="7938"/>
        </w:tabs>
        <w:rPr>
          <w:rFonts w:ascii="Arial" w:hAnsi="Arial" w:cs="Arial"/>
          <w:b/>
          <w:i/>
          <w:sz w:val="24"/>
          <w:szCs w:val="24"/>
        </w:rPr>
      </w:pPr>
      <w:r>
        <w:rPr>
          <w:rFonts w:ascii="Arial" w:eastAsia="宋体" w:hAnsi="Arial" w:cs="Arial"/>
          <w:b/>
          <w:sz w:val="24"/>
          <w:szCs w:val="24"/>
        </w:rPr>
        <w:t>Incheon, KR</w:t>
      </w:r>
      <w:r w:rsidRPr="00E13633">
        <w:rPr>
          <w:rFonts w:ascii="Arial" w:eastAsia="宋体" w:hAnsi="Arial" w:cs="Arial"/>
          <w:b/>
          <w:sz w:val="24"/>
          <w:szCs w:val="24"/>
        </w:rPr>
        <w:t>,</w:t>
      </w:r>
      <w:r>
        <w:rPr>
          <w:rFonts w:ascii="Arial" w:eastAsia="宋体" w:hAnsi="Arial" w:cs="Arial"/>
          <w:b/>
          <w:sz w:val="24"/>
          <w:szCs w:val="24"/>
        </w:rPr>
        <w:t xml:space="preserve"> May 22</w:t>
      </w:r>
      <w:r w:rsidRPr="00E13633">
        <w:rPr>
          <w:rFonts w:ascii="Arial" w:eastAsia="宋体" w:hAnsi="Arial" w:cs="Arial"/>
          <w:b/>
          <w:sz w:val="24"/>
          <w:szCs w:val="24"/>
        </w:rPr>
        <w:t xml:space="preserve"> – </w:t>
      </w:r>
      <w:r>
        <w:rPr>
          <w:rFonts w:ascii="Arial" w:eastAsia="宋体" w:hAnsi="Arial" w:cs="Arial"/>
          <w:b/>
          <w:sz w:val="24"/>
          <w:szCs w:val="24"/>
        </w:rPr>
        <w:t>May 26</w:t>
      </w:r>
      <w:r w:rsidRPr="00E13633">
        <w:rPr>
          <w:rFonts w:ascii="Arial" w:eastAsia="宋体" w:hAnsi="Arial" w:cs="Arial"/>
          <w:b/>
          <w:sz w:val="24"/>
          <w:szCs w:val="24"/>
        </w:rPr>
        <w:t>, 202</w:t>
      </w:r>
      <w:r>
        <w:rPr>
          <w:rFonts w:ascii="Arial" w:eastAsia="宋体" w:hAnsi="Arial" w:cs="Arial"/>
          <w:b/>
          <w:sz w:val="24"/>
          <w:szCs w:val="24"/>
        </w:rPr>
        <w:t>3</w:t>
      </w:r>
    </w:p>
    <w:p w14:paraId="6B686AF4" w14:textId="77777777" w:rsidR="00383B79" w:rsidRPr="00EA540E" w:rsidRDefault="00383B79" w:rsidP="00383B79">
      <w:pPr>
        <w:pStyle w:val="a5"/>
        <w:tabs>
          <w:tab w:val="left" w:pos="7938"/>
        </w:tabs>
        <w:rPr>
          <w:rFonts w:ascii="Arial" w:hAnsi="Arial" w:cs="Arial"/>
          <w:bCs/>
          <w:iCs/>
          <w:sz w:val="24"/>
          <w:szCs w:val="24"/>
        </w:rPr>
      </w:pPr>
    </w:p>
    <w:p w14:paraId="1FDC02BC" w14:textId="4BB2C853" w:rsidR="00383B79" w:rsidRPr="00E13F75" w:rsidRDefault="00383B79" w:rsidP="00383B79">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DE4976">
        <w:rPr>
          <w:rFonts w:ascii="Arial" w:hAnsi="Arial" w:cs="Arial"/>
          <w:bCs/>
          <w:sz w:val="24"/>
          <w:szCs w:val="24"/>
        </w:rPr>
        <w:t>8</w:t>
      </w:r>
      <w:r w:rsidRPr="00DC26D7">
        <w:rPr>
          <w:rFonts w:ascii="Arial" w:hAnsi="Arial" w:cs="Arial"/>
          <w:bCs/>
          <w:sz w:val="24"/>
          <w:szCs w:val="24"/>
        </w:rPr>
        <w:t>.2</w:t>
      </w:r>
      <w:r>
        <w:rPr>
          <w:rFonts w:ascii="Arial" w:hAnsi="Arial" w:cs="Arial"/>
          <w:bCs/>
          <w:sz w:val="24"/>
          <w:szCs w:val="24"/>
        </w:rPr>
        <w:t>7</w:t>
      </w:r>
      <w:r w:rsidRPr="00DC26D7">
        <w:rPr>
          <w:rFonts w:ascii="Arial" w:hAnsi="Arial" w:cs="Arial"/>
          <w:bCs/>
          <w:sz w:val="24"/>
          <w:szCs w:val="24"/>
        </w:rPr>
        <w:t>.5</w:t>
      </w:r>
    </w:p>
    <w:p w14:paraId="5661B5F2" w14:textId="77777777" w:rsidR="00383B79" w:rsidRPr="00E13F75" w:rsidRDefault="00383B79" w:rsidP="00383B79">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7D8DE1F9" w14:textId="77777777" w:rsidR="00383B79" w:rsidRPr="00E13F75" w:rsidRDefault="00383B79" w:rsidP="00383B79">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E13F75">
        <w:rPr>
          <w:rFonts w:ascii="Arial" w:hAnsi="Arial" w:cs="Arial"/>
          <w:sz w:val="24"/>
          <w:szCs w:val="24"/>
        </w:rPr>
        <w:t xml:space="preserve">Discussion on </w:t>
      </w:r>
      <w:r w:rsidRPr="00571977">
        <w:rPr>
          <w:rFonts w:ascii="Arial" w:hAnsi="Arial" w:cs="Arial"/>
          <w:sz w:val="24"/>
          <w:szCs w:val="24"/>
        </w:rPr>
        <w:t>RRM impact</w:t>
      </w:r>
      <w:r>
        <w:rPr>
          <w:rFonts w:ascii="Arial" w:hAnsi="Arial" w:cs="Arial"/>
          <w:sz w:val="24"/>
          <w:szCs w:val="24"/>
        </w:rPr>
        <w:t>s</w:t>
      </w:r>
      <w:r w:rsidRPr="00571977">
        <w:rPr>
          <w:rFonts w:ascii="Arial" w:hAnsi="Arial" w:cs="Arial"/>
          <w:sz w:val="24"/>
          <w:szCs w:val="24"/>
        </w:rPr>
        <w:t xml:space="preserve"> on NTN enhancement</w:t>
      </w:r>
    </w:p>
    <w:p w14:paraId="4722FE39" w14:textId="77777777" w:rsidR="00383B79" w:rsidRPr="00E13F75" w:rsidRDefault="00383B79" w:rsidP="00383B79">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47FB8C9" w14:textId="77777777" w:rsidR="00383B79" w:rsidRDefault="00383B79" w:rsidP="00383B79">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2E0B5F5" w14:textId="77777777" w:rsidR="00383B79" w:rsidRPr="00A971AB" w:rsidRDefault="00383B79" w:rsidP="00383B79">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The latest WID [1] has been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updated</w:t>
      </w:r>
      <w:r>
        <w:rPr>
          <w:rFonts w:ascii="Times New Roman" w:eastAsia="宋体" w:hAnsi="Times New Roman" w:cs="Times New Roman"/>
          <w:sz w:val="20"/>
          <w:szCs w:val="20"/>
        </w:rPr>
        <w:t xml:space="preserve"> and</w:t>
      </w:r>
      <w:r w:rsidRPr="00A971AB">
        <w:rPr>
          <w:rFonts w:ascii="Times New Roman" w:eastAsia="宋体" w:hAnsi="Times New Roman" w:cs="Times New Roman"/>
          <w:sz w:val="20"/>
          <w:szCs w:val="20"/>
        </w:rPr>
        <w:t xml:space="preserve"> approved in the RAN plenary RAN#9</w:t>
      </w:r>
      <w:r>
        <w:rPr>
          <w:rFonts w:ascii="Times New Roman" w:eastAsia="宋体" w:hAnsi="Times New Roman" w:cs="Times New Roman"/>
          <w:sz w:val="20"/>
          <w:szCs w:val="20"/>
        </w:rPr>
        <w:t>9</w:t>
      </w:r>
      <w:r w:rsidRPr="00A971AB">
        <w:rPr>
          <w:rFonts w:ascii="Times New Roman" w:eastAsia="宋体" w:hAnsi="Times New Roman" w:cs="Times New Roman"/>
          <w:sz w:val="20"/>
          <w:szCs w:val="20"/>
        </w:rPr>
        <w:t xml:space="preserve"> meeting. The objectives of Rel-18 </w:t>
      </w:r>
      <w:r>
        <w:rPr>
          <w:rFonts w:ascii="Times New Roman" w:eastAsia="宋体" w:hAnsi="Times New Roman" w:cs="Times New Roman"/>
          <w:sz w:val="20"/>
          <w:szCs w:val="20"/>
        </w:rPr>
        <w:t>NTN enhancement</w:t>
      </w:r>
      <w:r w:rsidRPr="00A971AB">
        <w:rPr>
          <w:rFonts w:ascii="Times New Roman" w:eastAsia="宋体" w:hAnsi="Times New Roman" w:cs="Times New Roman"/>
          <w:sz w:val="20"/>
          <w:szCs w:val="20"/>
        </w:rPr>
        <w:t xml:space="preserve"> are described in [1] including: </w:t>
      </w:r>
    </w:p>
    <w:tbl>
      <w:tblPr>
        <w:tblStyle w:val="a7"/>
        <w:tblW w:w="0" w:type="auto"/>
        <w:tblLook w:val="04A0" w:firstRow="1" w:lastRow="0" w:firstColumn="1" w:lastColumn="0" w:noHBand="0" w:noVBand="1"/>
      </w:tblPr>
      <w:tblGrid>
        <w:gridCol w:w="9629"/>
      </w:tblGrid>
      <w:tr w:rsidR="00383B79" w14:paraId="7AFF0D43" w14:textId="77777777" w:rsidTr="000B04E0">
        <w:tc>
          <w:tcPr>
            <w:tcW w:w="9629" w:type="dxa"/>
          </w:tcPr>
          <w:p w14:paraId="11B16806" w14:textId="77777777" w:rsidR="00383B79" w:rsidRPr="00134B7D" w:rsidRDefault="00383B79" w:rsidP="000B04E0">
            <w:pPr>
              <w:spacing w:beforeLines="50" w:before="120" w:afterLines="50" w:after="120"/>
              <w:jc w:val="left"/>
              <w:rPr>
                <w:bCs/>
              </w:rPr>
            </w:pPr>
            <w:r w:rsidRPr="00134B7D">
              <w:rPr>
                <w:bCs/>
              </w:rPr>
              <w:t>4.1.1</w:t>
            </w:r>
            <w:r w:rsidRPr="00134B7D">
              <w:rPr>
                <w:bCs/>
              </w:rPr>
              <w:tab/>
              <w:t>Coverage enhancement</w:t>
            </w:r>
          </w:p>
          <w:p w14:paraId="5DF076DC" w14:textId="77777777" w:rsidR="00383B79" w:rsidRPr="00134B7D" w:rsidRDefault="00383B79" w:rsidP="000B04E0">
            <w:pPr>
              <w:spacing w:beforeLines="50" w:before="120" w:afterLines="50" w:after="120"/>
              <w:jc w:val="left"/>
              <w:rPr>
                <w:bCs/>
              </w:rPr>
            </w:pPr>
            <w:r w:rsidRPr="00134B7D">
              <w:rPr>
                <w:bCs/>
              </w:rPr>
              <w:t>4.1.2</w:t>
            </w:r>
            <w:r w:rsidRPr="00134B7D">
              <w:rPr>
                <w:bCs/>
              </w:rPr>
              <w:tab/>
              <w:t>NR-NTN deployment in above 10 GHz bands</w:t>
            </w:r>
          </w:p>
          <w:p w14:paraId="6D0CB71A" w14:textId="77777777" w:rsidR="00383B79" w:rsidRDefault="00383B79" w:rsidP="000B04E0">
            <w:pPr>
              <w:spacing w:beforeLines="50" w:before="120" w:afterLines="50" w:after="120"/>
              <w:jc w:val="left"/>
              <w:rPr>
                <w:bCs/>
              </w:rPr>
            </w:pPr>
            <w:r w:rsidRPr="00134B7D">
              <w:rPr>
                <w:bCs/>
              </w:rPr>
              <w:t>4.1.3</w:t>
            </w:r>
            <w:r w:rsidRPr="00134B7D">
              <w:rPr>
                <w:bCs/>
              </w:rPr>
              <w:tab/>
            </w:r>
            <w:bookmarkStart w:id="0" w:name="OLE_LINK1"/>
            <w:r w:rsidRPr="00134B7D">
              <w:rPr>
                <w:bCs/>
              </w:rPr>
              <w:t>Network verified UE location</w:t>
            </w:r>
            <w:bookmarkEnd w:id="0"/>
          </w:p>
          <w:p w14:paraId="1BD950D7" w14:textId="77777777" w:rsidR="00383B79" w:rsidRDefault="00383B79" w:rsidP="000B04E0">
            <w:pPr>
              <w:spacing w:beforeLines="50" w:before="120" w:afterLines="50" w:after="120"/>
              <w:jc w:val="left"/>
            </w:pPr>
            <w:r w:rsidRPr="00134B7D">
              <w:rPr>
                <w:bCs/>
              </w:rPr>
              <w:t>4.1.4</w:t>
            </w:r>
            <w:r w:rsidRPr="00134B7D">
              <w:rPr>
                <w:bCs/>
              </w:rPr>
              <w:tab/>
              <w:t>NTN-TN and NTN-NTN mobility and service continuity enhancements</w:t>
            </w:r>
          </w:p>
        </w:tc>
      </w:tr>
    </w:tbl>
    <w:p w14:paraId="25ACB648" w14:textId="45647578" w:rsidR="00383B79" w:rsidRPr="00A971AB" w:rsidRDefault="00383B79" w:rsidP="00383B79">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last RAN4#106</w:t>
      </w:r>
      <w:r w:rsidR="007E6BEB">
        <w:rPr>
          <w:rFonts w:ascii="Times New Roman" w:eastAsia="宋体" w:hAnsi="Times New Roman" w:cs="Times New Roman"/>
          <w:sz w:val="20"/>
          <w:szCs w:val="20"/>
        </w:rPr>
        <w:t xml:space="preserve"> and RAN4#106bis-e</w:t>
      </w:r>
      <w:r>
        <w:rPr>
          <w:rFonts w:ascii="Times New Roman" w:eastAsia="宋体" w:hAnsi="Times New Roman" w:cs="Times New Roman"/>
          <w:sz w:val="20"/>
          <w:szCs w:val="20"/>
        </w:rPr>
        <w:t xml:space="preserve"> meeting, we </w:t>
      </w:r>
      <w:r w:rsidRPr="00A971AB">
        <w:rPr>
          <w:rFonts w:ascii="Times New Roman" w:eastAsia="宋体" w:hAnsi="Times New Roman" w:cs="Times New Roman"/>
          <w:sz w:val="20"/>
          <w:szCs w:val="20"/>
        </w:rPr>
        <w:t>analyze</w:t>
      </w:r>
      <w:r>
        <w:rPr>
          <w:rFonts w:ascii="Times New Roman" w:eastAsia="宋体" w:hAnsi="Times New Roman" w:cs="Times New Roman"/>
          <w:sz w:val="20"/>
          <w:szCs w:val="20"/>
        </w:rPr>
        <w:t>d</w:t>
      </w:r>
      <w:r w:rsidRPr="00A971AB">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some potential </w:t>
      </w:r>
      <w:r w:rsidRPr="00A971AB">
        <w:rPr>
          <w:rFonts w:ascii="Times New Roman" w:eastAsia="宋体" w:hAnsi="Times New Roman" w:cs="Times New Roman"/>
          <w:sz w:val="20"/>
          <w:szCs w:val="20"/>
        </w:rPr>
        <w:t>impact to RRM requirements related to the above objectives</w:t>
      </w:r>
      <w:r>
        <w:rPr>
          <w:rFonts w:ascii="Times New Roman" w:eastAsia="宋体" w:hAnsi="Times New Roman" w:cs="Times New Roman"/>
          <w:sz w:val="20"/>
          <w:szCs w:val="20"/>
        </w:rPr>
        <w:t xml:space="preserve"> but no more discussion due to lack of time. In this contribution, we provide our further consideration of RRM impacts of R18 NTN enhancement. </w:t>
      </w:r>
    </w:p>
    <w:p w14:paraId="6DD9B435" w14:textId="77777777" w:rsidR="00383B79" w:rsidRPr="009F7D06" w:rsidRDefault="00383B79" w:rsidP="00383B79">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53E33D1B" w14:textId="77777777" w:rsidR="00383B79" w:rsidRDefault="00383B79" w:rsidP="00383B79">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Firstly, the objectives are divided to four areas. </w:t>
      </w:r>
    </w:p>
    <w:p w14:paraId="4FAC055B" w14:textId="32D2D4F1" w:rsidR="00383B79" w:rsidRPr="003063EF" w:rsidRDefault="00383B79" w:rsidP="00383B79">
      <w:pPr>
        <w:spacing w:beforeLines="50" w:before="120" w:afterLines="50" w:after="120"/>
        <w:ind w:firstLineChars="100" w:firstLine="201"/>
        <w:jc w:val="left"/>
        <w:rPr>
          <w:rFonts w:ascii="Times New Roman" w:eastAsia="宋体" w:hAnsi="Times New Roman" w:cs="Times New Roman"/>
          <w:b/>
          <w:bCs/>
          <w:sz w:val="20"/>
          <w:szCs w:val="20"/>
          <w:u w:val="single"/>
        </w:rPr>
      </w:pPr>
      <w:r w:rsidRPr="003063EF">
        <w:rPr>
          <w:rFonts w:ascii="Times New Roman" w:eastAsia="宋体" w:hAnsi="Times New Roman" w:cs="Times New Roman" w:hint="eastAsia"/>
          <w:b/>
          <w:bCs/>
          <w:sz w:val="20"/>
          <w:szCs w:val="20"/>
          <w:u w:val="single"/>
        </w:rPr>
        <w:t>F</w:t>
      </w:r>
      <w:r w:rsidRPr="003063EF">
        <w:rPr>
          <w:rFonts w:ascii="Times New Roman" w:eastAsia="宋体" w:hAnsi="Times New Roman" w:cs="Times New Roman"/>
          <w:b/>
          <w:bCs/>
          <w:sz w:val="20"/>
          <w:szCs w:val="20"/>
          <w:u w:val="single"/>
        </w:rPr>
        <w:t xml:space="preserve">or </w:t>
      </w:r>
      <w:r w:rsidR="007E6BEB">
        <w:rPr>
          <w:rFonts w:ascii="Times New Roman" w:eastAsia="宋体" w:hAnsi="Times New Roman" w:cs="Times New Roman"/>
          <w:b/>
          <w:bCs/>
          <w:sz w:val="20"/>
          <w:szCs w:val="20"/>
          <w:u w:val="single"/>
        </w:rPr>
        <w:t>Coverage enhancement</w:t>
      </w:r>
      <w:r w:rsidRPr="003063EF">
        <w:rPr>
          <w:rFonts w:ascii="Times New Roman" w:eastAsia="宋体" w:hAnsi="Times New Roman" w:cs="Times New Roman"/>
          <w:b/>
          <w:bCs/>
          <w:sz w:val="20"/>
          <w:szCs w:val="20"/>
          <w:u w:val="single"/>
        </w:rPr>
        <w:t>:</w:t>
      </w:r>
    </w:p>
    <w:tbl>
      <w:tblPr>
        <w:tblStyle w:val="a7"/>
        <w:tblW w:w="0" w:type="auto"/>
        <w:tblLook w:val="04A0" w:firstRow="1" w:lastRow="0" w:firstColumn="1" w:lastColumn="0" w:noHBand="0" w:noVBand="1"/>
      </w:tblPr>
      <w:tblGrid>
        <w:gridCol w:w="9629"/>
      </w:tblGrid>
      <w:tr w:rsidR="00383B79" w14:paraId="11D65BB4" w14:textId="77777777" w:rsidTr="000B04E0">
        <w:tc>
          <w:tcPr>
            <w:tcW w:w="9629" w:type="dxa"/>
          </w:tcPr>
          <w:p w14:paraId="15565804" w14:textId="77777777" w:rsidR="00383B79" w:rsidRPr="00E91176" w:rsidRDefault="00383B79" w:rsidP="000B04E0">
            <w:pPr>
              <w:widowControl/>
              <w:numPr>
                <w:ilvl w:val="0"/>
                <w:numId w:val="2"/>
              </w:numPr>
              <w:overflowPunct w:val="0"/>
              <w:autoSpaceDE w:val="0"/>
              <w:autoSpaceDN w:val="0"/>
              <w:adjustRightInd w:val="0"/>
              <w:spacing w:after="0"/>
              <w:jc w:val="left"/>
              <w:textAlignment w:val="baseline"/>
              <w:rPr>
                <w:bCs/>
              </w:rPr>
            </w:pPr>
            <w:r w:rsidRPr="00103B88">
              <w:rPr>
                <w:bCs/>
                <w:highlight w:val="yellow"/>
              </w:rPr>
              <w:t>To specify PUCCH enhancements for Msg4 HARQ-ACK (e.g. repetition) [RAN1, RAN4]</w:t>
            </w:r>
          </w:p>
          <w:p w14:paraId="2C7B50C5" w14:textId="77777777" w:rsidR="00383B79" w:rsidRPr="00103B88" w:rsidRDefault="00383B79" w:rsidP="000B04E0">
            <w:pPr>
              <w:widowControl/>
              <w:numPr>
                <w:ilvl w:val="0"/>
                <w:numId w:val="2"/>
              </w:numPr>
              <w:overflowPunct w:val="0"/>
              <w:autoSpaceDE w:val="0"/>
              <w:autoSpaceDN w:val="0"/>
              <w:adjustRightInd w:val="0"/>
              <w:spacing w:after="0"/>
              <w:jc w:val="left"/>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tc>
      </w:tr>
    </w:tbl>
    <w:p w14:paraId="7ABB9B93" w14:textId="59959D0F" w:rsidR="007E6BEB" w:rsidRDefault="007E6BEB" w:rsidP="00383B79">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There is no consensus which captured in [4] as below:</w:t>
      </w:r>
    </w:p>
    <w:tbl>
      <w:tblPr>
        <w:tblStyle w:val="a7"/>
        <w:tblW w:w="0" w:type="auto"/>
        <w:tblLook w:val="04A0" w:firstRow="1" w:lastRow="0" w:firstColumn="1" w:lastColumn="0" w:noHBand="0" w:noVBand="1"/>
      </w:tblPr>
      <w:tblGrid>
        <w:gridCol w:w="9629"/>
      </w:tblGrid>
      <w:tr w:rsidR="007E6BEB" w14:paraId="7043FBE8" w14:textId="77777777" w:rsidTr="007E6BEB">
        <w:tc>
          <w:tcPr>
            <w:tcW w:w="9629" w:type="dxa"/>
          </w:tcPr>
          <w:p w14:paraId="0EA2870D" w14:textId="77777777" w:rsidR="007E6BEB" w:rsidRDefault="007E6BEB" w:rsidP="007E6BEB">
            <w:pPr>
              <w:rPr>
                <w:lang w:eastAsia="ja-JP"/>
              </w:rPr>
            </w:pPr>
            <w:r>
              <w:rPr>
                <w:lang w:eastAsia="ja-JP"/>
              </w:rPr>
              <w:t>Coverage enhancement</w:t>
            </w:r>
          </w:p>
          <w:p w14:paraId="0BD472C7" w14:textId="389B3912" w:rsidR="007E6BEB" w:rsidRPr="007E6BEB" w:rsidRDefault="007E6BEB" w:rsidP="007E6BEB">
            <w:pPr>
              <w:pStyle w:val="a8"/>
              <w:numPr>
                <w:ilvl w:val="0"/>
                <w:numId w:val="10"/>
              </w:numPr>
              <w:spacing w:after="120" w:line="276" w:lineRule="auto"/>
              <w:ind w:left="644" w:firstLineChars="0"/>
              <w:textAlignment w:val="auto"/>
              <w:rPr>
                <w:szCs w:val="24"/>
                <w:lang w:eastAsia="zh-CN"/>
              </w:rPr>
            </w:pPr>
            <w:r>
              <w:rPr>
                <w:szCs w:val="24"/>
                <w:lang w:eastAsia="zh-CN"/>
              </w:rPr>
              <w:t>No agreement.</w:t>
            </w:r>
          </w:p>
        </w:tc>
      </w:tr>
    </w:tbl>
    <w:p w14:paraId="5BB72FB3" w14:textId="10324D5E" w:rsidR="007E6BEB" w:rsidRPr="007E6BEB" w:rsidRDefault="007E6BEB" w:rsidP="00383B79">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RAN1’ discussion, PUCCH for Msg4 HARQ-ACK and PUSCH DMRS bundling are discussed. </w:t>
      </w:r>
    </w:p>
    <w:p w14:paraId="03B3044A" w14:textId="44CCA007" w:rsidR="00383B79" w:rsidRDefault="007E6BEB" w:rsidP="00383B79">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w:t>
      </w:r>
      <w:r w:rsidR="00947EBD">
        <w:rPr>
          <w:rFonts w:ascii="Times New Roman" w:eastAsia="宋体" w:hAnsi="Times New Roman" w:cs="Times New Roman"/>
          <w:sz w:val="20"/>
          <w:szCs w:val="20"/>
        </w:rPr>
        <w:t>PUCCH for Msg4 HARQ-ACK</w:t>
      </w:r>
      <w:r w:rsidR="00383B79">
        <w:rPr>
          <w:rFonts w:ascii="Times New Roman" w:eastAsia="宋体" w:hAnsi="Times New Roman" w:cs="Times New Roman"/>
          <w:sz w:val="20"/>
          <w:szCs w:val="20"/>
        </w:rPr>
        <w:t xml:space="preserve">, </w:t>
      </w:r>
      <w:r w:rsidR="00947EBD">
        <w:rPr>
          <w:rFonts w:ascii="Times New Roman" w:eastAsia="宋体" w:hAnsi="Times New Roman" w:cs="Times New Roman"/>
          <w:sz w:val="20"/>
          <w:szCs w:val="20"/>
        </w:rPr>
        <w:t xml:space="preserve">by checking latest agreements in RAN1#112bis-e, </w:t>
      </w:r>
      <w:r w:rsidR="00383B79">
        <w:rPr>
          <w:rFonts w:ascii="Times New Roman" w:eastAsia="宋体" w:hAnsi="Times New Roman" w:cs="Times New Roman"/>
          <w:sz w:val="20"/>
          <w:szCs w:val="20"/>
        </w:rPr>
        <w:t xml:space="preserve">it may impact to UE performance requirements but no impact to RRM requirements. </w:t>
      </w:r>
    </w:p>
    <w:p w14:paraId="7923F72B" w14:textId="12DC13A7" w:rsidR="00947EBD" w:rsidRDefault="00947EBD" w:rsidP="00383B79">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PUSCH DMRS bundling, RAN1 discussed the timing error/frequency error/phase difference limits and LS to RAN4 was approved in [5]. In general, no new RRM requirements are needed. The only item is RAN4 should check whether to update the applicability of TA pre-compensation in 7.1C.1.</w:t>
      </w:r>
    </w:p>
    <w:p w14:paraId="05B8434F" w14:textId="470062E8" w:rsidR="00383B79" w:rsidRDefault="00383B79" w:rsidP="00383B79">
      <w:pPr>
        <w:spacing w:beforeLines="50" w:before="120" w:afterLines="50" w:after="120"/>
        <w:ind w:firstLineChars="100" w:firstLine="201"/>
        <w:jc w:val="left"/>
        <w:rPr>
          <w:rFonts w:ascii="Times New Roman" w:eastAsia="宋体" w:hAnsi="Times New Roman" w:cs="Times New Roman"/>
          <w:b/>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roposal 1:</w:t>
      </w:r>
      <w:r>
        <w:rPr>
          <w:rFonts w:ascii="Times New Roman" w:eastAsia="宋体" w:hAnsi="Times New Roman" w:cs="Times New Roman"/>
          <w:b/>
          <w:bCs/>
          <w:sz w:val="20"/>
          <w:szCs w:val="20"/>
        </w:rPr>
        <w:t xml:space="preserve"> For objective of coverage enhancement, no </w:t>
      </w:r>
      <w:r w:rsidR="00947EBD">
        <w:rPr>
          <w:rFonts w:ascii="Times New Roman" w:eastAsia="宋体" w:hAnsi="Times New Roman" w:cs="Times New Roman"/>
          <w:b/>
          <w:bCs/>
          <w:sz w:val="20"/>
          <w:szCs w:val="20"/>
        </w:rPr>
        <w:t xml:space="preserve">RRM </w:t>
      </w:r>
      <w:r>
        <w:rPr>
          <w:rFonts w:ascii="Times New Roman" w:eastAsia="宋体" w:hAnsi="Times New Roman" w:cs="Times New Roman"/>
          <w:b/>
          <w:bCs/>
          <w:sz w:val="20"/>
          <w:szCs w:val="20"/>
        </w:rPr>
        <w:t>requirements</w:t>
      </w:r>
      <w:r w:rsidR="00947EBD">
        <w:rPr>
          <w:rFonts w:ascii="Times New Roman" w:eastAsia="宋体" w:hAnsi="Times New Roman" w:cs="Times New Roman"/>
          <w:b/>
          <w:bCs/>
          <w:sz w:val="20"/>
          <w:szCs w:val="20"/>
        </w:rPr>
        <w:t xml:space="preserve"> for PUCCH enhancements</w:t>
      </w:r>
      <w:r>
        <w:rPr>
          <w:rFonts w:ascii="Times New Roman" w:eastAsia="宋体" w:hAnsi="Times New Roman" w:cs="Times New Roman"/>
          <w:b/>
          <w:bCs/>
          <w:sz w:val="20"/>
          <w:szCs w:val="20"/>
        </w:rPr>
        <w:t>.</w:t>
      </w:r>
      <w:r w:rsidR="00947EBD">
        <w:rPr>
          <w:rFonts w:ascii="Times New Roman" w:eastAsia="宋体" w:hAnsi="Times New Roman" w:cs="Times New Roman"/>
          <w:b/>
          <w:bCs/>
          <w:sz w:val="20"/>
          <w:szCs w:val="20"/>
        </w:rPr>
        <w:t xml:space="preserve"> For PUSCH DMRS bundling, </w:t>
      </w:r>
      <w:r w:rsidR="008E67A3">
        <w:rPr>
          <w:rFonts w:ascii="Times New Roman" w:eastAsia="宋体" w:hAnsi="Times New Roman" w:cs="Times New Roman" w:hint="eastAsia"/>
          <w:b/>
          <w:bCs/>
          <w:sz w:val="20"/>
          <w:szCs w:val="20"/>
        </w:rPr>
        <w:t>i</w:t>
      </w:r>
      <w:r w:rsidR="00947EBD" w:rsidRPr="00947EBD">
        <w:rPr>
          <w:rFonts w:ascii="Times New Roman" w:eastAsia="宋体" w:hAnsi="Times New Roman" w:cs="Times New Roman"/>
          <w:b/>
          <w:bCs/>
          <w:sz w:val="20"/>
          <w:szCs w:val="20"/>
        </w:rPr>
        <w:t>n general, no new RRM requirements are needed. The only item is RAN4 should check whether to update the applicability of TA pre-compensation in 7.1C.1.</w:t>
      </w:r>
    </w:p>
    <w:p w14:paraId="08FAD890" w14:textId="77777777" w:rsidR="00383B79" w:rsidRDefault="00383B79" w:rsidP="00383B79">
      <w:pPr>
        <w:spacing w:beforeLines="50" w:before="120" w:afterLines="50" w:after="120"/>
        <w:ind w:firstLineChars="100" w:firstLine="201"/>
        <w:jc w:val="left"/>
        <w:rPr>
          <w:rFonts w:ascii="Times New Roman" w:eastAsia="宋体" w:hAnsi="Times New Roman" w:cs="Times New Roman"/>
          <w:b/>
          <w:bCs/>
          <w:sz w:val="20"/>
          <w:szCs w:val="20"/>
          <w:u w:val="single"/>
        </w:rPr>
      </w:pPr>
    </w:p>
    <w:p w14:paraId="1A52BBE5" w14:textId="3AAF4254" w:rsidR="00383B79" w:rsidRDefault="00383B79" w:rsidP="00383B79">
      <w:pPr>
        <w:spacing w:beforeLines="50" w:before="120" w:afterLines="50" w:after="120"/>
        <w:ind w:firstLineChars="100" w:firstLine="201"/>
        <w:jc w:val="left"/>
        <w:rPr>
          <w:rFonts w:ascii="Times New Roman" w:eastAsia="宋体" w:hAnsi="Times New Roman" w:cs="Times New Roman"/>
          <w:b/>
          <w:bCs/>
          <w:sz w:val="20"/>
          <w:szCs w:val="20"/>
          <w:u w:val="single"/>
        </w:rPr>
      </w:pPr>
      <w:r w:rsidRPr="003063EF">
        <w:rPr>
          <w:rFonts w:ascii="Times New Roman" w:eastAsia="宋体" w:hAnsi="Times New Roman" w:cs="Times New Roman" w:hint="eastAsia"/>
          <w:b/>
          <w:bCs/>
          <w:sz w:val="20"/>
          <w:szCs w:val="20"/>
          <w:u w:val="single"/>
        </w:rPr>
        <w:t>F</w:t>
      </w:r>
      <w:r w:rsidRPr="003063EF">
        <w:rPr>
          <w:rFonts w:ascii="Times New Roman" w:eastAsia="宋体" w:hAnsi="Times New Roman" w:cs="Times New Roman"/>
          <w:b/>
          <w:bCs/>
          <w:sz w:val="20"/>
          <w:szCs w:val="20"/>
          <w:u w:val="single"/>
        </w:rPr>
        <w:t xml:space="preserve">or </w:t>
      </w:r>
      <w:r w:rsidR="00947EBD">
        <w:rPr>
          <w:rFonts w:ascii="Times New Roman" w:eastAsia="宋体" w:hAnsi="Times New Roman" w:cs="Times New Roman"/>
          <w:b/>
          <w:bCs/>
          <w:sz w:val="20"/>
          <w:szCs w:val="20"/>
          <w:u w:val="single"/>
        </w:rPr>
        <w:t>NR-NTN deployment in above 10GHz</w:t>
      </w:r>
      <w:r w:rsidRPr="003063EF">
        <w:rPr>
          <w:rFonts w:ascii="Times New Roman" w:eastAsia="宋体" w:hAnsi="Times New Roman" w:cs="Times New Roman"/>
          <w:b/>
          <w:bCs/>
          <w:sz w:val="20"/>
          <w:szCs w:val="20"/>
          <w:u w:val="single"/>
        </w:rPr>
        <w:t>:</w:t>
      </w:r>
    </w:p>
    <w:p w14:paraId="6DEC1484" w14:textId="341F1DBC" w:rsidR="00947EBD" w:rsidRPr="00B2120E" w:rsidRDefault="00B2120E" w:rsidP="00383B79">
      <w:pPr>
        <w:spacing w:beforeLines="50" w:before="120" w:afterLines="50" w:after="120"/>
        <w:ind w:firstLineChars="100" w:firstLine="200"/>
        <w:jc w:val="left"/>
        <w:rPr>
          <w:rFonts w:ascii="Times New Roman" w:eastAsia="宋体" w:hAnsi="Times New Roman" w:cs="Times New Roman"/>
          <w:sz w:val="20"/>
          <w:szCs w:val="20"/>
        </w:rPr>
      </w:pPr>
      <w:r w:rsidRPr="00B2120E">
        <w:rPr>
          <w:rFonts w:ascii="Times New Roman" w:eastAsia="宋体" w:hAnsi="Times New Roman" w:cs="Times New Roman"/>
          <w:sz w:val="20"/>
          <w:szCs w:val="20"/>
        </w:rPr>
        <w:t xml:space="preserve">In last RAN4#106bis meeting, </w:t>
      </w:r>
      <w:r>
        <w:rPr>
          <w:rFonts w:ascii="Times New Roman" w:eastAsia="宋体" w:hAnsi="Times New Roman" w:cs="Times New Roman" w:hint="eastAsia"/>
          <w:sz w:val="20"/>
          <w:szCs w:val="20"/>
        </w:rPr>
        <w:t>RAN</w:t>
      </w:r>
      <w:r>
        <w:rPr>
          <w:rFonts w:ascii="Times New Roman" w:eastAsia="宋体" w:hAnsi="Times New Roman" w:cs="Times New Roman"/>
          <w:sz w:val="20"/>
          <w:szCs w:val="20"/>
        </w:rPr>
        <w:t xml:space="preserve">4 has already discussed general </w:t>
      </w:r>
      <w:r w:rsidR="009C7403">
        <w:rPr>
          <w:rFonts w:ascii="Times New Roman" w:eastAsia="宋体" w:hAnsi="Times New Roman" w:cs="Times New Roman"/>
          <w:sz w:val="20"/>
          <w:szCs w:val="20"/>
        </w:rPr>
        <w:t>impacts such as numerologies</w:t>
      </w:r>
      <w:r w:rsidR="009C7403">
        <w:rPr>
          <w:rFonts w:ascii="Times New Roman" w:eastAsia="宋体" w:hAnsi="Times New Roman" w:cs="Times New Roman" w:hint="eastAsia"/>
          <w:sz w:val="20"/>
          <w:szCs w:val="20"/>
        </w:rPr>
        <w:t>,</w:t>
      </w:r>
      <w:r w:rsidR="009C7403">
        <w:rPr>
          <w:rFonts w:ascii="Times New Roman" w:eastAsia="宋体" w:hAnsi="Times New Roman" w:cs="Times New Roman"/>
          <w:sz w:val="20"/>
          <w:szCs w:val="20"/>
        </w:rPr>
        <w:t xml:space="preserve"> etc. </w:t>
      </w:r>
    </w:p>
    <w:p w14:paraId="4BF7E6D2" w14:textId="13621EA8" w:rsidR="00383B79" w:rsidRDefault="00C661D6" w:rsidP="00C661D6">
      <w:pPr>
        <w:spacing w:beforeLines="50" w:before="120" w:afterLines="50" w:after="120"/>
        <w:jc w:val="left"/>
        <w:rPr>
          <w:rFonts w:ascii="Times New Roman" w:eastAsia="宋体" w:hAnsi="Times New Roman" w:cs="Times New Roman"/>
          <w:sz w:val="20"/>
          <w:szCs w:val="20"/>
        </w:rPr>
      </w:pPr>
      <w:r w:rsidRPr="00C661D6">
        <w:rPr>
          <w:rFonts w:ascii="Times New Roman" w:eastAsia="宋体" w:hAnsi="Times New Roman" w:cs="Times New Roman"/>
          <w:sz w:val="20"/>
          <w:szCs w:val="20"/>
        </w:rPr>
        <w:t xml:space="preserve">As we mentioned in previous meetings, </w:t>
      </w:r>
      <w:r w:rsidR="007D6A82">
        <w:rPr>
          <w:rFonts w:ascii="Times New Roman" w:eastAsia="宋体" w:hAnsi="Times New Roman" w:cs="Times New Roman"/>
          <w:sz w:val="20"/>
          <w:szCs w:val="20"/>
        </w:rPr>
        <w:t xml:space="preserve">the Rel-17 50m GNSS positioning accuracy cannot be used in SCS 120kHz or larger. </w:t>
      </w:r>
    </w:p>
    <w:p w14:paraId="363EC130" w14:textId="389DEC3E" w:rsidR="007D6A82" w:rsidRDefault="007D6A82" w:rsidP="00C661D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lastRenderedPageBreak/>
        <w:t>In the agreements in last meeting:</w:t>
      </w:r>
    </w:p>
    <w:tbl>
      <w:tblPr>
        <w:tblStyle w:val="a7"/>
        <w:tblW w:w="0" w:type="auto"/>
        <w:tblLook w:val="04A0" w:firstRow="1" w:lastRow="0" w:firstColumn="1" w:lastColumn="0" w:noHBand="0" w:noVBand="1"/>
      </w:tblPr>
      <w:tblGrid>
        <w:gridCol w:w="9629"/>
      </w:tblGrid>
      <w:tr w:rsidR="007D6A82" w14:paraId="3830AC5C" w14:textId="77777777" w:rsidTr="007D6A82">
        <w:tc>
          <w:tcPr>
            <w:tcW w:w="9629" w:type="dxa"/>
          </w:tcPr>
          <w:p w14:paraId="78F904B0" w14:textId="77777777" w:rsidR="007D6A82" w:rsidRDefault="007D6A82" w:rsidP="007D6A82">
            <w:pPr>
              <w:outlineLvl w:val="2"/>
              <w:rPr>
                <w:b/>
                <w:u w:val="single"/>
                <w:lang w:eastAsia="ko-KR"/>
              </w:rPr>
            </w:pPr>
            <w:r>
              <w:rPr>
                <w:b/>
                <w:u w:val="single"/>
                <w:lang w:eastAsia="ko-KR"/>
              </w:rPr>
              <w:t>Issue 2-1: Numerologies in NR-NTN above 10 GHz bands</w:t>
            </w:r>
          </w:p>
          <w:p w14:paraId="0435C9E1" w14:textId="77777777" w:rsidR="007D6A82" w:rsidRDefault="007D6A82" w:rsidP="007D6A82">
            <w:pPr>
              <w:spacing w:after="120" w:line="252" w:lineRule="auto"/>
              <w:ind w:firstLine="284"/>
              <w:rPr>
                <w:b/>
                <w:bCs/>
                <w:u w:val="single"/>
                <w:lang w:eastAsia="ja-JP"/>
              </w:rPr>
            </w:pPr>
            <w:r>
              <w:rPr>
                <w:b/>
                <w:bCs/>
                <w:u w:val="single"/>
                <w:lang w:eastAsia="ja-JP"/>
              </w:rPr>
              <w:t>Agreement:</w:t>
            </w:r>
          </w:p>
          <w:p w14:paraId="1E8E6C9F" w14:textId="77777777" w:rsidR="007D6A82" w:rsidRDefault="007D6A82" w:rsidP="007D6A82">
            <w:pPr>
              <w:pStyle w:val="a8"/>
              <w:numPr>
                <w:ilvl w:val="0"/>
                <w:numId w:val="10"/>
              </w:numPr>
              <w:spacing w:line="276" w:lineRule="auto"/>
              <w:ind w:left="644" w:firstLineChars="0"/>
              <w:textAlignment w:val="auto"/>
              <w:rPr>
                <w:lang w:eastAsia="ja-JP"/>
              </w:rPr>
            </w:pPr>
            <w:r>
              <w:rPr>
                <w:lang w:eastAsia="ja-JP"/>
              </w:rPr>
              <w:t>RAN4 to consider the following numerologies for RRM requirement definition for NR-NTN above 10 GHz bands:</w:t>
            </w:r>
          </w:p>
          <w:p w14:paraId="58E9C5DC" w14:textId="77777777" w:rsidR="007D6A82" w:rsidRDefault="007D6A82" w:rsidP="007D6A82">
            <w:pPr>
              <w:pStyle w:val="a8"/>
              <w:numPr>
                <w:ilvl w:val="1"/>
                <w:numId w:val="10"/>
              </w:numPr>
              <w:spacing w:line="276" w:lineRule="auto"/>
              <w:ind w:left="1364" w:firstLineChars="0"/>
              <w:textAlignment w:val="auto"/>
              <w:rPr>
                <w:lang w:eastAsia="ja-JP"/>
              </w:rPr>
            </w:pPr>
            <w:r>
              <w:rPr>
                <w:lang w:eastAsia="ja-JP"/>
              </w:rPr>
              <w:t>Consider SSB SCS larger than 30kHz, i.e. 120kHz and 240kHz</w:t>
            </w:r>
          </w:p>
          <w:p w14:paraId="1B58684F" w14:textId="77777777" w:rsidR="007D6A82" w:rsidRDefault="007D6A82" w:rsidP="007D6A82">
            <w:pPr>
              <w:pStyle w:val="a8"/>
              <w:numPr>
                <w:ilvl w:val="1"/>
                <w:numId w:val="10"/>
              </w:numPr>
              <w:spacing w:line="276" w:lineRule="auto"/>
              <w:ind w:left="1364" w:firstLineChars="0"/>
              <w:textAlignment w:val="auto"/>
              <w:rPr>
                <w:lang w:eastAsia="ja-JP"/>
              </w:rPr>
            </w:pPr>
            <w:r>
              <w:rPr>
                <w:lang w:eastAsia="ja-JP"/>
              </w:rPr>
              <w:t>Consider UL SCS larger than 30kHz, i.e. 60kHz and 120kHz</w:t>
            </w:r>
          </w:p>
          <w:p w14:paraId="29A65AF1" w14:textId="77777777" w:rsidR="007D6A82" w:rsidRDefault="007D6A82" w:rsidP="007D6A82">
            <w:pPr>
              <w:pStyle w:val="a8"/>
              <w:numPr>
                <w:ilvl w:val="0"/>
                <w:numId w:val="10"/>
              </w:numPr>
              <w:spacing w:line="276" w:lineRule="auto"/>
              <w:ind w:left="644" w:firstLineChars="0"/>
              <w:textAlignment w:val="auto"/>
              <w:rPr>
                <w:lang w:eastAsia="ja-JP"/>
              </w:rPr>
            </w:pPr>
            <w:r>
              <w:rPr>
                <w:lang w:eastAsia="ja-JP"/>
              </w:rPr>
              <w:t>RAN4 to send an LS to RAN1 and RAN2</w:t>
            </w:r>
          </w:p>
          <w:p w14:paraId="6DFBAAE3" w14:textId="77777777" w:rsidR="007D6A82" w:rsidRDefault="007D6A82" w:rsidP="007D6A82">
            <w:pPr>
              <w:spacing w:after="120"/>
              <w:rPr>
                <w:szCs w:val="24"/>
              </w:rPr>
            </w:pPr>
          </w:p>
          <w:p w14:paraId="6AD7B069" w14:textId="77777777" w:rsidR="007D6A82" w:rsidRDefault="007D6A82" w:rsidP="007D6A82">
            <w:pPr>
              <w:outlineLvl w:val="2"/>
              <w:rPr>
                <w:b/>
                <w:u w:val="single"/>
                <w:lang w:eastAsia="ko-KR"/>
              </w:rPr>
            </w:pPr>
            <w:r>
              <w:rPr>
                <w:b/>
                <w:u w:val="single"/>
                <w:lang w:eastAsia="ko-KR"/>
              </w:rPr>
              <w:t>Issue 2-2: UE UL Timing Accuracy Requirements for higher UL SCS than 30kHz in NR-NTN above 10 GHz bands</w:t>
            </w:r>
          </w:p>
          <w:p w14:paraId="6F97A65A" w14:textId="77777777" w:rsidR="007D6A82" w:rsidRDefault="007D6A82" w:rsidP="007D6A82">
            <w:pPr>
              <w:spacing w:after="120" w:line="252" w:lineRule="auto"/>
              <w:ind w:firstLine="284"/>
              <w:rPr>
                <w:b/>
                <w:bCs/>
                <w:u w:val="single"/>
                <w:lang w:eastAsia="ja-JP"/>
              </w:rPr>
            </w:pPr>
            <w:r>
              <w:rPr>
                <w:b/>
                <w:bCs/>
                <w:u w:val="single"/>
                <w:lang w:eastAsia="ja-JP"/>
              </w:rPr>
              <w:t>Agreement:</w:t>
            </w:r>
          </w:p>
          <w:p w14:paraId="27D5AE6D" w14:textId="77777777" w:rsidR="007D6A82" w:rsidRDefault="007D6A82" w:rsidP="007D6A82">
            <w:pPr>
              <w:pStyle w:val="a8"/>
              <w:numPr>
                <w:ilvl w:val="0"/>
                <w:numId w:val="10"/>
              </w:numPr>
              <w:spacing w:line="276" w:lineRule="auto"/>
              <w:ind w:left="644" w:firstLineChars="0"/>
              <w:textAlignment w:val="auto"/>
              <w:rPr>
                <w:lang w:eastAsia="ja-JP"/>
              </w:rPr>
            </w:pPr>
            <w:r>
              <w:rPr>
                <w:lang w:eastAsia="ja-JP"/>
              </w:rPr>
              <w:t>The assumption of the maximum total positioning error due to UE location and Satellite position estimation error shall be tightened compared to the assumption of the existing Rel-17 NR NTN.</w:t>
            </w:r>
          </w:p>
          <w:p w14:paraId="4B915C72" w14:textId="77777777" w:rsidR="007D6A82" w:rsidRDefault="007D6A82" w:rsidP="007D6A82">
            <w:pPr>
              <w:pStyle w:val="a8"/>
              <w:numPr>
                <w:ilvl w:val="1"/>
                <w:numId w:val="10"/>
              </w:numPr>
              <w:spacing w:line="276" w:lineRule="auto"/>
              <w:ind w:left="1364" w:firstLineChars="0"/>
              <w:textAlignment w:val="auto"/>
              <w:rPr>
                <w:lang w:eastAsia="ja-JP"/>
              </w:rPr>
            </w:pPr>
            <w:r>
              <w:rPr>
                <w:lang w:eastAsia="ja-JP"/>
              </w:rPr>
              <w:t>The exact values and required conditions will be further discussed/determined in the future meetings.</w:t>
            </w:r>
          </w:p>
          <w:p w14:paraId="22945AE1" w14:textId="77777777" w:rsidR="007D6A82" w:rsidRDefault="007D6A82" w:rsidP="007D6A82">
            <w:pPr>
              <w:pStyle w:val="a8"/>
              <w:numPr>
                <w:ilvl w:val="1"/>
                <w:numId w:val="10"/>
              </w:numPr>
              <w:spacing w:line="276" w:lineRule="auto"/>
              <w:ind w:left="1364" w:firstLineChars="0"/>
              <w:textAlignment w:val="auto"/>
              <w:rPr>
                <w:lang w:eastAsia="ja-JP"/>
              </w:rPr>
            </w:pPr>
            <w:r>
              <w:rPr>
                <w:lang w:eastAsia="ja-JP"/>
              </w:rPr>
              <w:t>Alternatives can be further discussed, e.g. ECP (only for 60kHz SCS), limiting UL SCS, limiting SSB SCS, limiting UE mobility, etc.</w:t>
            </w:r>
          </w:p>
          <w:p w14:paraId="63A7D203" w14:textId="306F3EEF" w:rsidR="007D6A82" w:rsidRDefault="007D6A82" w:rsidP="007D6A82">
            <w:pPr>
              <w:pStyle w:val="a8"/>
              <w:numPr>
                <w:ilvl w:val="0"/>
                <w:numId w:val="10"/>
              </w:numPr>
              <w:spacing w:line="276" w:lineRule="auto"/>
              <w:ind w:left="644" w:firstLineChars="0"/>
              <w:textAlignment w:val="auto"/>
              <w:rPr>
                <w:rFonts w:eastAsia="宋体"/>
              </w:rPr>
            </w:pPr>
            <w:r>
              <w:rPr>
                <w:lang w:eastAsia="ja-JP"/>
              </w:rPr>
              <w:t>Note: the above “maximum total positioning error due to UE location and Satellite position estimation error” will not be specified in the requirement but it’s only used as an assumption to derive the UE Tx timing requirement.</w:t>
            </w:r>
          </w:p>
        </w:tc>
      </w:tr>
    </w:tbl>
    <w:p w14:paraId="1D7CD414" w14:textId="40F1990A" w:rsidR="007D6A82" w:rsidRPr="00C661D6" w:rsidRDefault="007D6A82" w:rsidP="00C661D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It is agreed that the total positioning error should be tightened for higher SCS deployments. </w:t>
      </w:r>
    </w:p>
    <w:p w14:paraId="5E721EB2" w14:textId="225E416C" w:rsidR="007D6A82" w:rsidRDefault="007D6A82" w:rsidP="00C661D6">
      <w:pPr>
        <w:spacing w:beforeLines="50" w:before="120" w:afterLines="50" w:after="120"/>
        <w:jc w:val="left"/>
        <w:rPr>
          <w:rFonts w:ascii="Times New Roman" w:eastAsia="宋体" w:hAnsi="Times New Roman" w:cs="Times New Roman"/>
          <w:bCs/>
          <w:sz w:val="20"/>
          <w:szCs w:val="20"/>
        </w:rPr>
      </w:pPr>
      <w:r w:rsidRPr="007D6A82">
        <w:rPr>
          <w:rFonts w:ascii="Times New Roman" w:eastAsia="宋体" w:hAnsi="Times New Roman" w:cs="Times New Roman" w:hint="eastAsia"/>
          <w:bCs/>
          <w:sz w:val="20"/>
          <w:szCs w:val="20"/>
        </w:rPr>
        <w:t>From</w:t>
      </w:r>
      <w:r w:rsidRPr="007D6A82">
        <w:rPr>
          <w:rFonts w:ascii="Times New Roman" w:eastAsia="宋体" w:hAnsi="Times New Roman" w:cs="Times New Roman"/>
          <w:bCs/>
          <w:sz w:val="20"/>
          <w:szCs w:val="20"/>
        </w:rPr>
        <w:t xml:space="preserve"> </w:t>
      </w:r>
      <w:r w:rsidRPr="007D6A82">
        <w:rPr>
          <w:rFonts w:ascii="Times New Roman" w:eastAsia="宋体" w:hAnsi="Times New Roman" w:cs="Times New Roman" w:hint="eastAsia"/>
          <w:bCs/>
          <w:sz w:val="20"/>
          <w:szCs w:val="20"/>
        </w:rPr>
        <w:t>t</w:t>
      </w:r>
      <w:r w:rsidRPr="007D6A82">
        <w:rPr>
          <w:rFonts w:ascii="Times New Roman" w:eastAsia="宋体" w:hAnsi="Times New Roman" w:cs="Times New Roman"/>
          <w:bCs/>
          <w:sz w:val="20"/>
          <w:szCs w:val="20"/>
        </w:rPr>
        <w:t>he WID</w:t>
      </w:r>
      <w:r>
        <w:rPr>
          <w:rFonts w:ascii="Times New Roman" w:eastAsia="宋体" w:hAnsi="Times New Roman" w:cs="Times New Roman"/>
          <w:bCs/>
          <w:sz w:val="20"/>
          <w:szCs w:val="20"/>
        </w:rPr>
        <w:t xml:space="preserve"> description:</w:t>
      </w:r>
    </w:p>
    <w:tbl>
      <w:tblPr>
        <w:tblStyle w:val="a7"/>
        <w:tblW w:w="0" w:type="auto"/>
        <w:tblLook w:val="04A0" w:firstRow="1" w:lastRow="0" w:firstColumn="1" w:lastColumn="0" w:noHBand="0" w:noVBand="1"/>
      </w:tblPr>
      <w:tblGrid>
        <w:gridCol w:w="9629"/>
      </w:tblGrid>
      <w:tr w:rsidR="007D6A82" w14:paraId="5145B1A5" w14:textId="77777777" w:rsidTr="007D6A82">
        <w:tc>
          <w:tcPr>
            <w:tcW w:w="9629" w:type="dxa"/>
          </w:tcPr>
          <w:p w14:paraId="280DF76F" w14:textId="77777777" w:rsidR="007D6A82" w:rsidRPr="00134B7D" w:rsidRDefault="007D6A82" w:rsidP="007D6A82">
            <w:pPr>
              <w:widowControl/>
              <w:numPr>
                <w:ilvl w:val="0"/>
                <w:numId w:val="9"/>
              </w:numPr>
              <w:overflowPunct w:val="0"/>
              <w:autoSpaceDE w:val="0"/>
              <w:autoSpaceDN w:val="0"/>
              <w:adjustRightInd w:val="0"/>
              <w:spacing w:after="0"/>
              <w:jc w:val="left"/>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w:t>
            </w:r>
            <w:r>
              <w:rPr>
                <w:bCs/>
              </w:rPr>
              <w:t>)</w:t>
            </w:r>
            <w:r w:rsidRPr="00134B7D">
              <w:rPr>
                <w:bCs/>
              </w:rPr>
              <w:t xml:space="preserve"> and commercial handset terminals (e.g. Power class 3) are supported in FR1</w:t>
            </w:r>
          </w:p>
          <w:p w14:paraId="4118035C" w14:textId="27C40C01" w:rsidR="007D6A82" w:rsidRPr="007D6A82" w:rsidRDefault="007D6A82" w:rsidP="007D6A82">
            <w:pPr>
              <w:widowControl/>
              <w:numPr>
                <w:ilvl w:val="0"/>
                <w:numId w:val="9"/>
              </w:numPr>
              <w:overflowPunct w:val="0"/>
              <w:autoSpaceDE w:val="0"/>
              <w:autoSpaceDN w:val="0"/>
              <w:adjustRightInd w:val="0"/>
              <w:spacing w:after="0"/>
              <w:jc w:val="left"/>
              <w:textAlignment w:val="baseline"/>
              <w:rPr>
                <w:bCs/>
              </w:rPr>
            </w:pPr>
            <w:r w:rsidRPr="00134B7D">
              <w:rPr>
                <w:bCs/>
              </w:rPr>
              <w:t>Only “VSAT” devices with directive antenna (including fixed and moving platform mounted devices) are supported in above 10 GHz bands.</w:t>
            </w:r>
          </w:p>
        </w:tc>
      </w:tr>
    </w:tbl>
    <w:p w14:paraId="4E292995" w14:textId="1C2D0E7A" w:rsidR="007D6A82" w:rsidRDefault="007D6A82" w:rsidP="00C661D6">
      <w:pPr>
        <w:spacing w:beforeLines="50" w:before="120" w:afterLines="50" w:after="120"/>
        <w:jc w:val="left"/>
        <w:rPr>
          <w:rFonts w:ascii="Times New Roman" w:eastAsia="宋体" w:hAnsi="Times New Roman" w:cs="Times New Roman"/>
          <w:bCs/>
          <w:sz w:val="20"/>
          <w:szCs w:val="20"/>
        </w:rPr>
      </w:pPr>
      <w:r w:rsidRPr="00ED654E">
        <w:rPr>
          <w:rFonts w:ascii="Times New Roman" w:hAnsi="Times New Roman" w:cs="Times New Roman" w:hint="eastAsia"/>
          <w:b/>
          <w:sz w:val="20"/>
          <w:szCs w:val="20"/>
        </w:rPr>
        <w:t>O</w:t>
      </w:r>
      <w:r w:rsidRPr="00ED654E">
        <w:rPr>
          <w:rFonts w:ascii="Times New Roman" w:hAnsi="Times New Roman" w:cs="Times New Roman"/>
          <w:b/>
          <w:sz w:val="20"/>
          <w:szCs w:val="20"/>
        </w:rPr>
        <w:t xml:space="preserve">bservation </w:t>
      </w:r>
      <w:r>
        <w:rPr>
          <w:rFonts w:ascii="Times New Roman" w:hAnsi="Times New Roman" w:cs="Times New Roman"/>
          <w:b/>
          <w:sz w:val="20"/>
          <w:szCs w:val="20"/>
        </w:rPr>
        <w:t>1</w:t>
      </w:r>
      <w:r w:rsidRPr="00ED654E">
        <w:rPr>
          <w:rFonts w:ascii="Times New Roman" w:hAnsi="Times New Roman" w:cs="Times New Roman"/>
          <w:b/>
          <w:sz w:val="20"/>
          <w:szCs w:val="20"/>
        </w:rPr>
        <w:t xml:space="preserve">: </w:t>
      </w:r>
      <w:r w:rsidRPr="00ED654E">
        <w:rPr>
          <w:rFonts w:ascii="Times New Roman" w:eastAsia="宋体" w:hAnsi="Times New Roman" w:cs="Times New Roman"/>
          <w:b/>
          <w:sz w:val="20"/>
          <w:szCs w:val="20"/>
        </w:rPr>
        <w:t xml:space="preserve">For the same UE, we think the GNSS positioning </w:t>
      </w:r>
      <w:r w:rsidRPr="003A4B9A">
        <w:rPr>
          <w:rFonts w:ascii="Times New Roman" w:eastAsia="宋体" w:hAnsi="Times New Roman" w:cs="Times New Roman"/>
          <w:b/>
          <w:sz w:val="20"/>
          <w:szCs w:val="20"/>
        </w:rPr>
        <w:t xml:space="preserve">accuracy </w:t>
      </w:r>
      <w:r w:rsidRPr="00ED654E">
        <w:rPr>
          <w:rFonts w:ascii="Times New Roman" w:eastAsia="宋体" w:hAnsi="Times New Roman" w:cs="Times New Roman"/>
          <w:b/>
          <w:sz w:val="20"/>
          <w:szCs w:val="20"/>
        </w:rPr>
        <w:t>should be the same if there is only one GNSS receiver.</w:t>
      </w:r>
      <w:r>
        <w:rPr>
          <w:rFonts w:ascii="Times New Roman" w:eastAsia="宋体" w:hAnsi="Times New Roman" w:cs="Times New Roman"/>
          <w:b/>
          <w:sz w:val="20"/>
          <w:szCs w:val="20"/>
        </w:rPr>
        <w:t xml:space="preserve"> If UE have multiple GNSS receiver, it can support multiple GNSS positioning accuracies.</w:t>
      </w:r>
    </w:p>
    <w:p w14:paraId="323FD275" w14:textId="45F47494" w:rsidR="007D6A82" w:rsidRDefault="007D6A82" w:rsidP="00C661D6">
      <w:pPr>
        <w:spacing w:beforeLines="50" w:before="120" w:afterLines="50" w:after="120"/>
        <w:jc w:val="left"/>
        <w:rPr>
          <w:rFonts w:ascii="Times New Roman" w:eastAsia="宋体" w:hAnsi="Times New Roman" w:cs="Times New Roman"/>
          <w:bCs/>
          <w:sz w:val="20"/>
          <w:szCs w:val="20"/>
        </w:rPr>
      </w:pPr>
      <w:r>
        <w:rPr>
          <w:rFonts w:ascii="Times New Roman" w:eastAsia="宋体" w:hAnsi="Times New Roman" w:cs="Times New Roman"/>
          <w:bCs/>
          <w:sz w:val="20"/>
          <w:szCs w:val="20"/>
        </w:rPr>
        <w:t>It can be observed that VSAT can work in both FR1 and above 10GHz. If less than 50m will be used in above 10GHz. It should be based on advanced GNSS capability or UE type.</w:t>
      </w:r>
    </w:p>
    <w:p w14:paraId="1CBDFDC4" w14:textId="3907221A" w:rsidR="007D6A82" w:rsidRPr="007D6A82" w:rsidRDefault="007D6A82" w:rsidP="00C661D6">
      <w:pPr>
        <w:spacing w:beforeLines="50" w:before="120" w:afterLines="50" w:after="120"/>
        <w:jc w:val="left"/>
        <w:rPr>
          <w:rFonts w:ascii="Times New Roman" w:eastAsia="宋体" w:hAnsi="Times New Roman" w:cs="Times New Roman"/>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sidRPr="008A550D">
        <w:rPr>
          <w:rFonts w:ascii="Times New Roman" w:eastAsia="宋体" w:hAnsi="Times New Roman" w:cs="Times New Roman"/>
          <w:b/>
          <w:bCs/>
          <w:sz w:val="20"/>
          <w:szCs w:val="20"/>
        </w:rPr>
        <w:t>:</w:t>
      </w:r>
      <w:r w:rsidR="00D018D9">
        <w:rPr>
          <w:rFonts w:ascii="Times New Roman" w:eastAsia="宋体" w:hAnsi="Times New Roman" w:cs="Times New Roman"/>
          <w:b/>
          <w:bCs/>
          <w:sz w:val="20"/>
          <w:szCs w:val="20"/>
        </w:rPr>
        <w:t xml:space="preserve"> For tightened positioning error, it should be based on advanced GNSS capability or UE type. </w:t>
      </w:r>
    </w:p>
    <w:p w14:paraId="5F5EA58E" w14:textId="77777777" w:rsidR="00C661D6" w:rsidRDefault="00C661D6" w:rsidP="00C661D6">
      <w:pPr>
        <w:spacing w:beforeLines="50" w:before="120" w:afterLines="50" w:after="120"/>
        <w:jc w:val="left"/>
        <w:rPr>
          <w:rFonts w:ascii="Times New Roman" w:hAnsi="Times New Roman" w:cs="Times New Roman"/>
          <w:bCs/>
          <w:sz w:val="20"/>
          <w:szCs w:val="20"/>
        </w:rPr>
      </w:pPr>
      <w:r w:rsidRPr="00835F09">
        <w:rPr>
          <w:rFonts w:ascii="Times New Roman" w:hAnsi="Times New Roman" w:cs="Times New Roman"/>
          <w:bCs/>
          <w:sz w:val="20"/>
          <w:szCs w:val="20"/>
        </w:rPr>
        <w:t xml:space="preserve">Another </w:t>
      </w:r>
      <w:r>
        <w:rPr>
          <w:rFonts w:ascii="Times New Roman" w:hAnsi="Times New Roman" w:cs="Times New Roman"/>
          <w:bCs/>
          <w:sz w:val="20"/>
          <w:szCs w:val="20"/>
        </w:rPr>
        <w:t xml:space="preserve">big impact in above 10GHz band is the RX beam sweeping. </w:t>
      </w:r>
    </w:p>
    <w:p w14:paraId="4D021892" w14:textId="77777777" w:rsidR="00C661D6" w:rsidRDefault="00C661D6" w:rsidP="00C661D6">
      <w:pPr>
        <w:spacing w:beforeLines="50" w:before="120" w:afterLines="50" w:after="120"/>
        <w:jc w:val="left"/>
        <w:rPr>
          <w:rFonts w:ascii="Times New Roman" w:hAnsi="Times New Roman" w:cs="Times New Roman"/>
          <w:bCs/>
          <w:sz w:val="20"/>
          <w:szCs w:val="20"/>
        </w:rPr>
      </w:pPr>
      <w:r>
        <w:rPr>
          <w:rFonts w:ascii="Times New Roman" w:hAnsi="Times New Roman" w:cs="Times New Roman"/>
          <w:bCs/>
          <w:sz w:val="20"/>
          <w:szCs w:val="20"/>
        </w:rPr>
        <w:t xml:space="preserve">As the common understanding, the current TN FR2 band is based on TDD system and RX beam sweeping it widely used in TN legacy FR2 RRM requirements. </w:t>
      </w:r>
    </w:p>
    <w:p w14:paraId="647566AA" w14:textId="5596D30D" w:rsidR="00C661D6" w:rsidRDefault="00C661D6" w:rsidP="00C661D6">
      <w:pPr>
        <w:spacing w:beforeLines="50" w:before="120" w:afterLines="50" w:after="120"/>
        <w:jc w:val="left"/>
        <w:rPr>
          <w:rFonts w:ascii="Times New Roman" w:hAnsi="Times New Roman" w:cs="Times New Roman"/>
          <w:b/>
          <w:sz w:val="20"/>
          <w:szCs w:val="20"/>
        </w:rPr>
      </w:pPr>
      <w:r w:rsidRPr="001F4C03">
        <w:rPr>
          <w:rFonts w:ascii="Times New Roman" w:hAnsi="Times New Roman" w:cs="Times New Roman" w:hint="eastAsia"/>
          <w:b/>
          <w:sz w:val="20"/>
          <w:szCs w:val="20"/>
        </w:rPr>
        <w:t>O</w:t>
      </w:r>
      <w:r w:rsidRPr="001F4C03">
        <w:rPr>
          <w:rFonts w:ascii="Times New Roman" w:hAnsi="Times New Roman" w:cs="Times New Roman"/>
          <w:b/>
          <w:sz w:val="20"/>
          <w:szCs w:val="20"/>
        </w:rPr>
        <w:t xml:space="preserve">bservation </w:t>
      </w:r>
      <w:r w:rsidR="00D018D9">
        <w:rPr>
          <w:rFonts w:ascii="Times New Roman" w:hAnsi="Times New Roman" w:cs="Times New Roman"/>
          <w:b/>
          <w:sz w:val="20"/>
          <w:szCs w:val="20"/>
        </w:rPr>
        <w:t>2</w:t>
      </w:r>
      <w:r w:rsidRPr="001F4C03">
        <w:rPr>
          <w:rFonts w:ascii="Times New Roman" w:hAnsi="Times New Roman" w:cs="Times New Roman"/>
          <w:b/>
          <w:sz w:val="20"/>
          <w:szCs w:val="20"/>
        </w:rPr>
        <w:t>: The current TN FR2 band is based on TDD system and RX beam sweeping it widely used in TN legacy FR2 RRM requirements.</w:t>
      </w:r>
    </w:p>
    <w:p w14:paraId="06F0687E" w14:textId="77777777" w:rsidR="00C661D6" w:rsidRDefault="00C661D6" w:rsidP="00C661D6">
      <w:pPr>
        <w:spacing w:beforeLines="50" w:before="120" w:afterLines="50" w:after="120"/>
        <w:jc w:val="left"/>
        <w:rPr>
          <w:rFonts w:ascii="Times New Roman" w:hAnsi="Times New Roman" w:cs="Times New Roman"/>
          <w:bCs/>
          <w:sz w:val="20"/>
          <w:szCs w:val="20"/>
        </w:rPr>
      </w:pPr>
      <w:r w:rsidRPr="007D1E82">
        <w:rPr>
          <w:rFonts w:ascii="Times New Roman" w:hAnsi="Times New Roman" w:cs="Times New Roman"/>
          <w:bCs/>
          <w:sz w:val="20"/>
          <w:szCs w:val="20"/>
        </w:rPr>
        <w:t xml:space="preserve">But </w:t>
      </w:r>
      <w:r>
        <w:rPr>
          <w:rFonts w:ascii="Times New Roman" w:hAnsi="Times New Roman" w:cs="Times New Roman"/>
          <w:bCs/>
          <w:sz w:val="20"/>
          <w:szCs w:val="20"/>
        </w:rPr>
        <w:t xml:space="preserve">it might be quite different in NTN scenarios due to different UE types. </w:t>
      </w:r>
    </w:p>
    <w:p w14:paraId="4FE5705B" w14:textId="77777777" w:rsidR="00C661D6" w:rsidRDefault="00C661D6" w:rsidP="00C661D6">
      <w:pPr>
        <w:spacing w:beforeLines="50" w:before="120" w:afterLines="50" w:after="120"/>
        <w:jc w:val="left"/>
        <w:rPr>
          <w:rFonts w:ascii="Times New Roman" w:hAnsi="Times New Roman" w:cs="Times New Roman"/>
          <w:bCs/>
          <w:sz w:val="20"/>
          <w:szCs w:val="20"/>
        </w:rPr>
      </w:pPr>
      <w:r>
        <w:rPr>
          <w:rFonts w:ascii="Times New Roman" w:hAnsi="Times New Roman" w:cs="Times New Roman"/>
          <w:bCs/>
          <w:sz w:val="20"/>
          <w:szCs w:val="20"/>
        </w:rPr>
        <w:t>In the WID [1]:</w:t>
      </w:r>
    </w:p>
    <w:tbl>
      <w:tblPr>
        <w:tblStyle w:val="a7"/>
        <w:tblW w:w="0" w:type="auto"/>
        <w:tblLook w:val="04A0" w:firstRow="1" w:lastRow="0" w:firstColumn="1" w:lastColumn="0" w:noHBand="0" w:noVBand="1"/>
      </w:tblPr>
      <w:tblGrid>
        <w:gridCol w:w="9629"/>
      </w:tblGrid>
      <w:tr w:rsidR="00C661D6" w14:paraId="11A67E3F" w14:textId="77777777" w:rsidTr="000B04E0">
        <w:tc>
          <w:tcPr>
            <w:tcW w:w="9629" w:type="dxa"/>
          </w:tcPr>
          <w:p w14:paraId="301430F2" w14:textId="77777777" w:rsidR="00C661D6" w:rsidRPr="00B351C8" w:rsidRDefault="00C661D6" w:rsidP="000B04E0">
            <w:pPr>
              <w:widowControl/>
              <w:numPr>
                <w:ilvl w:val="0"/>
                <w:numId w:val="9"/>
              </w:numPr>
              <w:overflowPunct w:val="0"/>
              <w:autoSpaceDE w:val="0"/>
              <w:autoSpaceDN w:val="0"/>
              <w:adjustRightInd w:val="0"/>
              <w:spacing w:after="0"/>
              <w:jc w:val="left"/>
              <w:textAlignment w:val="baseline"/>
              <w:rPr>
                <w:bCs/>
              </w:rPr>
            </w:pPr>
            <w:r w:rsidRPr="003F344F">
              <w:rPr>
                <w:bCs/>
              </w:rPr>
              <w:t>Only “VSAT” devices with directive antenna (including fixed and moving platform mounted devices) are supported in above 10 GHz bands.</w:t>
            </w:r>
          </w:p>
        </w:tc>
      </w:tr>
    </w:tbl>
    <w:p w14:paraId="3B45F18E" w14:textId="77777777" w:rsidR="00C661D6" w:rsidRDefault="00C661D6" w:rsidP="00C661D6">
      <w:pPr>
        <w:spacing w:beforeLines="50" w:before="120" w:afterLines="50" w:after="120"/>
        <w:jc w:val="left"/>
        <w:rPr>
          <w:rFonts w:ascii="Times New Roman" w:hAnsi="Times New Roman" w:cs="Times New Roman"/>
          <w:bCs/>
          <w:sz w:val="20"/>
          <w:szCs w:val="20"/>
        </w:rPr>
      </w:pPr>
      <w:r>
        <w:rPr>
          <w:rFonts w:ascii="Times New Roman" w:hAnsi="Times New Roman" w:cs="Times New Roman"/>
          <w:bCs/>
          <w:sz w:val="20"/>
          <w:szCs w:val="20"/>
        </w:rPr>
        <w:t xml:space="preserve">In above 10GHz, VSAT with directive antenna will be supported. It is quite different from the legacy UE which can </w:t>
      </w:r>
      <w:r>
        <w:rPr>
          <w:rFonts w:ascii="Times New Roman" w:hAnsi="Times New Roman" w:cs="Times New Roman"/>
          <w:bCs/>
          <w:sz w:val="20"/>
          <w:szCs w:val="20"/>
        </w:rPr>
        <w:lastRenderedPageBreak/>
        <w:t xml:space="preserve">perform RX beam sweeping. </w:t>
      </w:r>
    </w:p>
    <w:p w14:paraId="0550B70C" w14:textId="1F27C884" w:rsidR="00C661D6" w:rsidRDefault="00C661D6" w:rsidP="00C661D6">
      <w:pPr>
        <w:spacing w:beforeLines="50" w:before="120" w:afterLines="50" w:after="120"/>
        <w:jc w:val="left"/>
        <w:rPr>
          <w:rFonts w:ascii="Times New Roman" w:hAnsi="Times New Roman" w:cs="Times New Roman"/>
          <w:b/>
          <w:sz w:val="20"/>
          <w:szCs w:val="20"/>
        </w:rPr>
      </w:pPr>
      <w:r w:rsidRPr="001F4C03">
        <w:rPr>
          <w:rFonts w:ascii="Times New Roman" w:hAnsi="Times New Roman" w:cs="Times New Roman" w:hint="eastAsia"/>
          <w:b/>
          <w:sz w:val="20"/>
          <w:szCs w:val="20"/>
        </w:rPr>
        <w:t>O</w:t>
      </w:r>
      <w:r w:rsidRPr="001F4C03">
        <w:rPr>
          <w:rFonts w:ascii="Times New Roman" w:hAnsi="Times New Roman" w:cs="Times New Roman"/>
          <w:b/>
          <w:sz w:val="20"/>
          <w:szCs w:val="20"/>
        </w:rPr>
        <w:t xml:space="preserve">bservation </w:t>
      </w:r>
      <w:r w:rsidR="00D018D9">
        <w:rPr>
          <w:rFonts w:ascii="Times New Roman" w:hAnsi="Times New Roman" w:cs="Times New Roman"/>
          <w:b/>
          <w:sz w:val="20"/>
          <w:szCs w:val="20"/>
        </w:rPr>
        <w:t>3</w:t>
      </w:r>
      <w:r w:rsidRPr="001F4C03">
        <w:rPr>
          <w:rFonts w:ascii="Times New Roman" w:hAnsi="Times New Roman" w:cs="Times New Roman"/>
          <w:b/>
          <w:sz w:val="20"/>
          <w:szCs w:val="20"/>
        </w:rPr>
        <w:t>:</w:t>
      </w:r>
      <w:r w:rsidRPr="00DD0B1B">
        <w:rPr>
          <w:rFonts w:ascii="Times New Roman" w:hAnsi="Times New Roman" w:cs="Times New Roman"/>
          <w:b/>
          <w:sz w:val="20"/>
          <w:szCs w:val="20"/>
        </w:rPr>
        <w:t xml:space="preserve"> In above 10GHz, VSAT with directive antenna will be supported. It is quite different from the legacy UE which can perform RX beam sweeping.</w:t>
      </w:r>
    </w:p>
    <w:p w14:paraId="048AEE67" w14:textId="649614B7" w:rsidR="00C661D6" w:rsidRPr="00BD737B" w:rsidRDefault="00C661D6" w:rsidP="00C661D6">
      <w:pPr>
        <w:spacing w:beforeLines="50" w:before="120" w:afterLines="50" w:after="120"/>
        <w:jc w:val="left"/>
        <w:rPr>
          <w:rFonts w:ascii="Times New Roman" w:hAnsi="Times New Roman" w:cs="Times New Roman"/>
          <w:b/>
          <w:sz w:val="20"/>
          <w:szCs w:val="20"/>
        </w:rPr>
      </w:pPr>
      <w:r w:rsidRPr="00BD737B">
        <w:rPr>
          <w:rFonts w:ascii="Times New Roman" w:hAnsi="Times New Roman" w:cs="Times New Roman"/>
          <w:b/>
          <w:sz w:val="20"/>
          <w:szCs w:val="20"/>
        </w:rPr>
        <w:t xml:space="preserve">Observation </w:t>
      </w:r>
      <w:r w:rsidR="00D018D9">
        <w:rPr>
          <w:rFonts w:ascii="Times New Roman" w:hAnsi="Times New Roman" w:cs="Times New Roman"/>
          <w:b/>
          <w:sz w:val="20"/>
          <w:szCs w:val="20"/>
        </w:rPr>
        <w:t>4</w:t>
      </w:r>
      <w:r w:rsidRPr="00BD737B">
        <w:rPr>
          <w:rFonts w:ascii="Times New Roman" w:hAnsi="Times New Roman" w:cs="Times New Roman"/>
          <w:b/>
          <w:sz w:val="20"/>
          <w:szCs w:val="20"/>
        </w:rPr>
        <w:t xml:space="preserve">: </w:t>
      </w:r>
      <w:r w:rsidRPr="00BD737B">
        <w:rPr>
          <w:rFonts w:ascii="Times New Roman" w:hAnsi="Times New Roman" w:cs="Times New Roman" w:hint="eastAsia"/>
          <w:b/>
          <w:sz w:val="20"/>
          <w:szCs w:val="20"/>
        </w:rPr>
        <w:t>F</w:t>
      </w:r>
      <w:r w:rsidRPr="00BD737B">
        <w:rPr>
          <w:rFonts w:ascii="Times New Roman" w:hAnsi="Times New Roman" w:cs="Times New Roman"/>
          <w:b/>
          <w:sz w:val="20"/>
          <w:szCs w:val="20"/>
        </w:rPr>
        <w:t xml:space="preserve">or NTN UE with parabolic antennas, it is hardly to perform RX beam sweeping as legacy FR2 TN UE. </w:t>
      </w:r>
      <w:r w:rsidR="00B22CAA">
        <w:rPr>
          <w:rFonts w:ascii="Times New Roman" w:hAnsi="Times New Roman" w:cs="Times New Roman"/>
          <w:b/>
          <w:sz w:val="20"/>
          <w:szCs w:val="20"/>
        </w:rPr>
        <w:t xml:space="preserve">The beam is mechanical scanned for different directions. The rotation speed affects severely for time related RRM requirements. </w:t>
      </w:r>
    </w:p>
    <w:p w14:paraId="60E88AE1" w14:textId="02A1FCDE" w:rsidR="00C661D6" w:rsidRDefault="00C661D6" w:rsidP="00C661D6">
      <w:pPr>
        <w:spacing w:beforeLines="50" w:before="120" w:afterLines="50" w:after="120"/>
        <w:jc w:val="left"/>
        <w:rPr>
          <w:rFonts w:ascii="Times New Roman" w:hAnsi="Times New Roman" w:cs="Times New Roman"/>
          <w:b/>
          <w:sz w:val="20"/>
          <w:szCs w:val="20"/>
        </w:rPr>
      </w:pPr>
      <w:r w:rsidRPr="00BD737B">
        <w:rPr>
          <w:rFonts w:ascii="Times New Roman" w:hAnsi="Times New Roman" w:cs="Times New Roman"/>
          <w:b/>
          <w:sz w:val="20"/>
          <w:szCs w:val="20"/>
        </w:rPr>
        <w:t xml:space="preserve">Observation </w:t>
      </w:r>
      <w:r w:rsidR="00D018D9">
        <w:rPr>
          <w:rFonts w:ascii="Times New Roman" w:hAnsi="Times New Roman" w:cs="Times New Roman"/>
          <w:b/>
          <w:sz w:val="20"/>
          <w:szCs w:val="20"/>
        </w:rPr>
        <w:t>5</w:t>
      </w:r>
      <w:r w:rsidRPr="00BD737B">
        <w:rPr>
          <w:rFonts w:ascii="Times New Roman" w:hAnsi="Times New Roman" w:cs="Times New Roman"/>
          <w:b/>
          <w:sz w:val="20"/>
          <w:szCs w:val="20"/>
        </w:rPr>
        <w:t xml:space="preserve">: For NTN UE with phase antenna array, it might perform different RX beams. But the range may be different as legacy FR2 TN UE. </w:t>
      </w:r>
      <w:r>
        <w:rPr>
          <w:rFonts w:ascii="Times New Roman" w:hAnsi="Times New Roman" w:cs="Times New Roman"/>
          <w:b/>
          <w:sz w:val="20"/>
          <w:szCs w:val="20"/>
        </w:rPr>
        <w:t>The legacy RX beam sweeping cannot be reused.</w:t>
      </w:r>
    </w:p>
    <w:p w14:paraId="1B6E9489" w14:textId="409EDF80" w:rsidR="00D018D9" w:rsidRPr="00D018D9" w:rsidRDefault="00D018D9" w:rsidP="00C661D6">
      <w:pPr>
        <w:spacing w:beforeLines="50" w:before="120" w:afterLines="50" w:after="120"/>
        <w:jc w:val="left"/>
        <w:rPr>
          <w:rFonts w:ascii="Times New Roman" w:hAnsi="Times New Roman" w:cs="Times New Roman"/>
          <w:bCs/>
          <w:sz w:val="20"/>
          <w:szCs w:val="20"/>
        </w:rPr>
      </w:pPr>
      <w:r w:rsidRPr="00D018D9">
        <w:rPr>
          <w:rFonts w:ascii="Times New Roman" w:hAnsi="Times New Roman" w:cs="Times New Roman"/>
          <w:bCs/>
          <w:sz w:val="20"/>
          <w:szCs w:val="20"/>
        </w:rPr>
        <w:t>In RF</w:t>
      </w:r>
      <w:r>
        <w:rPr>
          <w:rFonts w:ascii="Times New Roman" w:hAnsi="Times New Roman" w:cs="Times New Roman"/>
          <w:bCs/>
          <w:sz w:val="20"/>
          <w:szCs w:val="20"/>
        </w:rPr>
        <w:t xml:space="preserve"> session, both parabolic antennas and phase antenna array are not precluded until now. If RF session has the final conclusion to include both of them or any of them, we need to discuss RRM requirements based on the antenna types. </w:t>
      </w:r>
    </w:p>
    <w:p w14:paraId="5424D30C" w14:textId="14F83449" w:rsidR="00C661D6" w:rsidRPr="00DD0B1B" w:rsidRDefault="00C661D6" w:rsidP="00C661D6">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D018D9">
        <w:rPr>
          <w:rFonts w:ascii="Times New Roman" w:hAnsi="Times New Roman" w:cs="Times New Roman"/>
          <w:b/>
          <w:sz w:val="20"/>
          <w:szCs w:val="20"/>
        </w:rPr>
        <w:t>3</w:t>
      </w:r>
      <w:r>
        <w:rPr>
          <w:rFonts w:ascii="Times New Roman" w:hAnsi="Times New Roman" w:cs="Times New Roman"/>
          <w:b/>
          <w:sz w:val="20"/>
          <w:szCs w:val="20"/>
        </w:rPr>
        <w:t xml:space="preserve">: </w:t>
      </w:r>
      <w:r w:rsidR="005A0F34">
        <w:rPr>
          <w:rFonts w:ascii="Times New Roman" w:hAnsi="Times New Roman" w:cs="Times New Roman"/>
          <w:b/>
          <w:sz w:val="20"/>
          <w:szCs w:val="20"/>
        </w:rPr>
        <w:t>For all RRM requirements in above 10GHz, RAN4 needs to discuss further by using different antenna types. Need further conclusions in RF session.</w:t>
      </w:r>
    </w:p>
    <w:p w14:paraId="79FAE03B" w14:textId="77777777" w:rsidR="00383B79" w:rsidRDefault="00383B79" w:rsidP="00383B79">
      <w:pPr>
        <w:spacing w:beforeLines="50" w:before="120" w:afterLines="50" w:after="120"/>
        <w:ind w:firstLineChars="100" w:firstLine="201"/>
        <w:jc w:val="left"/>
        <w:rPr>
          <w:rFonts w:ascii="Times New Roman" w:eastAsia="宋体" w:hAnsi="Times New Roman" w:cs="Times New Roman"/>
          <w:b/>
          <w:bCs/>
          <w:sz w:val="20"/>
          <w:szCs w:val="20"/>
        </w:rPr>
      </w:pPr>
    </w:p>
    <w:p w14:paraId="28793757" w14:textId="0AA01E99" w:rsidR="00383B79" w:rsidRDefault="00383B79" w:rsidP="00383B79">
      <w:pPr>
        <w:spacing w:beforeLines="50" w:before="120" w:afterLines="50" w:after="120"/>
        <w:ind w:firstLineChars="100" w:firstLine="201"/>
        <w:jc w:val="left"/>
        <w:rPr>
          <w:rFonts w:ascii="Times New Roman" w:eastAsia="宋体" w:hAnsi="Times New Roman" w:cs="Times New Roman"/>
          <w:b/>
          <w:bCs/>
          <w:sz w:val="20"/>
          <w:szCs w:val="20"/>
          <w:u w:val="single"/>
        </w:rPr>
      </w:pPr>
      <w:r w:rsidRPr="003063EF">
        <w:rPr>
          <w:rFonts w:ascii="Times New Roman" w:eastAsia="宋体" w:hAnsi="Times New Roman" w:cs="Times New Roman" w:hint="eastAsia"/>
          <w:b/>
          <w:bCs/>
          <w:sz w:val="20"/>
          <w:szCs w:val="20"/>
          <w:u w:val="single"/>
        </w:rPr>
        <w:t>F</w:t>
      </w:r>
      <w:r w:rsidRPr="003063EF">
        <w:rPr>
          <w:rFonts w:ascii="Times New Roman" w:eastAsia="宋体" w:hAnsi="Times New Roman" w:cs="Times New Roman"/>
          <w:b/>
          <w:bCs/>
          <w:sz w:val="20"/>
          <w:szCs w:val="20"/>
          <w:u w:val="single"/>
        </w:rPr>
        <w:t xml:space="preserve">or </w:t>
      </w:r>
      <w:r w:rsidR="00AD0835">
        <w:rPr>
          <w:rFonts w:ascii="Times New Roman" w:eastAsia="宋体" w:hAnsi="Times New Roman" w:cs="Times New Roman" w:hint="eastAsia"/>
          <w:b/>
          <w:bCs/>
          <w:sz w:val="20"/>
          <w:szCs w:val="20"/>
          <w:u w:val="single"/>
        </w:rPr>
        <w:t>NTN</w:t>
      </w:r>
      <w:r w:rsidR="00AD0835">
        <w:rPr>
          <w:rFonts w:ascii="Times New Roman" w:eastAsia="宋体" w:hAnsi="Times New Roman" w:cs="Times New Roman"/>
          <w:b/>
          <w:bCs/>
          <w:sz w:val="20"/>
          <w:szCs w:val="20"/>
          <w:u w:val="single"/>
        </w:rPr>
        <w:t>-NTN cell reselection enhancements</w:t>
      </w:r>
      <w:r w:rsidRPr="003063EF">
        <w:rPr>
          <w:rFonts w:ascii="Times New Roman" w:eastAsia="宋体" w:hAnsi="Times New Roman" w:cs="Times New Roman"/>
          <w:b/>
          <w:bCs/>
          <w:sz w:val="20"/>
          <w:szCs w:val="20"/>
          <w:u w:val="single"/>
        </w:rPr>
        <w:t>:</w:t>
      </w:r>
    </w:p>
    <w:p w14:paraId="3BC294D8" w14:textId="57DCC6A1" w:rsidR="005A0F34" w:rsidRPr="005A0F34" w:rsidRDefault="009D4C82" w:rsidP="00383B79">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kern w:val="0"/>
          <w:sz w:val="20"/>
          <w:szCs w:val="20"/>
        </w:rPr>
        <w:t>In the WF [4] of last RAN4 meeting, it is listed as below:</w:t>
      </w:r>
    </w:p>
    <w:tbl>
      <w:tblPr>
        <w:tblStyle w:val="a7"/>
        <w:tblW w:w="0" w:type="auto"/>
        <w:tblLook w:val="04A0" w:firstRow="1" w:lastRow="0" w:firstColumn="1" w:lastColumn="0" w:noHBand="0" w:noVBand="1"/>
      </w:tblPr>
      <w:tblGrid>
        <w:gridCol w:w="9629"/>
      </w:tblGrid>
      <w:tr w:rsidR="005A0F34" w14:paraId="39E68CBA" w14:textId="77777777" w:rsidTr="005A0F34">
        <w:tc>
          <w:tcPr>
            <w:tcW w:w="9629" w:type="dxa"/>
          </w:tcPr>
          <w:p w14:paraId="41DC08D9" w14:textId="77777777" w:rsidR="005A0F34" w:rsidRDefault="005A0F34" w:rsidP="005A0F34">
            <w:pPr>
              <w:outlineLvl w:val="2"/>
              <w:rPr>
                <w:b/>
                <w:u w:val="single"/>
                <w:lang w:eastAsia="ko-KR"/>
              </w:rPr>
            </w:pPr>
            <w:r>
              <w:rPr>
                <w:b/>
                <w:u w:val="single"/>
                <w:lang w:eastAsia="ko-KR"/>
              </w:rPr>
              <w:t>Issue 4-1: NTN-NTN Cell reselection enhancements for earth moving cell</w:t>
            </w:r>
          </w:p>
          <w:p w14:paraId="314C50B6" w14:textId="77777777" w:rsidR="005A0F34" w:rsidRDefault="005A0F34" w:rsidP="005A0F34">
            <w:pPr>
              <w:spacing w:after="120" w:line="252" w:lineRule="auto"/>
              <w:ind w:firstLine="284"/>
              <w:rPr>
                <w:b/>
                <w:bCs/>
                <w:u w:val="single"/>
                <w:lang w:val="en-GB" w:eastAsia="ja-JP"/>
              </w:rPr>
            </w:pPr>
            <w:r>
              <w:rPr>
                <w:b/>
                <w:u w:val="single"/>
                <w:lang w:eastAsia="ko-KR"/>
              </w:rPr>
              <w:t xml:space="preserve">Issue 4-1-A: </w:t>
            </w:r>
            <w:r>
              <w:rPr>
                <w:b/>
                <w:bCs/>
                <w:u w:val="single"/>
                <w:lang w:eastAsia="ja-JP"/>
              </w:rPr>
              <w:t>Time-based cell reselection in earth moving cell NTN deployments</w:t>
            </w:r>
          </w:p>
          <w:p w14:paraId="57C134D3" w14:textId="77777777" w:rsidR="005A0F34" w:rsidRDefault="005A0F34" w:rsidP="005A0F34">
            <w:pPr>
              <w:pStyle w:val="a8"/>
              <w:numPr>
                <w:ilvl w:val="0"/>
                <w:numId w:val="11"/>
              </w:numPr>
              <w:spacing w:after="120" w:line="276" w:lineRule="auto"/>
              <w:ind w:left="644" w:firstLineChars="0"/>
              <w:textAlignment w:val="auto"/>
              <w:rPr>
                <w:szCs w:val="24"/>
                <w:lang w:eastAsia="zh-CN"/>
              </w:rPr>
            </w:pPr>
            <w:r>
              <w:rPr>
                <w:szCs w:val="24"/>
                <w:lang w:eastAsia="zh-CN"/>
              </w:rPr>
              <w:t>No agreement.</w:t>
            </w:r>
          </w:p>
          <w:p w14:paraId="2A147345" w14:textId="77777777" w:rsidR="005A0F34" w:rsidRDefault="005A0F34" w:rsidP="005A0F34">
            <w:pPr>
              <w:rPr>
                <w:lang w:eastAsia="ja-JP"/>
              </w:rPr>
            </w:pPr>
          </w:p>
          <w:p w14:paraId="6D96F821" w14:textId="77777777" w:rsidR="005A0F34" w:rsidRDefault="005A0F34" w:rsidP="005A0F34">
            <w:pPr>
              <w:spacing w:after="120" w:line="252" w:lineRule="auto"/>
              <w:ind w:firstLine="284"/>
              <w:rPr>
                <w:b/>
                <w:bCs/>
                <w:highlight w:val="green"/>
                <w:u w:val="single"/>
                <w:lang w:eastAsia="ja-JP"/>
              </w:rPr>
            </w:pPr>
            <w:r>
              <w:rPr>
                <w:b/>
                <w:u w:val="single"/>
                <w:lang w:eastAsia="ko-KR"/>
              </w:rPr>
              <w:t xml:space="preserve">Issue 4-1-B: </w:t>
            </w:r>
            <w:r>
              <w:rPr>
                <w:b/>
                <w:bCs/>
                <w:u w:val="single"/>
                <w:lang w:eastAsia="ja-JP"/>
              </w:rPr>
              <w:t>For location-based cell reselection in earth moving cell NTN deployments</w:t>
            </w:r>
          </w:p>
          <w:p w14:paraId="53B9F090" w14:textId="77777777" w:rsidR="005A0F34" w:rsidRDefault="005A0F34" w:rsidP="005A0F34">
            <w:pPr>
              <w:spacing w:after="120" w:line="252" w:lineRule="auto"/>
              <w:ind w:firstLine="284"/>
              <w:rPr>
                <w:b/>
                <w:bCs/>
                <w:u w:val="single"/>
                <w:lang w:eastAsia="ja-JP"/>
              </w:rPr>
            </w:pPr>
            <w:r>
              <w:rPr>
                <w:b/>
                <w:bCs/>
                <w:u w:val="single"/>
                <w:lang w:eastAsia="ja-JP"/>
              </w:rPr>
              <w:t>Agreement:</w:t>
            </w:r>
          </w:p>
          <w:p w14:paraId="1F4EB7C8" w14:textId="77777777" w:rsidR="005A0F34" w:rsidRDefault="005A0F34" w:rsidP="005A0F34">
            <w:pPr>
              <w:pStyle w:val="a8"/>
              <w:numPr>
                <w:ilvl w:val="0"/>
                <w:numId w:val="11"/>
              </w:numPr>
              <w:spacing w:line="276" w:lineRule="auto"/>
              <w:ind w:left="644" w:firstLineChars="0"/>
              <w:textAlignment w:val="auto"/>
              <w:rPr>
                <w:lang w:eastAsia="ja-JP"/>
              </w:rPr>
            </w:pPr>
            <w:r>
              <w:rPr>
                <w:lang w:eastAsia="ja-JP"/>
              </w:rPr>
              <w:t xml:space="preserve">For </w:t>
            </w:r>
            <w:r>
              <w:rPr>
                <w:szCs w:val="24"/>
                <w:lang w:eastAsia="zh-CN"/>
              </w:rPr>
              <w:t>location-based cell reselection in earth moving cell NTN deployments:</w:t>
            </w:r>
          </w:p>
          <w:p w14:paraId="29ED239D" w14:textId="77777777" w:rsidR="005A0F34" w:rsidRDefault="005A0F34" w:rsidP="005A0F34">
            <w:pPr>
              <w:pStyle w:val="a8"/>
              <w:numPr>
                <w:ilvl w:val="1"/>
                <w:numId w:val="11"/>
              </w:numPr>
              <w:spacing w:line="276" w:lineRule="auto"/>
              <w:ind w:left="1364" w:firstLineChars="0"/>
              <w:textAlignment w:val="auto"/>
              <w:rPr>
                <w:lang w:eastAsia="ja-JP"/>
              </w:rPr>
            </w:pPr>
            <w:r>
              <w:rPr>
                <w:szCs w:val="24"/>
                <w:lang w:eastAsia="zh-CN"/>
              </w:rPr>
              <w:t>Whether the coverage information of serving cell is (absolutely) necessary:</w:t>
            </w:r>
          </w:p>
          <w:p w14:paraId="097BFB1B" w14:textId="77777777" w:rsidR="005A0F34" w:rsidRDefault="005A0F34" w:rsidP="005A0F34">
            <w:pPr>
              <w:pStyle w:val="a8"/>
              <w:numPr>
                <w:ilvl w:val="2"/>
                <w:numId w:val="11"/>
              </w:numPr>
              <w:spacing w:line="276" w:lineRule="auto"/>
              <w:ind w:left="2084" w:firstLineChars="0"/>
              <w:textAlignment w:val="auto"/>
              <w:rPr>
                <w:lang w:eastAsia="ja-JP"/>
              </w:rPr>
            </w:pPr>
            <w:r>
              <w:rPr>
                <w:lang w:eastAsia="ja-JP"/>
              </w:rPr>
              <w:t xml:space="preserve">No consensus in the group on whether serving </w:t>
            </w:r>
            <w:r>
              <w:rPr>
                <w:szCs w:val="24"/>
                <w:lang w:eastAsia="zh-CN"/>
              </w:rPr>
              <w:t>cell coverage information is absolutely necessary.</w:t>
            </w:r>
          </w:p>
          <w:p w14:paraId="745CEFB5" w14:textId="77777777" w:rsidR="005A0F34" w:rsidRDefault="005A0F34" w:rsidP="005A0F34">
            <w:pPr>
              <w:pStyle w:val="a8"/>
              <w:numPr>
                <w:ilvl w:val="2"/>
                <w:numId w:val="11"/>
              </w:numPr>
              <w:spacing w:line="276" w:lineRule="auto"/>
              <w:ind w:left="2084" w:firstLineChars="0"/>
              <w:textAlignment w:val="auto"/>
              <w:rPr>
                <w:lang w:eastAsia="ja-JP"/>
              </w:rPr>
            </w:pPr>
            <w:r>
              <w:rPr>
                <w:lang w:eastAsia="ja-JP"/>
              </w:rPr>
              <w:t>Consider further progress and conclusion from RAN2, if any</w:t>
            </w:r>
          </w:p>
          <w:p w14:paraId="2C64D5BC" w14:textId="77777777" w:rsidR="005A0F34" w:rsidRDefault="005A0F34" w:rsidP="005A0F34">
            <w:pPr>
              <w:pStyle w:val="a8"/>
              <w:numPr>
                <w:ilvl w:val="1"/>
                <w:numId w:val="11"/>
              </w:numPr>
              <w:spacing w:line="276" w:lineRule="auto"/>
              <w:ind w:left="1364" w:firstLineChars="0"/>
              <w:textAlignment w:val="auto"/>
              <w:rPr>
                <w:lang w:eastAsia="ja-JP"/>
              </w:rPr>
            </w:pPr>
            <w:r>
              <w:rPr>
                <w:lang w:eastAsia="ja-JP"/>
              </w:rPr>
              <w:t xml:space="preserve">Whether and to what extent </w:t>
            </w:r>
            <w:r>
              <w:rPr>
                <w:szCs w:val="24"/>
                <w:lang w:eastAsia="zh-CN"/>
              </w:rPr>
              <w:t>restrict the use of the values of DRX cycle:</w:t>
            </w:r>
          </w:p>
          <w:p w14:paraId="33686530" w14:textId="77777777" w:rsidR="005A0F34" w:rsidRDefault="005A0F34" w:rsidP="005A0F34">
            <w:pPr>
              <w:pStyle w:val="a8"/>
              <w:numPr>
                <w:ilvl w:val="2"/>
                <w:numId w:val="11"/>
              </w:numPr>
              <w:spacing w:line="276" w:lineRule="auto"/>
              <w:ind w:left="2084" w:firstLineChars="0"/>
              <w:textAlignment w:val="auto"/>
              <w:rPr>
                <w:szCs w:val="21"/>
                <w:lang w:eastAsia="ja-JP"/>
              </w:rPr>
            </w:pPr>
            <w:r>
              <w:rPr>
                <w:szCs w:val="24"/>
                <w:lang w:eastAsia="zh-CN"/>
              </w:rPr>
              <w:t>FFS: Do not further restrict DRX cycle beyond Rel-17 NR NTN.</w:t>
            </w:r>
          </w:p>
          <w:p w14:paraId="46FEBEC0" w14:textId="77777777" w:rsidR="005A0F34" w:rsidRDefault="005A0F34" w:rsidP="005A0F34">
            <w:pPr>
              <w:rPr>
                <w:lang w:eastAsia="ja-JP"/>
              </w:rPr>
            </w:pPr>
          </w:p>
          <w:p w14:paraId="35E89D33" w14:textId="77777777" w:rsidR="005A0F34" w:rsidRDefault="005A0F34" w:rsidP="005A0F34">
            <w:pPr>
              <w:spacing w:after="120" w:line="252" w:lineRule="auto"/>
              <w:ind w:firstLine="284"/>
              <w:rPr>
                <w:b/>
                <w:bCs/>
                <w:u w:val="single"/>
                <w:lang w:eastAsia="ja-JP"/>
              </w:rPr>
            </w:pPr>
            <w:r>
              <w:rPr>
                <w:b/>
                <w:u w:val="single"/>
                <w:lang w:eastAsia="ko-KR"/>
              </w:rPr>
              <w:t xml:space="preserve">Issue 4-1-C: </w:t>
            </w:r>
            <w:r>
              <w:rPr>
                <w:b/>
                <w:bCs/>
                <w:u w:val="single"/>
                <w:lang w:eastAsia="ja-JP"/>
              </w:rPr>
              <w:t>whether and how to manipulate Kcarrier in Ttrigger</w:t>
            </w:r>
          </w:p>
          <w:p w14:paraId="0D70C29C" w14:textId="37E37203" w:rsidR="005A0F34" w:rsidRDefault="005A0F34" w:rsidP="005A0F34">
            <w:pPr>
              <w:pStyle w:val="a8"/>
              <w:numPr>
                <w:ilvl w:val="0"/>
                <w:numId w:val="11"/>
              </w:numPr>
              <w:spacing w:after="120" w:line="276" w:lineRule="auto"/>
              <w:ind w:left="644" w:firstLineChars="0"/>
              <w:textAlignment w:val="auto"/>
              <w:rPr>
                <w:rFonts w:eastAsia="宋体"/>
                <w:b/>
                <w:bCs/>
                <w:u w:val="single"/>
              </w:rPr>
            </w:pPr>
            <w:r>
              <w:rPr>
                <w:szCs w:val="24"/>
                <w:lang w:eastAsia="zh-CN"/>
              </w:rPr>
              <w:t>No agreement. Further discussion in May meeting for “earth moving cell” and “quasi-earth fixed cell.”</w:t>
            </w:r>
          </w:p>
        </w:tc>
      </w:tr>
    </w:tbl>
    <w:p w14:paraId="2FBDA21F" w14:textId="77777777" w:rsidR="005A0F34" w:rsidRDefault="005A0F34" w:rsidP="00383B79">
      <w:pPr>
        <w:spacing w:beforeLines="50" w:before="120" w:afterLines="50" w:after="120"/>
        <w:ind w:firstLineChars="100" w:firstLine="201"/>
        <w:jc w:val="left"/>
        <w:rPr>
          <w:rFonts w:ascii="Times New Roman" w:eastAsia="宋体" w:hAnsi="Times New Roman" w:cs="Times New Roman"/>
          <w:b/>
          <w:bCs/>
          <w:sz w:val="20"/>
          <w:szCs w:val="20"/>
          <w:u w:val="single"/>
        </w:rPr>
      </w:pPr>
    </w:p>
    <w:p w14:paraId="7EE8C8AA" w14:textId="057C72F6" w:rsidR="005A0F34" w:rsidRDefault="005A0F34" w:rsidP="0085567B">
      <w:pPr>
        <w:spacing w:beforeLines="50" w:before="120" w:afterLines="50" w:after="120"/>
        <w:ind w:firstLineChars="100" w:firstLine="200"/>
        <w:jc w:val="left"/>
        <w:rPr>
          <w:rFonts w:ascii="Times New Roman" w:eastAsia="宋体" w:hAnsi="Times New Roman" w:cs="Times New Roman"/>
          <w:sz w:val="20"/>
          <w:szCs w:val="20"/>
        </w:rPr>
      </w:pPr>
      <w:r w:rsidRPr="0085567B">
        <w:rPr>
          <w:rFonts w:ascii="Times New Roman" w:eastAsia="宋体" w:hAnsi="Times New Roman" w:cs="Times New Roman"/>
          <w:sz w:val="20"/>
          <w:szCs w:val="20"/>
        </w:rPr>
        <w:t>In RAN2</w:t>
      </w:r>
      <w:r w:rsidR="0085567B" w:rsidRPr="0085567B">
        <w:rPr>
          <w:rFonts w:ascii="Times New Roman" w:eastAsia="宋体" w:hAnsi="Times New Roman" w:cs="Times New Roman"/>
          <w:sz w:val="20"/>
          <w:szCs w:val="20"/>
        </w:rPr>
        <w:t>#121bis-e meeting, the agreements are captured as below:</w:t>
      </w:r>
    </w:p>
    <w:p w14:paraId="5F8DFAF2" w14:textId="77777777" w:rsidR="0085567B" w:rsidRDefault="0085567B" w:rsidP="0085567B">
      <w:pPr>
        <w:pStyle w:val="Doc-text2"/>
        <w:pBdr>
          <w:top w:val="single" w:sz="4" w:space="1" w:color="auto"/>
          <w:left w:val="single" w:sz="4" w:space="4" w:color="auto"/>
          <w:bottom w:val="single" w:sz="4" w:space="1" w:color="auto"/>
          <w:right w:val="single" w:sz="4" w:space="4" w:color="auto"/>
        </w:pBdr>
      </w:pPr>
      <w:r>
        <w:t>Agreements:</w:t>
      </w:r>
    </w:p>
    <w:p w14:paraId="64E11032" w14:textId="77777777" w:rsidR="0085567B" w:rsidRDefault="0085567B" w:rsidP="0085567B">
      <w:pPr>
        <w:pStyle w:val="Doc-text2"/>
        <w:numPr>
          <w:ilvl w:val="0"/>
          <w:numId w:val="12"/>
        </w:numPr>
        <w:pBdr>
          <w:top w:val="single" w:sz="4" w:space="1" w:color="auto"/>
          <w:left w:val="single" w:sz="4" w:space="4" w:color="auto"/>
          <w:bottom w:val="single" w:sz="4" w:space="1" w:color="auto"/>
          <w:right w:val="single" w:sz="4" w:space="4" w:color="auto"/>
        </w:pBdr>
      </w:pPr>
      <w: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14:paraId="293738CA" w14:textId="77777777" w:rsidR="0085567B" w:rsidRDefault="0085567B" w:rsidP="0085567B">
      <w:pPr>
        <w:pStyle w:val="Doc-text2"/>
        <w:numPr>
          <w:ilvl w:val="0"/>
          <w:numId w:val="12"/>
        </w:numPr>
        <w:pBdr>
          <w:top w:val="single" w:sz="4" w:space="1" w:color="auto"/>
          <w:left w:val="single" w:sz="4" w:space="4" w:color="auto"/>
          <w:bottom w:val="single" w:sz="4" w:space="1" w:color="auto"/>
          <w:right w:val="single" w:sz="4" w:space="4" w:color="auto"/>
        </w:pBdr>
      </w:pPr>
      <w:r>
        <w:t>For earth-moving cell, new IE is introduced to indicate the reference location of serving cell.</w:t>
      </w:r>
    </w:p>
    <w:p w14:paraId="468A6311" w14:textId="77777777" w:rsidR="0085567B" w:rsidRDefault="0085567B" w:rsidP="0085567B">
      <w:pPr>
        <w:pStyle w:val="Doc-text2"/>
        <w:numPr>
          <w:ilvl w:val="0"/>
          <w:numId w:val="12"/>
        </w:numPr>
        <w:pBdr>
          <w:top w:val="single" w:sz="4" w:space="1" w:color="auto"/>
          <w:left w:val="single" w:sz="4" w:space="4" w:color="auto"/>
          <w:bottom w:val="single" w:sz="4" w:space="1" w:color="auto"/>
          <w:right w:val="single" w:sz="4" w:space="4" w:color="auto"/>
        </w:pBdr>
      </w:pPr>
      <w:r>
        <w:lastRenderedPageBreak/>
        <w:t>For cell (re)selection in earth-moving system, a distance threshold is introduced for location-based measurement initiation, which reuses distanceThresh in SIB19.</w:t>
      </w:r>
    </w:p>
    <w:p w14:paraId="46075A2B" w14:textId="77777777" w:rsidR="0085567B" w:rsidRDefault="0085567B" w:rsidP="0085567B">
      <w:pPr>
        <w:pStyle w:val="Doc-text2"/>
        <w:numPr>
          <w:ilvl w:val="0"/>
          <w:numId w:val="12"/>
        </w:numPr>
        <w:pBdr>
          <w:top w:val="single" w:sz="4" w:space="1" w:color="auto"/>
          <w:left w:val="single" w:sz="4" w:space="4" w:color="auto"/>
          <w:bottom w:val="single" w:sz="4" w:space="1" w:color="auto"/>
          <w:right w:val="single" w:sz="4" w:space="4" w:color="auto"/>
        </w:pBdr>
      </w:pPr>
      <w:r>
        <w:t>For cell (re)selection in earth-moving system, time-based measurement initiation is used to address feeder-link switch case.</w:t>
      </w:r>
    </w:p>
    <w:p w14:paraId="231AF90B" w14:textId="77777777" w:rsidR="0085567B" w:rsidRDefault="0085567B" w:rsidP="0085567B">
      <w:pPr>
        <w:pStyle w:val="Doc-text2"/>
        <w:numPr>
          <w:ilvl w:val="0"/>
          <w:numId w:val="12"/>
        </w:numPr>
        <w:pBdr>
          <w:top w:val="single" w:sz="4" w:space="1" w:color="auto"/>
          <w:left w:val="single" w:sz="4" w:space="4" w:color="auto"/>
          <w:bottom w:val="single" w:sz="4" w:space="1" w:color="auto"/>
          <w:right w:val="single" w:sz="4" w:space="4" w:color="auto"/>
        </w:pBdr>
      </w:pPr>
      <w:r>
        <w:t>Time-based cell reselection criteria is not pursued in R18.</w:t>
      </w:r>
    </w:p>
    <w:p w14:paraId="38B2B9F4" w14:textId="75B54B33" w:rsidR="00997941" w:rsidRDefault="006F0849" w:rsidP="00997941">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From the agreements, it can </w:t>
      </w:r>
      <w:r w:rsidR="009D4C82">
        <w:rPr>
          <w:rFonts w:ascii="Times New Roman" w:eastAsia="宋体" w:hAnsi="Times New Roman" w:cs="Times New Roman"/>
          <w:sz w:val="20"/>
          <w:szCs w:val="20"/>
        </w:rPr>
        <w:t xml:space="preserve">be </w:t>
      </w:r>
      <w:r>
        <w:rPr>
          <w:rFonts w:ascii="Times New Roman" w:eastAsia="宋体" w:hAnsi="Times New Roman" w:cs="Times New Roman"/>
          <w:sz w:val="20"/>
          <w:szCs w:val="20"/>
        </w:rPr>
        <w:t xml:space="preserve">observed that </w:t>
      </w:r>
      <w:r w:rsidR="009D4C82">
        <w:rPr>
          <w:rFonts w:ascii="Times New Roman" w:eastAsia="宋体" w:hAnsi="Times New Roman" w:cs="Times New Roman"/>
          <w:sz w:val="20"/>
          <w:szCs w:val="20"/>
        </w:rPr>
        <w:t xml:space="preserve">location-based measurements will be applied in Rel-18 earth-moving system. </w:t>
      </w:r>
      <w:r w:rsidR="00997941">
        <w:rPr>
          <w:rFonts w:ascii="Times New Roman" w:eastAsia="宋体" w:hAnsi="Times New Roman" w:cs="Times New Roman"/>
          <w:sz w:val="20"/>
          <w:szCs w:val="20"/>
        </w:rPr>
        <w:t>Time-based measurement initiation is used to address feeder-link switch case.</w:t>
      </w:r>
    </w:p>
    <w:p w14:paraId="46DE6584" w14:textId="46C942E3" w:rsidR="00997941" w:rsidRDefault="00997941" w:rsidP="00762456">
      <w:pPr>
        <w:spacing w:beforeLines="50" w:before="120" w:afterLines="50" w:after="120"/>
        <w:jc w:val="left"/>
        <w:rPr>
          <w:rFonts w:ascii="Times New Roman" w:eastAsia="宋体" w:hAnsi="Times New Roman" w:cs="Times New Roman"/>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4: RAN4 should update the </w:t>
      </w:r>
      <w:r w:rsidR="00C94568">
        <w:rPr>
          <w:rFonts w:ascii="Times New Roman" w:hAnsi="Times New Roman" w:cs="Times New Roman"/>
          <w:b/>
          <w:sz w:val="20"/>
          <w:szCs w:val="20"/>
        </w:rPr>
        <w:t xml:space="preserve">RRM requirements in 4.2C.2 for time-based measurement initiation for earth-moving scenario. For location-based cell reselection criteria, wait for further RAN2 progress. </w:t>
      </w:r>
    </w:p>
    <w:p w14:paraId="2305DDDA" w14:textId="3AA80179" w:rsidR="00AA72C5" w:rsidRDefault="00AA72C5" w:rsidP="00383B79">
      <w:pPr>
        <w:spacing w:beforeLines="50" w:before="120" w:afterLines="50" w:after="120"/>
        <w:ind w:firstLineChars="100" w:firstLine="200"/>
        <w:jc w:val="left"/>
        <w:rPr>
          <w:rFonts w:ascii="Times New Roman" w:eastAsia="宋体" w:hAnsi="Times New Roman" w:cs="Times New Roman"/>
          <w:sz w:val="20"/>
          <w:szCs w:val="20"/>
        </w:rPr>
      </w:pPr>
    </w:p>
    <w:p w14:paraId="61747CE3" w14:textId="2F10AB46" w:rsidR="00AA72C5" w:rsidRDefault="00AA72C5" w:rsidP="00AA72C5">
      <w:pPr>
        <w:spacing w:beforeLines="50" w:before="120" w:afterLines="50" w:after="120"/>
        <w:ind w:firstLineChars="100" w:firstLine="201"/>
        <w:jc w:val="left"/>
        <w:rPr>
          <w:rFonts w:ascii="Times New Roman" w:eastAsia="宋体" w:hAnsi="Times New Roman" w:cs="Times New Roman"/>
          <w:b/>
          <w:bCs/>
          <w:sz w:val="20"/>
          <w:szCs w:val="20"/>
          <w:u w:val="single"/>
        </w:rPr>
      </w:pPr>
      <w:r w:rsidRPr="003063EF">
        <w:rPr>
          <w:rFonts w:ascii="Times New Roman" w:eastAsia="宋体" w:hAnsi="Times New Roman" w:cs="Times New Roman" w:hint="eastAsia"/>
          <w:b/>
          <w:bCs/>
          <w:sz w:val="20"/>
          <w:szCs w:val="20"/>
          <w:u w:val="single"/>
        </w:rPr>
        <w:t>F</w:t>
      </w:r>
      <w:r w:rsidRPr="003063EF">
        <w:rPr>
          <w:rFonts w:ascii="Times New Roman" w:eastAsia="宋体" w:hAnsi="Times New Roman" w:cs="Times New Roman"/>
          <w:b/>
          <w:bCs/>
          <w:sz w:val="20"/>
          <w:szCs w:val="20"/>
          <w:u w:val="single"/>
        </w:rPr>
        <w:t xml:space="preserve">or </w:t>
      </w:r>
      <w:r w:rsidR="00003DC5">
        <w:rPr>
          <w:rFonts w:ascii="Times New Roman" w:eastAsia="宋体" w:hAnsi="Times New Roman" w:cs="Times New Roman" w:hint="eastAsia"/>
          <w:b/>
          <w:bCs/>
          <w:sz w:val="20"/>
          <w:szCs w:val="20"/>
          <w:u w:val="single"/>
        </w:rPr>
        <w:t>N</w:t>
      </w:r>
      <w:r>
        <w:rPr>
          <w:rFonts w:ascii="Times New Roman" w:eastAsia="宋体" w:hAnsi="Times New Roman" w:cs="Times New Roman" w:hint="eastAsia"/>
          <w:b/>
          <w:bCs/>
          <w:sz w:val="20"/>
          <w:szCs w:val="20"/>
          <w:u w:val="single"/>
        </w:rPr>
        <w:t>TN</w:t>
      </w:r>
      <w:r>
        <w:rPr>
          <w:rFonts w:ascii="Times New Roman" w:eastAsia="宋体" w:hAnsi="Times New Roman" w:cs="Times New Roman"/>
          <w:b/>
          <w:bCs/>
          <w:sz w:val="20"/>
          <w:szCs w:val="20"/>
          <w:u w:val="single"/>
        </w:rPr>
        <w:t>-TN cell reselection enhancements</w:t>
      </w:r>
      <w:r w:rsidRPr="003063EF">
        <w:rPr>
          <w:rFonts w:ascii="Times New Roman" w:eastAsia="宋体" w:hAnsi="Times New Roman" w:cs="Times New Roman"/>
          <w:b/>
          <w:bCs/>
          <w:sz w:val="20"/>
          <w:szCs w:val="20"/>
          <w:u w:val="single"/>
        </w:rPr>
        <w:t>:</w:t>
      </w:r>
    </w:p>
    <w:p w14:paraId="5A4D459D" w14:textId="76DC82C7" w:rsidR="00AA72C5" w:rsidRDefault="00AA72C5" w:rsidP="00383B79">
      <w:pPr>
        <w:spacing w:beforeLines="50" w:before="120" w:afterLines="50" w:after="120"/>
        <w:ind w:firstLineChars="100" w:firstLine="20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the WF [4] of last RAN4 meeting, it is listed as below:</w:t>
      </w:r>
    </w:p>
    <w:tbl>
      <w:tblPr>
        <w:tblStyle w:val="a7"/>
        <w:tblW w:w="0" w:type="auto"/>
        <w:tblLook w:val="04A0" w:firstRow="1" w:lastRow="0" w:firstColumn="1" w:lastColumn="0" w:noHBand="0" w:noVBand="1"/>
      </w:tblPr>
      <w:tblGrid>
        <w:gridCol w:w="9629"/>
      </w:tblGrid>
      <w:tr w:rsidR="00AA72C5" w14:paraId="74E6BF05" w14:textId="77777777" w:rsidTr="00AA72C5">
        <w:tc>
          <w:tcPr>
            <w:tcW w:w="9629" w:type="dxa"/>
          </w:tcPr>
          <w:p w14:paraId="407AFD09" w14:textId="77777777" w:rsidR="00AA72C5" w:rsidRDefault="00AA72C5" w:rsidP="00AA72C5">
            <w:pPr>
              <w:outlineLvl w:val="2"/>
              <w:rPr>
                <w:b/>
                <w:u w:val="single"/>
                <w:lang w:eastAsia="ko-KR"/>
              </w:rPr>
            </w:pPr>
            <w:r>
              <w:rPr>
                <w:b/>
                <w:u w:val="single"/>
                <w:lang w:eastAsia="ko-KR"/>
              </w:rPr>
              <w:t>Issue 4-2: NTN-TN Cell reselection enhancements (to reduce UE power consumption)</w:t>
            </w:r>
          </w:p>
          <w:p w14:paraId="494A1225" w14:textId="77777777" w:rsidR="00AA72C5" w:rsidRDefault="00AA72C5" w:rsidP="00AA72C5">
            <w:pPr>
              <w:pStyle w:val="a8"/>
              <w:numPr>
                <w:ilvl w:val="0"/>
                <w:numId w:val="11"/>
              </w:numPr>
              <w:spacing w:line="276" w:lineRule="auto"/>
              <w:ind w:left="644" w:firstLineChars="0"/>
              <w:textAlignment w:val="auto"/>
              <w:rPr>
                <w:lang w:eastAsia="ja-JP"/>
              </w:rPr>
            </w:pPr>
            <w:r>
              <w:rPr>
                <w:lang w:eastAsia="ja-JP"/>
              </w:rPr>
              <w:t>No agreement. Wait for further progress from RAN2. Companies can provide further analyses in the next meeting as usual. The analyses and discussions may depend on the following aspects:</w:t>
            </w:r>
          </w:p>
          <w:p w14:paraId="39A6E10B" w14:textId="77777777" w:rsidR="00AA72C5" w:rsidRDefault="00AA72C5" w:rsidP="00AA72C5">
            <w:pPr>
              <w:pStyle w:val="a8"/>
              <w:numPr>
                <w:ilvl w:val="1"/>
                <w:numId w:val="11"/>
              </w:numPr>
              <w:spacing w:line="276" w:lineRule="auto"/>
              <w:ind w:left="1364" w:firstLineChars="0"/>
              <w:textAlignment w:val="auto"/>
              <w:rPr>
                <w:lang w:eastAsia="ja-JP"/>
              </w:rPr>
            </w:pPr>
            <w:r>
              <w:rPr>
                <w:lang w:eastAsia="ja-JP"/>
              </w:rPr>
              <w:t>The direction of cell reselection, e.g. from TN to NTN, from NTN to TN</w:t>
            </w:r>
          </w:p>
          <w:p w14:paraId="52144766" w14:textId="77777777" w:rsidR="00AA72C5" w:rsidRDefault="00AA72C5" w:rsidP="00AA72C5">
            <w:pPr>
              <w:pStyle w:val="a8"/>
              <w:numPr>
                <w:ilvl w:val="1"/>
                <w:numId w:val="11"/>
              </w:numPr>
              <w:spacing w:line="276" w:lineRule="auto"/>
              <w:ind w:left="1364" w:firstLineChars="0"/>
              <w:textAlignment w:val="auto"/>
              <w:rPr>
                <w:lang w:eastAsia="ja-JP"/>
              </w:rPr>
            </w:pPr>
            <w:r>
              <w:rPr>
                <w:lang w:eastAsia="ja-JP"/>
              </w:rPr>
              <w:t>The type of satellites, e.g. GEO, GSO, NGSO</w:t>
            </w:r>
          </w:p>
          <w:p w14:paraId="6F03FD2D" w14:textId="77777777" w:rsidR="00AA72C5" w:rsidRDefault="00AA72C5" w:rsidP="00AA72C5">
            <w:pPr>
              <w:pStyle w:val="a8"/>
              <w:numPr>
                <w:ilvl w:val="1"/>
                <w:numId w:val="11"/>
              </w:numPr>
              <w:spacing w:line="276" w:lineRule="auto"/>
              <w:ind w:left="1364" w:firstLineChars="0"/>
              <w:textAlignment w:val="auto"/>
              <w:rPr>
                <w:lang w:eastAsia="ja-JP"/>
              </w:rPr>
            </w:pPr>
            <w:r>
              <w:rPr>
                <w:lang w:eastAsia="ja-JP"/>
              </w:rPr>
              <w:t>The type of NTN cell deployment, e.g. earth fixed cell vs. earth moving cell</w:t>
            </w:r>
          </w:p>
          <w:p w14:paraId="0714A17C" w14:textId="77777777" w:rsidR="00AA72C5" w:rsidRDefault="00AA72C5" w:rsidP="00AA72C5">
            <w:pPr>
              <w:pStyle w:val="a8"/>
              <w:numPr>
                <w:ilvl w:val="1"/>
                <w:numId w:val="11"/>
              </w:numPr>
              <w:spacing w:line="276" w:lineRule="auto"/>
              <w:ind w:left="1364" w:firstLineChars="0"/>
              <w:textAlignment w:val="auto"/>
              <w:rPr>
                <w:lang w:eastAsia="ja-JP"/>
              </w:rPr>
            </w:pPr>
            <w:r>
              <w:rPr>
                <w:lang w:eastAsia="ja-JP"/>
              </w:rPr>
              <w:t xml:space="preserve">Accuracy of TN coverage information provided by NTN cell. </w:t>
            </w:r>
          </w:p>
          <w:p w14:paraId="77939C79" w14:textId="3D83C885" w:rsidR="00AA72C5" w:rsidRDefault="00AA72C5" w:rsidP="00AA72C5">
            <w:pPr>
              <w:pStyle w:val="a8"/>
              <w:numPr>
                <w:ilvl w:val="1"/>
                <w:numId w:val="11"/>
              </w:numPr>
              <w:spacing w:line="276" w:lineRule="auto"/>
              <w:ind w:left="1364" w:firstLineChars="0"/>
              <w:textAlignment w:val="auto"/>
              <w:rPr>
                <w:rFonts w:eastAsia="宋体"/>
              </w:rPr>
            </w:pPr>
            <w:r>
              <w:rPr>
                <w:lang w:eastAsia="ja-JP"/>
              </w:rPr>
              <w:t>Whether assistance information of neighbour NTN cells ( e.g. ephemeris data, frequency layer and PCI) provided by serving TN cell is mandatory in terms of RRM requirement definition/applicability</w:t>
            </w:r>
          </w:p>
        </w:tc>
      </w:tr>
    </w:tbl>
    <w:p w14:paraId="3AE4E0A2" w14:textId="4CDA4878" w:rsidR="00003DC5" w:rsidRDefault="00003DC5" w:rsidP="00003DC5">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Firstly, we think when the serving cell is TN cell or NTN cell, the cell reselection procedures are quite different. The applicable RRM requirements for cell reselection should be different. </w:t>
      </w:r>
    </w:p>
    <w:p w14:paraId="6D1B06F2" w14:textId="6F9B8FB6" w:rsidR="00003DC5" w:rsidRDefault="00003DC5" w:rsidP="00762456">
      <w:pPr>
        <w:spacing w:beforeLines="50" w:before="120" w:afterLines="50" w:after="120"/>
        <w:jc w:val="left"/>
        <w:rPr>
          <w:rFonts w:ascii="Times New Roman" w:eastAsia="宋体" w:hAnsi="Times New Roman" w:cs="Times New Roman"/>
          <w:b/>
          <w:bCs/>
          <w:sz w:val="20"/>
          <w:szCs w:val="20"/>
        </w:rPr>
      </w:pPr>
      <w:r w:rsidRPr="00762456">
        <w:rPr>
          <w:rFonts w:ascii="Times New Roman" w:hAnsi="Times New Roman" w:cs="Times New Roman"/>
          <w:b/>
          <w:sz w:val="20"/>
          <w:szCs w:val="20"/>
        </w:rPr>
        <w:t>Proposal</w:t>
      </w:r>
      <w:r w:rsidRPr="0032345A">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5</w:t>
      </w:r>
      <w:r w:rsidRPr="0032345A">
        <w:rPr>
          <w:rFonts w:ascii="Times New Roman" w:eastAsia="宋体" w:hAnsi="Times New Roman" w:cs="Times New Roman"/>
          <w:b/>
          <w:bCs/>
          <w:sz w:val="20"/>
          <w:szCs w:val="20"/>
        </w:rPr>
        <w:t xml:space="preserve">: Define different cell reselection requirements when the serving cell is TN cell or NTN cell. </w:t>
      </w:r>
      <w:r>
        <w:rPr>
          <w:rFonts w:ascii="Times New Roman" w:eastAsia="宋体" w:hAnsi="Times New Roman" w:cs="Times New Roman"/>
          <w:b/>
          <w:bCs/>
          <w:sz w:val="20"/>
          <w:szCs w:val="20"/>
        </w:rPr>
        <w:t>Separate NTN-TN and TN-NTN cell reselection.</w:t>
      </w:r>
    </w:p>
    <w:p w14:paraId="75F72311" w14:textId="4E66D5AC" w:rsidR="00003DC5" w:rsidRDefault="0073252B" w:rsidP="00003DC5">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RAN2#121bis-e meeting, the agreements are captured as below:</w:t>
      </w:r>
    </w:p>
    <w:tbl>
      <w:tblPr>
        <w:tblStyle w:val="a7"/>
        <w:tblW w:w="0" w:type="auto"/>
        <w:tblLook w:val="04A0" w:firstRow="1" w:lastRow="0" w:firstColumn="1" w:lastColumn="0" w:noHBand="0" w:noVBand="1"/>
      </w:tblPr>
      <w:tblGrid>
        <w:gridCol w:w="9629"/>
      </w:tblGrid>
      <w:tr w:rsidR="0073252B" w14:paraId="717CD50F" w14:textId="77777777" w:rsidTr="0073252B">
        <w:tc>
          <w:tcPr>
            <w:tcW w:w="9629" w:type="dxa"/>
          </w:tcPr>
          <w:p w14:paraId="4EDBE22F" w14:textId="465D14F2" w:rsidR="0073252B" w:rsidRDefault="0073252B" w:rsidP="0073252B">
            <w:pPr>
              <w:spacing w:beforeLines="50" w:before="120" w:afterLines="50" w:after="120"/>
              <w:jc w:val="left"/>
            </w:pPr>
            <w:r>
              <w:rPr>
                <w:rFonts w:hint="eastAsia"/>
              </w:rPr>
              <w:t>A</w:t>
            </w:r>
            <w:r>
              <w:t>greements:</w:t>
            </w:r>
          </w:p>
          <w:p w14:paraId="7BF94F51" w14:textId="22FF9628" w:rsidR="0073252B" w:rsidRDefault="0073252B" w:rsidP="0073252B">
            <w:pPr>
              <w:spacing w:beforeLines="50" w:before="120" w:afterLines="50" w:after="120"/>
              <w:jc w:val="left"/>
            </w:pPr>
            <w: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p w14:paraId="3EC23A64" w14:textId="77777777" w:rsidR="0073252B" w:rsidRDefault="0073252B" w:rsidP="0073252B">
            <w:pPr>
              <w:spacing w:beforeLines="50" w:before="120" w:afterLines="50" w:after="120"/>
              <w:jc w:val="left"/>
            </w:pPr>
          </w:p>
          <w:p w14:paraId="10B5C63D" w14:textId="77777777" w:rsidR="0073252B" w:rsidRDefault="0073252B" w:rsidP="0073252B">
            <w:pPr>
              <w:pStyle w:val="Doc-text2"/>
              <w:pBdr>
                <w:top w:val="single" w:sz="4" w:space="1" w:color="auto"/>
                <w:left w:val="single" w:sz="4" w:space="4" w:color="auto"/>
                <w:bottom w:val="single" w:sz="4" w:space="1" w:color="auto"/>
                <w:right w:val="single" w:sz="4" w:space="4" w:color="auto"/>
              </w:pBdr>
            </w:pPr>
            <w:r>
              <w:t>Agreements via email – from offline 106:</w:t>
            </w:r>
          </w:p>
          <w:p w14:paraId="2882BE99" w14:textId="77777777" w:rsidR="0073252B" w:rsidRDefault="0073252B" w:rsidP="0073252B">
            <w:pPr>
              <w:pStyle w:val="Doc-text2"/>
              <w:numPr>
                <w:ilvl w:val="0"/>
                <w:numId w:val="13"/>
              </w:numPr>
              <w:pBdr>
                <w:top w:val="single" w:sz="4" w:space="1" w:color="auto"/>
                <w:left w:val="single" w:sz="4" w:space="4" w:color="auto"/>
                <w:bottom w:val="single" w:sz="4" w:space="1" w:color="auto"/>
                <w:right w:val="single" w:sz="4" w:space="4" w:color="auto"/>
              </w:pBdr>
            </w:pPr>
            <w:r>
              <w:t>Area center location and its radius for TN coverage information is signalled using Ellipsoid-Point and radius separately. FFS if Rel-17 referenceLocation and distanceThresh are directly reused</w:t>
            </w:r>
          </w:p>
          <w:p w14:paraId="3AD6B30C" w14:textId="77777777" w:rsidR="0073252B" w:rsidRDefault="0073252B" w:rsidP="0073252B">
            <w:pPr>
              <w:pStyle w:val="Doc-text2"/>
              <w:numPr>
                <w:ilvl w:val="0"/>
                <w:numId w:val="13"/>
              </w:numPr>
              <w:pBdr>
                <w:top w:val="single" w:sz="4" w:space="1" w:color="auto"/>
                <w:left w:val="single" w:sz="4" w:space="4" w:color="auto"/>
                <w:bottom w:val="single" w:sz="4" w:space="1" w:color="auto"/>
                <w:right w:val="single" w:sz="4" w:space="4" w:color="auto"/>
              </w:pBdr>
            </w:pPr>
            <w:r>
              <w:t>Decision on the size of TN coverage area list is postponed until more is known on the format of this information and how is it sent.</w:t>
            </w:r>
          </w:p>
          <w:p w14:paraId="765F3AEF" w14:textId="77777777" w:rsidR="0073252B" w:rsidRDefault="0073252B" w:rsidP="0073252B">
            <w:pPr>
              <w:spacing w:beforeLines="50" w:before="120" w:afterLines="50" w:after="120"/>
              <w:jc w:val="left"/>
            </w:pPr>
          </w:p>
          <w:p w14:paraId="307978EE" w14:textId="77777777" w:rsidR="000B773F" w:rsidRDefault="000B773F" w:rsidP="000B773F">
            <w:pPr>
              <w:pStyle w:val="Doc-text2"/>
              <w:pBdr>
                <w:top w:val="single" w:sz="4" w:space="1" w:color="auto"/>
                <w:left w:val="single" w:sz="4" w:space="4" w:color="auto"/>
                <w:bottom w:val="single" w:sz="4" w:space="1" w:color="auto"/>
                <w:right w:val="single" w:sz="4" w:space="4" w:color="auto"/>
              </w:pBdr>
            </w:pPr>
            <w:r>
              <w:t>Agreements online:</w:t>
            </w:r>
          </w:p>
          <w:p w14:paraId="3F2104C6" w14:textId="77777777" w:rsidR="000B773F" w:rsidRDefault="000B773F" w:rsidP="000B773F">
            <w:pPr>
              <w:pStyle w:val="Doc-text2"/>
              <w:numPr>
                <w:ilvl w:val="0"/>
                <w:numId w:val="14"/>
              </w:numPr>
              <w:pBdr>
                <w:top w:val="single" w:sz="4" w:space="1" w:color="auto"/>
                <w:left w:val="single" w:sz="4" w:space="4" w:color="auto"/>
                <w:bottom w:val="single" w:sz="4" w:space="1" w:color="auto"/>
                <w:right w:val="single" w:sz="4" w:space="4" w:color="auto"/>
              </w:pBdr>
            </w:pPr>
            <w:r>
              <w:lastRenderedPageBreak/>
              <w:t>The discussion on how to indicate the frequency information for each TN coverage area should be combined with the discussion on which SIB will be used to indicate the TN coverage area, possibly based on evaluation of the signalling overhead</w:t>
            </w:r>
          </w:p>
          <w:p w14:paraId="70C0F040" w14:textId="77777777" w:rsidR="000B773F" w:rsidRDefault="000B773F" w:rsidP="000B773F">
            <w:pPr>
              <w:pStyle w:val="Doc-text2"/>
              <w:numPr>
                <w:ilvl w:val="0"/>
                <w:numId w:val="14"/>
              </w:numPr>
              <w:pBdr>
                <w:top w:val="single" w:sz="4" w:space="1" w:color="auto"/>
                <w:left w:val="single" w:sz="4" w:space="4" w:color="auto"/>
                <w:bottom w:val="single" w:sz="4" w:space="1" w:color="auto"/>
                <w:right w:val="single" w:sz="4" w:space="4" w:color="auto"/>
              </w:pBdr>
            </w:pPr>
            <w:r>
              <w:t>The acquired TN area coverage information remains valid until the next system information update of the SIB including TN coverage info</w:t>
            </w:r>
          </w:p>
          <w:p w14:paraId="34CDBCAA" w14:textId="3DE17E6A" w:rsidR="000B773F" w:rsidRDefault="000B773F" w:rsidP="000B773F">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0EBB79A9" w14:textId="3A72F7D1" w:rsidR="000B773F" w:rsidRDefault="000B773F" w:rsidP="000B773F">
            <w:pPr>
              <w:pStyle w:val="Doc-text2"/>
              <w:pBdr>
                <w:top w:val="single" w:sz="4" w:space="1" w:color="auto"/>
                <w:left w:val="single" w:sz="4" w:space="4" w:color="auto"/>
                <w:bottom w:val="single" w:sz="4" w:space="1" w:color="auto"/>
                <w:right w:val="single" w:sz="4" w:space="4" w:color="auto"/>
              </w:pBdr>
              <w:ind w:left="1259" w:firstLine="0"/>
            </w:pPr>
            <w:r>
              <w:t>We do not introduce new triggers making the UE reacquire the TN coverage information from SI</w:t>
            </w:r>
          </w:p>
          <w:p w14:paraId="56DCD8FA" w14:textId="6799F18D" w:rsidR="000B773F" w:rsidRPr="0073252B" w:rsidRDefault="000B773F" w:rsidP="000B773F">
            <w:pPr>
              <w:spacing w:beforeLines="50" w:before="120" w:afterLines="50" w:after="120"/>
              <w:jc w:val="left"/>
            </w:pPr>
          </w:p>
        </w:tc>
      </w:tr>
    </w:tbl>
    <w:p w14:paraId="5A1FFFE6" w14:textId="3CEF69F0" w:rsidR="0073252B" w:rsidRDefault="0073252B" w:rsidP="00003DC5">
      <w:pPr>
        <w:spacing w:beforeLines="50" w:before="120" w:afterLines="50" w:after="120"/>
        <w:ind w:firstLineChars="100" w:firstLine="200"/>
        <w:jc w:val="left"/>
        <w:rPr>
          <w:rFonts w:ascii="Times New Roman" w:eastAsia="宋体" w:hAnsi="Times New Roman" w:cs="Times New Roman"/>
          <w:sz w:val="20"/>
          <w:szCs w:val="20"/>
        </w:rPr>
      </w:pPr>
    </w:p>
    <w:p w14:paraId="47BFDEE0" w14:textId="365A90B6" w:rsidR="00E54C6D" w:rsidRDefault="00E54C6D" w:rsidP="00003DC5">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t can be observed TN area coverage will be introduce to TN-NTN cell reselection. </w:t>
      </w:r>
    </w:p>
    <w:p w14:paraId="4B6E64B7" w14:textId="086BDB7E" w:rsidR="008E1D85" w:rsidRDefault="008E1D85" w:rsidP="00762456">
      <w:pPr>
        <w:spacing w:beforeLines="50" w:before="120" w:afterLines="50" w:after="120"/>
        <w:jc w:val="left"/>
        <w:rPr>
          <w:rFonts w:ascii="Times New Roman" w:eastAsia="宋体" w:hAnsi="Times New Roman" w:cs="Times New Roman"/>
          <w:sz w:val="20"/>
          <w:szCs w:val="20"/>
        </w:rPr>
      </w:pPr>
      <w:r w:rsidRPr="00762456">
        <w:rPr>
          <w:rFonts w:ascii="Times New Roman" w:hAnsi="Times New Roman" w:cs="Times New Roman"/>
          <w:b/>
          <w:sz w:val="20"/>
          <w:szCs w:val="20"/>
        </w:rPr>
        <w:t>Proposal</w:t>
      </w:r>
      <w:r w:rsidRPr="0032345A">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6</w:t>
      </w:r>
      <w:r w:rsidRPr="0032345A">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TN area coverage can be used to skip </w:t>
      </w:r>
      <w:r w:rsidR="004260D0">
        <w:rPr>
          <w:rFonts w:ascii="Times New Roman" w:eastAsia="宋体" w:hAnsi="Times New Roman" w:cs="Times New Roman"/>
          <w:b/>
          <w:bCs/>
          <w:sz w:val="20"/>
          <w:szCs w:val="20"/>
        </w:rPr>
        <w:t xml:space="preserve">neighbor cell measurement when serving cell is NTN. </w:t>
      </w:r>
      <w:r w:rsidR="00854FAA">
        <w:rPr>
          <w:rFonts w:ascii="Times New Roman" w:eastAsia="宋体" w:hAnsi="Times New Roman" w:cs="Times New Roman"/>
          <w:b/>
          <w:bCs/>
          <w:sz w:val="20"/>
          <w:szCs w:val="20"/>
        </w:rPr>
        <w:t xml:space="preserve">For others, need further RAN2 progress. </w:t>
      </w:r>
    </w:p>
    <w:p w14:paraId="23B1CEB9" w14:textId="636A04CC" w:rsidR="00003DC5" w:rsidRDefault="00003DC5" w:rsidP="00003DC5">
      <w:pPr>
        <w:spacing w:beforeLines="50" w:before="120" w:afterLines="50" w:after="120"/>
        <w:ind w:firstLineChars="100" w:firstLine="200"/>
        <w:jc w:val="left"/>
        <w:rPr>
          <w:rFonts w:ascii="Times New Roman" w:eastAsia="宋体" w:hAnsi="Times New Roman" w:cs="Times New Roman"/>
          <w:sz w:val="20"/>
          <w:szCs w:val="20"/>
        </w:rPr>
      </w:pPr>
    </w:p>
    <w:p w14:paraId="049211E5" w14:textId="6415D306" w:rsidR="00AA72C5" w:rsidRDefault="005702F7" w:rsidP="005702F7">
      <w:pPr>
        <w:spacing w:beforeLines="50" w:before="120" w:afterLines="50" w:after="120"/>
        <w:ind w:firstLineChars="100" w:firstLine="201"/>
        <w:jc w:val="left"/>
        <w:rPr>
          <w:rFonts w:ascii="Times New Roman" w:eastAsia="宋体" w:hAnsi="Times New Roman" w:cs="Times New Roman"/>
          <w:b/>
          <w:bCs/>
          <w:sz w:val="20"/>
          <w:szCs w:val="20"/>
          <w:u w:val="single"/>
        </w:rPr>
      </w:pPr>
      <w:r w:rsidRPr="005702F7">
        <w:rPr>
          <w:rFonts w:ascii="Times New Roman" w:eastAsia="宋体" w:hAnsi="Times New Roman" w:cs="Times New Roman"/>
          <w:b/>
          <w:bCs/>
          <w:sz w:val="20"/>
          <w:szCs w:val="20"/>
          <w:u w:val="single"/>
        </w:rPr>
        <w:t xml:space="preserve">For </w:t>
      </w:r>
      <w:r>
        <w:rPr>
          <w:rFonts w:ascii="Times New Roman" w:eastAsia="宋体" w:hAnsi="Times New Roman" w:cs="Times New Roman"/>
          <w:b/>
          <w:bCs/>
          <w:sz w:val="20"/>
          <w:szCs w:val="20"/>
          <w:u w:val="single"/>
        </w:rPr>
        <w:t>NTN-NTN HO enhancements</w:t>
      </w:r>
    </w:p>
    <w:p w14:paraId="43E71219" w14:textId="344D80DF" w:rsidR="005702F7" w:rsidRDefault="005702F7" w:rsidP="005702F7">
      <w:pPr>
        <w:spacing w:beforeLines="50" w:before="120" w:afterLines="50" w:after="120"/>
        <w:ind w:firstLineChars="100" w:firstLine="20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the WF [4] of last RAN4 meeting, it is listed as below:</w:t>
      </w:r>
    </w:p>
    <w:tbl>
      <w:tblPr>
        <w:tblStyle w:val="a7"/>
        <w:tblW w:w="0" w:type="auto"/>
        <w:tblLook w:val="04A0" w:firstRow="1" w:lastRow="0" w:firstColumn="1" w:lastColumn="0" w:noHBand="0" w:noVBand="1"/>
      </w:tblPr>
      <w:tblGrid>
        <w:gridCol w:w="9629"/>
      </w:tblGrid>
      <w:tr w:rsidR="005702F7" w14:paraId="61F59E27" w14:textId="77777777" w:rsidTr="005702F7">
        <w:tc>
          <w:tcPr>
            <w:tcW w:w="9629" w:type="dxa"/>
          </w:tcPr>
          <w:p w14:paraId="52DCF2FF" w14:textId="77777777" w:rsidR="006D1E6C" w:rsidRDefault="006D1E6C" w:rsidP="006D1E6C">
            <w:pPr>
              <w:outlineLvl w:val="2"/>
              <w:rPr>
                <w:b/>
                <w:u w:val="single"/>
                <w:lang w:eastAsia="ko-KR"/>
              </w:rPr>
            </w:pPr>
            <w:r>
              <w:rPr>
                <w:b/>
                <w:u w:val="single"/>
                <w:lang w:eastAsia="ko-KR"/>
              </w:rPr>
              <w:t>Issue 5-1: RACH-less (C)HO</w:t>
            </w:r>
          </w:p>
          <w:p w14:paraId="0162F0AA" w14:textId="77777777" w:rsidR="006D1E6C" w:rsidRDefault="006D1E6C" w:rsidP="006D1E6C">
            <w:pPr>
              <w:spacing w:after="120" w:line="252" w:lineRule="auto"/>
              <w:ind w:firstLine="284"/>
              <w:rPr>
                <w:b/>
                <w:bCs/>
                <w:u w:val="single"/>
                <w:lang w:eastAsia="ja-JP"/>
              </w:rPr>
            </w:pPr>
            <w:r>
              <w:rPr>
                <w:b/>
                <w:bCs/>
                <w:u w:val="single"/>
                <w:lang w:eastAsia="ja-JP"/>
              </w:rPr>
              <w:t>Agreement:</w:t>
            </w:r>
          </w:p>
          <w:p w14:paraId="4BB75CEF" w14:textId="77777777" w:rsidR="006D1E6C" w:rsidRDefault="006D1E6C" w:rsidP="006D1E6C">
            <w:pPr>
              <w:pStyle w:val="a8"/>
              <w:numPr>
                <w:ilvl w:val="0"/>
                <w:numId w:val="11"/>
              </w:numPr>
              <w:spacing w:after="120" w:line="276" w:lineRule="auto"/>
              <w:ind w:left="644" w:firstLineChars="0"/>
              <w:textAlignment w:val="auto"/>
              <w:rPr>
                <w:lang w:eastAsia="ja-JP"/>
              </w:rPr>
            </w:pPr>
            <w:r>
              <w:rPr>
                <w:lang w:eastAsia="ja-JP"/>
              </w:rPr>
              <w:t>RAN4 to define RACH-less NTN HO requirements based on the RACH-less LTE HO requirements. NR and NTN specific adjustments shall be made. The adjustments to investigate may include:</w:t>
            </w:r>
          </w:p>
          <w:p w14:paraId="547518FC" w14:textId="77777777" w:rsidR="006D1E6C" w:rsidRDefault="006D1E6C" w:rsidP="006D1E6C">
            <w:pPr>
              <w:pStyle w:val="a8"/>
              <w:numPr>
                <w:ilvl w:val="1"/>
                <w:numId w:val="11"/>
              </w:numPr>
              <w:spacing w:after="120" w:line="276" w:lineRule="auto"/>
              <w:ind w:left="1364" w:firstLineChars="0"/>
              <w:textAlignment w:val="auto"/>
              <w:rPr>
                <w:lang w:eastAsia="ja-JP"/>
              </w:rPr>
            </w:pPr>
            <w:r>
              <w:rPr>
                <w:lang w:eastAsia="ja-JP"/>
              </w:rPr>
              <w:t>FFS on known/unknown condition</w:t>
            </w:r>
          </w:p>
          <w:p w14:paraId="2B4C70E3" w14:textId="77777777" w:rsidR="006D1E6C" w:rsidRDefault="006D1E6C" w:rsidP="006D1E6C">
            <w:pPr>
              <w:pStyle w:val="a8"/>
              <w:numPr>
                <w:ilvl w:val="1"/>
                <w:numId w:val="11"/>
              </w:numPr>
              <w:spacing w:after="120" w:line="276" w:lineRule="auto"/>
              <w:ind w:left="1364" w:firstLineChars="0"/>
              <w:textAlignment w:val="auto"/>
              <w:rPr>
                <w:lang w:eastAsia="ja-JP"/>
              </w:rPr>
            </w:pPr>
            <w:r>
              <w:rPr>
                <w:lang w:eastAsia="ja-JP"/>
              </w:rPr>
              <w:t>FFS on necessity of fine time tracking if target cell is known</w:t>
            </w:r>
          </w:p>
          <w:p w14:paraId="2E93792D" w14:textId="77777777" w:rsidR="006D1E6C" w:rsidRDefault="006D1E6C" w:rsidP="006D1E6C">
            <w:pPr>
              <w:pStyle w:val="a8"/>
              <w:numPr>
                <w:ilvl w:val="1"/>
                <w:numId w:val="11"/>
              </w:numPr>
              <w:spacing w:after="120" w:line="276" w:lineRule="auto"/>
              <w:ind w:left="1364" w:firstLineChars="0"/>
              <w:textAlignment w:val="auto"/>
              <w:rPr>
                <w:szCs w:val="24"/>
                <w:lang w:eastAsia="zh-CN"/>
              </w:rPr>
            </w:pPr>
            <w:r>
              <w:rPr>
                <w:lang w:eastAsia="ja-JP"/>
              </w:rPr>
              <w:t>FFS on others if identified</w:t>
            </w:r>
          </w:p>
          <w:p w14:paraId="6A9C7C7A" w14:textId="77777777" w:rsidR="006D1E6C" w:rsidRDefault="006D1E6C" w:rsidP="006D1E6C">
            <w:pPr>
              <w:pStyle w:val="a8"/>
              <w:numPr>
                <w:ilvl w:val="0"/>
                <w:numId w:val="11"/>
              </w:numPr>
              <w:spacing w:after="120" w:line="276" w:lineRule="auto"/>
              <w:ind w:left="644" w:firstLineChars="0"/>
              <w:textAlignment w:val="auto"/>
              <w:rPr>
                <w:szCs w:val="24"/>
                <w:lang w:eastAsia="zh-CN"/>
              </w:rPr>
            </w:pPr>
            <w:r>
              <w:rPr>
                <w:lang w:eastAsia="ja-JP"/>
              </w:rPr>
              <w:t>Note: some aspects would need to wait for further RAN2 progress.</w:t>
            </w:r>
          </w:p>
          <w:p w14:paraId="2ACEFE11" w14:textId="4042B5E2" w:rsidR="005702F7" w:rsidRPr="00762456" w:rsidRDefault="005702F7" w:rsidP="00762456">
            <w:pPr>
              <w:spacing w:line="276" w:lineRule="auto"/>
              <w:rPr>
                <w:b/>
                <w:bCs/>
                <w:u w:val="single"/>
              </w:rPr>
            </w:pPr>
          </w:p>
        </w:tc>
      </w:tr>
    </w:tbl>
    <w:p w14:paraId="1C55AFE0" w14:textId="316A9FCC" w:rsidR="005702F7" w:rsidRDefault="005702F7" w:rsidP="005702F7">
      <w:pPr>
        <w:spacing w:beforeLines="50" w:before="120" w:afterLines="50" w:after="120"/>
        <w:ind w:firstLineChars="100" w:firstLine="201"/>
        <w:jc w:val="left"/>
        <w:rPr>
          <w:rFonts w:ascii="Times New Roman" w:eastAsia="宋体" w:hAnsi="Times New Roman" w:cs="Times New Roman"/>
          <w:b/>
          <w:bCs/>
          <w:sz w:val="20"/>
          <w:szCs w:val="20"/>
          <w:u w:val="single"/>
        </w:rPr>
      </w:pPr>
    </w:p>
    <w:p w14:paraId="62812821" w14:textId="1E9E6CD6" w:rsidR="00103FEA" w:rsidRDefault="00103FEA" w:rsidP="005702F7">
      <w:pPr>
        <w:spacing w:beforeLines="50" w:before="120" w:afterLines="50" w:after="120"/>
        <w:ind w:firstLineChars="100" w:firstLine="200"/>
        <w:jc w:val="left"/>
        <w:rPr>
          <w:rFonts w:ascii="Times New Roman" w:eastAsia="宋体" w:hAnsi="Times New Roman" w:cs="Times New Roman"/>
          <w:sz w:val="20"/>
          <w:szCs w:val="20"/>
        </w:rPr>
      </w:pPr>
      <w:r w:rsidRPr="00103FEA">
        <w:rPr>
          <w:rFonts w:ascii="Times New Roman" w:eastAsia="宋体" w:hAnsi="Times New Roman" w:cs="Times New Roman"/>
          <w:sz w:val="20"/>
          <w:szCs w:val="20"/>
        </w:rPr>
        <w:t xml:space="preserve">For RACH-less HO, </w:t>
      </w:r>
      <w:r>
        <w:rPr>
          <w:rFonts w:ascii="Times New Roman" w:eastAsia="宋体" w:hAnsi="Times New Roman" w:cs="Times New Roman"/>
          <w:sz w:val="20"/>
          <w:szCs w:val="20"/>
        </w:rPr>
        <w:t>RAN2 121bis-e agreements are captured as below:</w:t>
      </w:r>
    </w:p>
    <w:p w14:paraId="6A7BCBE7"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Agreements via email – from offline 109:</w:t>
      </w:r>
    </w:p>
    <w:p w14:paraId="2A4A5C09" w14:textId="77777777" w:rsidR="00103FEA" w:rsidRDefault="00103FEA" w:rsidP="00103FEA">
      <w:pPr>
        <w:pStyle w:val="Doc-text2"/>
        <w:numPr>
          <w:ilvl w:val="0"/>
          <w:numId w:val="15"/>
        </w:numPr>
        <w:pBdr>
          <w:top w:val="single" w:sz="4" w:space="1" w:color="auto"/>
          <w:left w:val="single" w:sz="4" w:space="4" w:color="auto"/>
          <w:bottom w:val="single" w:sz="4" w:space="1" w:color="auto"/>
          <w:right w:val="single" w:sz="4" w:space="4" w:color="auto"/>
        </w:pBdr>
      </w:pPr>
      <w:r>
        <w:t>NTN RACH-less HO is supported for Intra-satellite handover with the same feeder link. i.e., with same gateway/gNB;</w:t>
      </w:r>
    </w:p>
    <w:p w14:paraId="01B991DA" w14:textId="77777777" w:rsidR="00103FEA" w:rsidRDefault="00103FEA" w:rsidP="00103FEA">
      <w:pPr>
        <w:pStyle w:val="Doc-text2"/>
        <w:numPr>
          <w:ilvl w:val="0"/>
          <w:numId w:val="15"/>
        </w:numPr>
        <w:pBdr>
          <w:top w:val="single" w:sz="4" w:space="1" w:color="auto"/>
          <w:left w:val="single" w:sz="4" w:space="4" w:color="auto"/>
          <w:bottom w:val="single" w:sz="4" w:space="1" w:color="auto"/>
          <w:right w:val="single" w:sz="4" w:space="4" w:color="auto"/>
        </w:pBdr>
      </w:pPr>
      <w:r>
        <w:t>NTN RACH-less HO can be supported for intra-satellite handover with different feeder links, i.e., with gateway/gNB switch, inter-satellite handover with gateway/gNB switch, and inter-satellite handover with same gateway/gNB.</w:t>
      </w:r>
    </w:p>
    <w:p w14:paraId="471CFDBC" w14:textId="77777777" w:rsidR="00103FEA" w:rsidRDefault="00103FEA" w:rsidP="00103FEA">
      <w:pPr>
        <w:pStyle w:val="Doc-text2"/>
        <w:numPr>
          <w:ilvl w:val="0"/>
          <w:numId w:val="15"/>
        </w:numPr>
        <w:pBdr>
          <w:top w:val="single" w:sz="4" w:space="1" w:color="auto"/>
          <w:left w:val="single" w:sz="4" w:space="4" w:color="auto"/>
          <w:bottom w:val="single" w:sz="4" w:space="1" w:color="auto"/>
          <w:right w:val="single" w:sz="4" w:space="4" w:color="auto"/>
        </w:pBdr>
      </w:pPr>
      <w:r>
        <w:t xml:space="preserve">RAN2 confirms the general UE procedure for NTN RACH-less HO </w:t>
      </w:r>
    </w:p>
    <w:p w14:paraId="3E3EEF37"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b/>
        <w:t>1.</w:t>
      </w:r>
      <w:r>
        <w:tab/>
        <w:t>receive a RACH-less HO command which can include pre-allocated grant optionally. FFS N_TA is optional. (RRC)</w:t>
      </w:r>
    </w:p>
    <w:p w14:paraId="0F6BDA43"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b/>
        <w:t>2.</w:t>
      </w:r>
      <w:r>
        <w:tab/>
        <w:t>start timer T304 for the target cell (RRC)</w:t>
      </w:r>
    </w:p>
    <w:p w14:paraId="37A1088B"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b/>
        <w:t>3.</w:t>
      </w:r>
      <w:r>
        <w:tab/>
        <w:t>perform DL and UL synchronization, and start timer T430. FFS how to perform RACH-less UL synchronization to NTN target cell. (RRC, MAC)</w:t>
      </w:r>
    </w:p>
    <w:p w14:paraId="37D18BEC"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b/>
        <w:t>4.</w:t>
      </w:r>
      <w:r>
        <w:tab/>
        <w:t>start time alignment timer (MAC)</w:t>
      </w:r>
    </w:p>
    <w:p w14:paraId="7CF1A4E3"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b/>
        <w:t>5.</w:t>
      </w:r>
      <w:r>
        <w:tab/>
        <w:t>monitor target cell PDCCH for dynamic grant if pre-allocated grant is not configured in RACH-less HO command (MAC, PHY)</w:t>
      </w:r>
    </w:p>
    <w:p w14:paraId="5D4F9598"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b/>
        <w:t>6.</w:t>
      </w:r>
      <w:r>
        <w:tab/>
        <w:t>send initial UL transmission including RRCReconfigurationComplete message using the available UL grant (RRC, MAC, PHY)</w:t>
      </w:r>
    </w:p>
    <w:p w14:paraId="512ACF3F"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lastRenderedPageBreak/>
        <w:tab/>
        <w:t>7.</w:t>
      </w:r>
      <w:r>
        <w:tab/>
        <w:t>consider RACH-less HO is completed upon receiving NW confirmation. FFS how to confirm RACH-less HO is successfully completed. (RRC, MAC)</w:t>
      </w:r>
    </w:p>
    <w:p w14:paraId="725D745B"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b/>
        <w:t>8.</w:t>
      </w:r>
      <w:r>
        <w:tab/>
        <w:t>stop timer T304 for the target cell. (RRC)</w:t>
      </w:r>
    </w:p>
    <w:p w14:paraId="0645CA69"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b/>
        <w:t>FFS whether to release UL grant if pre-allocated after RACH-less HO completion</w:t>
      </w:r>
    </w:p>
    <w:p w14:paraId="3E72E1A8"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b/>
        <w:t>FFS RACH-less HO failure handling, e.g. whether UE fallback to RACH-based HO to the target cell</w:t>
      </w:r>
    </w:p>
    <w:p w14:paraId="5847B6C2"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b/>
        <w:t>FFS procedure for RACH-less HO combined with PCI unchanged or CHO if supported</w:t>
      </w:r>
    </w:p>
    <w:p w14:paraId="523B0A51"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4.</w:t>
      </w:r>
      <w:r>
        <w:tab/>
        <w:t>The pre-allocated grant is provided as type-1 CG</w:t>
      </w:r>
    </w:p>
    <w:p w14:paraId="3E079719"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5.</w:t>
      </w:r>
      <w:r>
        <w:tab/>
        <w:t>Send an LS to RAN1 informing RAN2 agreements on NTN RACH-less HO and check RAN1 views on the following aspects:</w:t>
      </w:r>
    </w:p>
    <w:p w14:paraId="443C7379"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b/>
        <w:t>1. whether the pre-allocated grant is provided with association to SSBs; if so, whether a RSRP threshold is configured for SSB selection.</w:t>
      </w:r>
    </w:p>
    <w:p w14:paraId="5E26B72E"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b/>
        <w:t>2. to monitor target cell PDCCH for dynamic grant for initial UL transmission, whether beam indication can be provided in RACH-less HO command.</w:t>
      </w:r>
    </w:p>
    <w:p w14:paraId="0E4E51D5"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b/>
        <w:t>3. power control for initial UL transmission</w:t>
      </w:r>
    </w:p>
    <w:p w14:paraId="6DA5FDFE" w14:textId="77777777" w:rsidR="00103FEA" w:rsidRDefault="00103FEA" w:rsidP="00103FEA">
      <w:pPr>
        <w:pStyle w:val="Comments"/>
      </w:pPr>
    </w:p>
    <w:p w14:paraId="140DDA29" w14:textId="77777777" w:rsidR="00103FEA" w:rsidRDefault="00103FEA" w:rsidP="00103FEA">
      <w:pPr>
        <w:pStyle w:val="Comments"/>
      </w:pPr>
    </w:p>
    <w:p w14:paraId="7277051F" w14:textId="77777777" w:rsidR="00103FEA" w:rsidRDefault="00103FEA" w:rsidP="00103FEA">
      <w:pPr>
        <w:pStyle w:val="Doc-text2"/>
        <w:pBdr>
          <w:top w:val="single" w:sz="4" w:space="1" w:color="auto"/>
          <w:left w:val="single" w:sz="4" w:space="4" w:color="auto"/>
          <w:bottom w:val="single" w:sz="4" w:space="1" w:color="auto"/>
          <w:right w:val="single" w:sz="4" w:space="4" w:color="auto"/>
        </w:pBdr>
      </w:pPr>
      <w:r>
        <w:t>Agreements online:</w:t>
      </w:r>
    </w:p>
    <w:p w14:paraId="5B0C793C" w14:textId="77777777" w:rsidR="00103FEA" w:rsidRDefault="00103FEA" w:rsidP="00103FEA">
      <w:pPr>
        <w:pStyle w:val="Doc-text2"/>
        <w:numPr>
          <w:ilvl w:val="0"/>
          <w:numId w:val="16"/>
        </w:numPr>
        <w:pBdr>
          <w:top w:val="single" w:sz="4" w:space="1" w:color="auto"/>
          <w:left w:val="single" w:sz="4" w:space="4" w:color="auto"/>
          <w:bottom w:val="single" w:sz="4" w:space="1" w:color="auto"/>
          <w:right w:val="single" w:sz="4" w:space="4" w:color="auto"/>
        </w:pBdr>
      </w:pPr>
      <w:r>
        <w:t>At least for pre-allocated grant, for the confirmation of RACH-less HO completion we reuse of LTE approach, i.e., UE Contention Resolution Identity MAC CE is used but UE ignores the content of this field. FFS if anything else is needed for dynamic grant</w:t>
      </w:r>
    </w:p>
    <w:p w14:paraId="0893E01F" w14:textId="77777777" w:rsidR="00103FEA" w:rsidRDefault="00103FEA" w:rsidP="00103FEA">
      <w:pPr>
        <w:pStyle w:val="Doc-text2"/>
        <w:numPr>
          <w:ilvl w:val="0"/>
          <w:numId w:val="16"/>
        </w:numPr>
        <w:pBdr>
          <w:top w:val="single" w:sz="4" w:space="1" w:color="auto"/>
          <w:left w:val="single" w:sz="4" w:space="4" w:color="auto"/>
          <w:bottom w:val="single" w:sz="4" w:space="1" w:color="auto"/>
          <w:right w:val="single" w:sz="4" w:space="4" w:color="auto"/>
        </w:pBdr>
      </w:pPr>
      <w:r>
        <w:t>Consider to support combining RACH-less HO with time-based CHO for NTN, taking into account the 1) validity of pre-allocated grant and potential waste of reserved resource; 2) when/how to provide dynamic grant in PDCCH.</w:t>
      </w:r>
    </w:p>
    <w:p w14:paraId="3EC1FF92" w14:textId="32F74792" w:rsidR="00103FEA" w:rsidRPr="004C0BC2" w:rsidRDefault="00103FEA" w:rsidP="005702F7">
      <w:pPr>
        <w:spacing w:beforeLines="50" w:before="120" w:afterLines="50" w:after="120"/>
        <w:ind w:firstLineChars="100" w:firstLine="200"/>
        <w:jc w:val="left"/>
        <w:rPr>
          <w:rFonts w:ascii="Times New Roman" w:eastAsia="宋体" w:hAnsi="Times New Roman" w:cs="Times New Roman"/>
          <w:sz w:val="20"/>
          <w:szCs w:val="20"/>
        </w:rPr>
      </w:pPr>
    </w:p>
    <w:p w14:paraId="538172B2" w14:textId="035B903B" w:rsidR="0053255A" w:rsidRPr="004C0BC2" w:rsidRDefault="0053255A" w:rsidP="005702F7">
      <w:pPr>
        <w:spacing w:beforeLines="50" w:before="120" w:afterLines="50" w:after="120"/>
        <w:ind w:firstLineChars="100" w:firstLine="200"/>
        <w:jc w:val="left"/>
        <w:rPr>
          <w:rFonts w:ascii="Times New Roman" w:eastAsia="宋体" w:hAnsi="Times New Roman" w:cs="Times New Roman"/>
          <w:sz w:val="20"/>
          <w:szCs w:val="20"/>
        </w:rPr>
      </w:pPr>
      <w:r w:rsidRPr="004C0BC2">
        <w:rPr>
          <w:rFonts w:ascii="Times New Roman" w:eastAsia="宋体" w:hAnsi="Times New Roman" w:cs="Times New Roman"/>
          <w:sz w:val="20"/>
          <w:szCs w:val="20"/>
        </w:rPr>
        <w:t>The RACH-less HO delay can be specified as the maximum RRC procedure delay plus the interruption time. For the T</w:t>
      </w:r>
      <w:r w:rsidR="004C0BC2" w:rsidRPr="004C0BC2">
        <w:rPr>
          <w:rFonts w:ascii="Times New Roman" w:eastAsia="宋体" w:hAnsi="Times New Roman" w:cs="Times New Roman"/>
          <w:sz w:val="20"/>
          <w:szCs w:val="20"/>
          <w:vertAlign w:val="subscript"/>
        </w:rPr>
        <w:t>IU</w:t>
      </w:r>
      <w:r w:rsidRPr="004C0BC2">
        <w:rPr>
          <w:rFonts w:ascii="Times New Roman" w:eastAsia="宋体" w:hAnsi="Times New Roman" w:cs="Times New Roman"/>
          <w:sz w:val="20"/>
          <w:szCs w:val="20"/>
        </w:rPr>
        <w:t xml:space="preserve"> in current </w:t>
      </w:r>
      <w:r w:rsidR="004C0BC2" w:rsidRPr="004C0BC2">
        <w:rPr>
          <w:rFonts w:ascii="Times New Roman" w:eastAsia="宋体" w:hAnsi="Times New Roman" w:cs="Times New Roman"/>
          <w:sz w:val="20"/>
          <w:szCs w:val="20"/>
        </w:rPr>
        <w:t>NTN HO delay requirements, it is specified as:</w:t>
      </w:r>
    </w:p>
    <w:p w14:paraId="093C5680" w14:textId="209CDEA5" w:rsidR="004C0BC2" w:rsidRPr="004C0BC2" w:rsidRDefault="004C0BC2" w:rsidP="005702F7">
      <w:pPr>
        <w:spacing w:beforeLines="50" w:before="120" w:afterLines="50" w:after="120"/>
        <w:ind w:firstLineChars="100" w:firstLine="200"/>
        <w:jc w:val="left"/>
        <w:rPr>
          <w:rFonts w:ascii="Times New Roman" w:eastAsia="宋体" w:hAnsi="Times New Roman" w:cs="Times New Roman"/>
          <w:sz w:val="20"/>
          <w:szCs w:val="20"/>
        </w:rPr>
      </w:pPr>
      <w:r w:rsidRPr="004C0BC2">
        <w:rPr>
          <w:rFonts w:ascii="Times New Roman" w:hAnsi="Times New Roman" w:cs="Times New Roman"/>
          <w:sz w:val="20"/>
          <w:szCs w:val="20"/>
        </w:rPr>
        <w:t>-</w:t>
      </w:r>
      <w:r w:rsidRPr="004C0BC2">
        <w:rPr>
          <w:rFonts w:ascii="Times New Roman" w:hAnsi="Times New Roman" w:cs="Times New Roman"/>
          <w:sz w:val="20"/>
          <w:szCs w:val="20"/>
        </w:rPr>
        <w:tab/>
        <w:t>T</w:t>
      </w:r>
      <w:r w:rsidRPr="004C0BC2">
        <w:rPr>
          <w:rFonts w:ascii="Times New Roman" w:hAnsi="Times New Roman" w:cs="Times New Roman"/>
          <w:sz w:val="20"/>
          <w:szCs w:val="20"/>
          <w:vertAlign w:val="subscript"/>
        </w:rPr>
        <w:t>IU</w:t>
      </w:r>
      <w:r w:rsidRPr="004C0BC2">
        <w:rPr>
          <w:rFonts w:ascii="Times New Roman" w:hAnsi="Times New Roman" w:cs="Times New Roman"/>
          <w:sz w:val="20"/>
          <w:szCs w:val="20"/>
        </w:rPr>
        <w:t xml:space="preserve"> is the interruption uncertainty in acquiring the first available PRACH occasion in the new cell. T</w:t>
      </w:r>
      <w:r w:rsidRPr="004C0BC2">
        <w:rPr>
          <w:rFonts w:ascii="Times New Roman" w:hAnsi="Times New Roman" w:cs="Times New Roman"/>
          <w:sz w:val="20"/>
          <w:szCs w:val="20"/>
          <w:vertAlign w:val="subscript"/>
        </w:rPr>
        <w:t>IU</w:t>
      </w:r>
      <w:r w:rsidRPr="004C0BC2">
        <w:rPr>
          <w:rFonts w:ascii="Times New Roman" w:hAnsi="Times New Roman" w:cs="Times New Roman"/>
          <w:sz w:val="20"/>
          <w:szCs w:val="20"/>
        </w:rPr>
        <w:t xml:space="preserve"> can be up to the summation of SSB to PRACH occasion association period and [x] ms. SSB to PRACH occasion associated period is defined in the table 8.1-1 of TS 38.213 [3].</w:t>
      </w:r>
    </w:p>
    <w:p w14:paraId="642D736F" w14:textId="51A24D49" w:rsidR="00AA72C5" w:rsidRDefault="004C0BC2" w:rsidP="00383B79">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t should be updated for first PUSCH transmission. But the relationship for PUSCH resource and SSB are not so clear at this time in RAN1. We prefer to update the </w:t>
      </w:r>
      <w:r w:rsidRPr="004C0BC2">
        <w:rPr>
          <w:rFonts w:ascii="Times New Roman" w:eastAsia="宋体" w:hAnsi="Times New Roman" w:cs="Times New Roman"/>
          <w:sz w:val="20"/>
          <w:szCs w:val="20"/>
        </w:rPr>
        <w:t>T</w:t>
      </w:r>
      <w:r w:rsidRPr="004C0BC2">
        <w:rPr>
          <w:rFonts w:ascii="Times New Roman" w:eastAsia="宋体" w:hAnsi="Times New Roman" w:cs="Times New Roman"/>
          <w:sz w:val="20"/>
          <w:szCs w:val="20"/>
          <w:vertAlign w:val="subscript"/>
        </w:rPr>
        <w:t>IU</w:t>
      </w:r>
      <w:r>
        <w:rPr>
          <w:rFonts w:ascii="Times New Roman" w:eastAsia="宋体" w:hAnsi="Times New Roman" w:cs="Times New Roman"/>
          <w:sz w:val="20"/>
          <w:szCs w:val="20"/>
        </w:rPr>
        <w:t xml:space="preserve"> value after further RAN1/RAN2 progress. </w:t>
      </w:r>
    </w:p>
    <w:p w14:paraId="5EA104ED" w14:textId="4F63FC8A" w:rsidR="00383B79" w:rsidRPr="00762456" w:rsidRDefault="004C0BC2" w:rsidP="00383B79">
      <w:pPr>
        <w:spacing w:beforeLines="50" w:before="120" w:afterLines="50" w:after="120"/>
        <w:jc w:val="left"/>
        <w:rPr>
          <w:b/>
          <w:bCs/>
        </w:rPr>
      </w:pPr>
      <w:r w:rsidRPr="00762456">
        <w:rPr>
          <w:rFonts w:ascii="Times New Roman" w:hAnsi="Times New Roman" w:cs="Times New Roman"/>
          <w:b/>
          <w:sz w:val="20"/>
          <w:szCs w:val="20"/>
        </w:rPr>
        <w:t>Proposal</w:t>
      </w:r>
      <w:r w:rsidRPr="0032345A">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7</w:t>
      </w:r>
      <w:r w:rsidRPr="0032345A">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4C0BC2">
        <w:rPr>
          <w:rFonts w:ascii="Times New Roman" w:eastAsia="宋体" w:hAnsi="Times New Roman" w:cs="Times New Roman"/>
          <w:b/>
          <w:bCs/>
          <w:sz w:val="20"/>
          <w:szCs w:val="20"/>
        </w:rPr>
        <w:t>The RACH-less HO delay can be specified as the maximum RRC procedure delay plus the interruption time. For the T</w:t>
      </w:r>
      <w:r w:rsidRPr="004C0BC2">
        <w:rPr>
          <w:rFonts w:ascii="Times New Roman" w:eastAsia="宋体" w:hAnsi="Times New Roman" w:cs="Times New Roman"/>
          <w:b/>
          <w:bCs/>
          <w:sz w:val="20"/>
          <w:szCs w:val="20"/>
          <w:vertAlign w:val="subscript"/>
        </w:rPr>
        <w:t>IU</w:t>
      </w:r>
      <w:r w:rsidRPr="004C0BC2">
        <w:rPr>
          <w:rFonts w:ascii="Times New Roman" w:eastAsia="宋体" w:hAnsi="Times New Roman" w:cs="Times New Roman"/>
          <w:b/>
          <w:bCs/>
          <w:sz w:val="20"/>
          <w:szCs w:val="20"/>
        </w:rPr>
        <w:t xml:space="preserve"> in current NTN HO delay requirements, should be updated for first PUSCH transmission. For the exact value of T</w:t>
      </w:r>
      <w:r w:rsidRPr="004C0BC2">
        <w:rPr>
          <w:rFonts w:ascii="Times New Roman" w:eastAsia="宋体" w:hAnsi="Times New Roman" w:cs="Times New Roman"/>
          <w:b/>
          <w:bCs/>
          <w:sz w:val="20"/>
          <w:szCs w:val="20"/>
          <w:vertAlign w:val="subscript"/>
        </w:rPr>
        <w:t>IU</w:t>
      </w:r>
      <w:r w:rsidRPr="004C0BC2">
        <w:rPr>
          <w:rFonts w:ascii="Times New Roman" w:eastAsia="宋体" w:hAnsi="Times New Roman" w:cs="Times New Roman"/>
          <w:b/>
          <w:bCs/>
          <w:sz w:val="20"/>
          <w:szCs w:val="20"/>
        </w:rPr>
        <w:t xml:space="preserve">, we prefer to update after further RAN1/RAN2 progress. </w:t>
      </w:r>
    </w:p>
    <w:p w14:paraId="6246F347" w14:textId="77777777" w:rsidR="00383B79" w:rsidRPr="00884DD0" w:rsidRDefault="00383B79" w:rsidP="00383B79">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6EFDC4F" w14:textId="2318CDAD" w:rsidR="00383B79" w:rsidRDefault="00383B79" w:rsidP="00383B79">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consideration of </w:t>
      </w:r>
      <w:r>
        <w:rPr>
          <w:rFonts w:ascii="Times New Roman" w:hAnsi="Times New Roman" w:cs="Times New Roman"/>
          <w:sz w:val="20"/>
          <w:szCs w:val="20"/>
        </w:rPr>
        <w:t xml:space="preserve">some </w:t>
      </w:r>
      <w:r>
        <w:rPr>
          <w:rFonts w:ascii="Times New Roman" w:eastAsia="宋体" w:hAnsi="Times New Roman" w:cs="Times New Roman"/>
          <w:sz w:val="20"/>
          <w:szCs w:val="20"/>
        </w:rPr>
        <w:t>potential RRM</w:t>
      </w:r>
      <w:r w:rsidRPr="00A971AB">
        <w:rPr>
          <w:rFonts w:ascii="Times New Roman" w:eastAsia="宋体" w:hAnsi="Times New Roman" w:cs="Times New Roman"/>
          <w:sz w:val="20"/>
          <w:szCs w:val="20"/>
        </w:rPr>
        <w:t xml:space="preserve"> impact </w:t>
      </w:r>
      <w:r>
        <w:rPr>
          <w:rFonts w:ascii="Times New Roman" w:eastAsia="宋体" w:hAnsi="Times New Roman" w:cs="Times New Roman"/>
          <w:sz w:val="20"/>
          <w:szCs w:val="20"/>
        </w:rPr>
        <w:t>for</w:t>
      </w:r>
      <w:r w:rsidRPr="00F720EF">
        <w:rPr>
          <w:rFonts w:ascii="Times New Roman" w:hAnsi="Times New Roman" w:cs="Times New Roman"/>
          <w:sz w:val="20"/>
          <w:szCs w:val="20"/>
        </w:rPr>
        <w:t xml:space="preserve"> </w:t>
      </w:r>
      <w:r w:rsidRPr="00A971AB">
        <w:rPr>
          <w:rFonts w:ascii="Times New Roman" w:eastAsia="宋体" w:hAnsi="Times New Roman" w:cs="Times New Roman"/>
          <w:sz w:val="20"/>
          <w:szCs w:val="20"/>
        </w:rPr>
        <w:t xml:space="preserve">Rel-18 </w:t>
      </w:r>
      <w:r>
        <w:rPr>
          <w:rFonts w:ascii="Times New Roman" w:eastAsia="宋体" w:hAnsi="Times New Roman" w:cs="Times New Roman"/>
          <w:sz w:val="20"/>
          <w:szCs w:val="20"/>
        </w:rPr>
        <w:t>NTN</w:t>
      </w:r>
      <w:r w:rsidRPr="00F720EF">
        <w:rPr>
          <w:rFonts w:ascii="Times New Roman" w:hAnsi="Times New Roman" w:cs="Times New Roman"/>
          <w:sz w:val="20"/>
          <w:szCs w:val="20"/>
        </w:rPr>
        <w:t xml:space="preserve"> </w:t>
      </w:r>
      <w:r>
        <w:rPr>
          <w:rFonts w:ascii="Times New Roman" w:hAnsi="Times New Roman" w:cs="Times New Roman"/>
          <w:sz w:val="20"/>
          <w:szCs w:val="20"/>
        </w:rPr>
        <w:t xml:space="preserve">enhancement </w:t>
      </w:r>
      <w:r w:rsidR="008E67A3">
        <w:rPr>
          <w:rFonts w:ascii="Times New Roman" w:hAnsi="Times New Roman" w:cs="Times New Roman"/>
          <w:sz w:val="20"/>
          <w:szCs w:val="20"/>
        </w:rPr>
        <w:t>L</w:t>
      </w:r>
      <w:r>
        <w:rPr>
          <w:rFonts w:ascii="Times New Roman" w:hAnsi="Times New Roman" w:cs="Times New Roman"/>
          <w:sz w:val="20"/>
          <w:szCs w:val="20"/>
        </w:rPr>
        <w:t xml:space="preserve">S from RAN1 </w:t>
      </w:r>
      <w:r w:rsidRPr="00F720EF">
        <w:rPr>
          <w:rFonts w:ascii="Times New Roman" w:hAnsi="Times New Roman" w:cs="Times New Roman"/>
          <w:sz w:val="20"/>
          <w:szCs w:val="20"/>
        </w:rPr>
        <w:t>and our proposals are:</w:t>
      </w:r>
    </w:p>
    <w:p w14:paraId="09FA5A0B" w14:textId="77777777" w:rsidR="008E67A3" w:rsidRDefault="008E67A3" w:rsidP="008E67A3">
      <w:pPr>
        <w:spacing w:beforeLines="50" w:before="120" w:afterLines="50" w:after="120"/>
        <w:jc w:val="left"/>
        <w:rPr>
          <w:rFonts w:ascii="Times New Roman" w:eastAsia="宋体" w:hAnsi="Times New Roman" w:cs="Times New Roman"/>
          <w:b/>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roposal 1:</w:t>
      </w:r>
      <w:r>
        <w:rPr>
          <w:rFonts w:ascii="Times New Roman" w:eastAsia="宋体" w:hAnsi="Times New Roman" w:cs="Times New Roman"/>
          <w:b/>
          <w:bCs/>
          <w:sz w:val="20"/>
          <w:szCs w:val="20"/>
        </w:rPr>
        <w:t xml:space="preserve"> For objective of coverage enhancement, no RRM requirements for PUCCH enhancements. For PUSCH DMRS bundling, </w:t>
      </w:r>
      <w:r>
        <w:rPr>
          <w:rFonts w:ascii="Times New Roman" w:eastAsia="宋体" w:hAnsi="Times New Roman" w:cs="Times New Roman" w:hint="eastAsia"/>
          <w:b/>
          <w:bCs/>
          <w:sz w:val="20"/>
          <w:szCs w:val="20"/>
        </w:rPr>
        <w:t>i</w:t>
      </w:r>
      <w:r w:rsidRPr="00947EBD">
        <w:rPr>
          <w:rFonts w:ascii="Times New Roman" w:eastAsia="宋体" w:hAnsi="Times New Roman" w:cs="Times New Roman"/>
          <w:b/>
          <w:bCs/>
          <w:sz w:val="20"/>
          <w:szCs w:val="20"/>
        </w:rPr>
        <w:t>n general, no new RRM requirements are needed. The only item is RAN4 should check whether to update the applicability of TA pre-compensation in 7.1C.1.</w:t>
      </w:r>
    </w:p>
    <w:p w14:paraId="68BB20BD" w14:textId="77777777" w:rsidR="00D018D9" w:rsidRDefault="00D018D9" w:rsidP="00D018D9">
      <w:pPr>
        <w:spacing w:beforeLines="50" w:before="120" w:afterLines="50" w:after="120"/>
        <w:jc w:val="left"/>
        <w:rPr>
          <w:rFonts w:ascii="Times New Roman" w:eastAsia="宋体" w:hAnsi="Times New Roman" w:cs="Times New Roman"/>
          <w:bCs/>
          <w:sz w:val="20"/>
          <w:szCs w:val="20"/>
        </w:rPr>
      </w:pPr>
      <w:r w:rsidRPr="00ED654E">
        <w:rPr>
          <w:rFonts w:ascii="Times New Roman" w:hAnsi="Times New Roman" w:cs="Times New Roman" w:hint="eastAsia"/>
          <w:b/>
          <w:sz w:val="20"/>
          <w:szCs w:val="20"/>
        </w:rPr>
        <w:t>O</w:t>
      </w:r>
      <w:r w:rsidRPr="00ED654E">
        <w:rPr>
          <w:rFonts w:ascii="Times New Roman" w:hAnsi="Times New Roman" w:cs="Times New Roman"/>
          <w:b/>
          <w:sz w:val="20"/>
          <w:szCs w:val="20"/>
        </w:rPr>
        <w:t xml:space="preserve">bservation </w:t>
      </w:r>
      <w:r>
        <w:rPr>
          <w:rFonts w:ascii="Times New Roman" w:hAnsi="Times New Roman" w:cs="Times New Roman"/>
          <w:b/>
          <w:sz w:val="20"/>
          <w:szCs w:val="20"/>
        </w:rPr>
        <w:t>1</w:t>
      </w:r>
      <w:r w:rsidRPr="00ED654E">
        <w:rPr>
          <w:rFonts w:ascii="Times New Roman" w:hAnsi="Times New Roman" w:cs="Times New Roman"/>
          <w:b/>
          <w:sz w:val="20"/>
          <w:szCs w:val="20"/>
        </w:rPr>
        <w:t xml:space="preserve">: </w:t>
      </w:r>
      <w:r w:rsidRPr="00ED654E">
        <w:rPr>
          <w:rFonts w:ascii="Times New Roman" w:eastAsia="宋体" w:hAnsi="Times New Roman" w:cs="Times New Roman"/>
          <w:b/>
          <w:sz w:val="20"/>
          <w:szCs w:val="20"/>
        </w:rPr>
        <w:t xml:space="preserve">For the same UE, we think the GNSS positioning </w:t>
      </w:r>
      <w:r w:rsidRPr="003A4B9A">
        <w:rPr>
          <w:rFonts w:ascii="Times New Roman" w:eastAsia="宋体" w:hAnsi="Times New Roman" w:cs="Times New Roman"/>
          <w:b/>
          <w:sz w:val="20"/>
          <w:szCs w:val="20"/>
        </w:rPr>
        <w:t xml:space="preserve">accuracy </w:t>
      </w:r>
      <w:r w:rsidRPr="00ED654E">
        <w:rPr>
          <w:rFonts w:ascii="Times New Roman" w:eastAsia="宋体" w:hAnsi="Times New Roman" w:cs="Times New Roman"/>
          <w:b/>
          <w:sz w:val="20"/>
          <w:szCs w:val="20"/>
        </w:rPr>
        <w:t>should be the same if there is only one GNSS receiver.</w:t>
      </w:r>
      <w:r>
        <w:rPr>
          <w:rFonts w:ascii="Times New Roman" w:eastAsia="宋体" w:hAnsi="Times New Roman" w:cs="Times New Roman"/>
          <w:b/>
          <w:sz w:val="20"/>
          <w:szCs w:val="20"/>
        </w:rPr>
        <w:t xml:space="preserve"> If UE have multiple GNSS receiver, it can support multiple GNSS positioning accuracies.</w:t>
      </w:r>
    </w:p>
    <w:p w14:paraId="5A22D9E6" w14:textId="77777777" w:rsidR="00D018D9" w:rsidRPr="007D6A82" w:rsidRDefault="00D018D9" w:rsidP="00D018D9">
      <w:pPr>
        <w:spacing w:beforeLines="50" w:before="120" w:afterLines="50" w:after="120"/>
        <w:jc w:val="left"/>
        <w:rPr>
          <w:rFonts w:ascii="Times New Roman" w:eastAsia="宋体" w:hAnsi="Times New Roman" w:cs="Times New Roman"/>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sidRPr="008A550D">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tightened positioning error, it should be based on advanced GNSS capability or UE type. </w:t>
      </w:r>
    </w:p>
    <w:p w14:paraId="195B1DE0" w14:textId="77777777" w:rsidR="00D018D9" w:rsidRDefault="00D018D9" w:rsidP="00D018D9">
      <w:pPr>
        <w:spacing w:beforeLines="50" w:before="120" w:afterLines="50" w:after="120"/>
        <w:jc w:val="left"/>
        <w:rPr>
          <w:rFonts w:ascii="Times New Roman" w:hAnsi="Times New Roman" w:cs="Times New Roman"/>
          <w:b/>
          <w:sz w:val="20"/>
          <w:szCs w:val="20"/>
        </w:rPr>
      </w:pPr>
      <w:r w:rsidRPr="001F4C03">
        <w:rPr>
          <w:rFonts w:ascii="Times New Roman" w:hAnsi="Times New Roman" w:cs="Times New Roman" w:hint="eastAsia"/>
          <w:b/>
          <w:sz w:val="20"/>
          <w:szCs w:val="20"/>
        </w:rPr>
        <w:t>O</w:t>
      </w:r>
      <w:r w:rsidRPr="001F4C03">
        <w:rPr>
          <w:rFonts w:ascii="Times New Roman" w:hAnsi="Times New Roman" w:cs="Times New Roman"/>
          <w:b/>
          <w:sz w:val="20"/>
          <w:szCs w:val="20"/>
        </w:rPr>
        <w:t xml:space="preserve">bservation </w:t>
      </w:r>
      <w:r>
        <w:rPr>
          <w:rFonts w:ascii="Times New Roman" w:hAnsi="Times New Roman" w:cs="Times New Roman"/>
          <w:b/>
          <w:sz w:val="20"/>
          <w:szCs w:val="20"/>
        </w:rPr>
        <w:t>2</w:t>
      </w:r>
      <w:r w:rsidRPr="001F4C03">
        <w:rPr>
          <w:rFonts w:ascii="Times New Roman" w:hAnsi="Times New Roman" w:cs="Times New Roman"/>
          <w:b/>
          <w:sz w:val="20"/>
          <w:szCs w:val="20"/>
        </w:rPr>
        <w:t>: The current TN FR2 band is based on TDD system and RX beam sweeping it widely used in TN legacy FR2 RRM requirements.</w:t>
      </w:r>
    </w:p>
    <w:p w14:paraId="0B19F6AC" w14:textId="77777777" w:rsidR="00D018D9" w:rsidRDefault="00D018D9" w:rsidP="00D018D9">
      <w:pPr>
        <w:spacing w:beforeLines="50" w:before="120" w:afterLines="50" w:after="120"/>
        <w:jc w:val="left"/>
        <w:rPr>
          <w:rFonts w:ascii="Times New Roman" w:hAnsi="Times New Roman" w:cs="Times New Roman"/>
          <w:b/>
          <w:sz w:val="20"/>
          <w:szCs w:val="20"/>
        </w:rPr>
      </w:pPr>
      <w:r w:rsidRPr="001F4C03">
        <w:rPr>
          <w:rFonts w:ascii="Times New Roman" w:hAnsi="Times New Roman" w:cs="Times New Roman" w:hint="eastAsia"/>
          <w:b/>
          <w:sz w:val="20"/>
          <w:szCs w:val="20"/>
        </w:rPr>
        <w:t>O</w:t>
      </w:r>
      <w:r w:rsidRPr="001F4C03">
        <w:rPr>
          <w:rFonts w:ascii="Times New Roman" w:hAnsi="Times New Roman" w:cs="Times New Roman"/>
          <w:b/>
          <w:sz w:val="20"/>
          <w:szCs w:val="20"/>
        </w:rPr>
        <w:t xml:space="preserve">bservation </w:t>
      </w:r>
      <w:r>
        <w:rPr>
          <w:rFonts w:ascii="Times New Roman" w:hAnsi="Times New Roman" w:cs="Times New Roman"/>
          <w:b/>
          <w:sz w:val="20"/>
          <w:szCs w:val="20"/>
        </w:rPr>
        <w:t>3</w:t>
      </w:r>
      <w:r w:rsidRPr="001F4C03">
        <w:rPr>
          <w:rFonts w:ascii="Times New Roman" w:hAnsi="Times New Roman" w:cs="Times New Roman"/>
          <w:b/>
          <w:sz w:val="20"/>
          <w:szCs w:val="20"/>
        </w:rPr>
        <w:t>:</w:t>
      </w:r>
      <w:r w:rsidRPr="00DD0B1B">
        <w:rPr>
          <w:rFonts w:ascii="Times New Roman" w:hAnsi="Times New Roman" w:cs="Times New Roman"/>
          <w:b/>
          <w:sz w:val="20"/>
          <w:szCs w:val="20"/>
        </w:rPr>
        <w:t xml:space="preserve"> In above 10GHz, VSAT with directive antenna will be supported. It is quite different from the legacy UE which can perform RX beam sweeping.</w:t>
      </w:r>
    </w:p>
    <w:p w14:paraId="68293AAA" w14:textId="77777777" w:rsidR="00B22CAA" w:rsidRPr="00BD737B" w:rsidRDefault="00B22CAA" w:rsidP="00B22CAA">
      <w:pPr>
        <w:spacing w:beforeLines="50" w:before="120" w:afterLines="50" w:after="120"/>
        <w:jc w:val="left"/>
        <w:rPr>
          <w:rFonts w:ascii="Times New Roman" w:hAnsi="Times New Roman" w:cs="Times New Roman"/>
          <w:b/>
          <w:sz w:val="20"/>
          <w:szCs w:val="20"/>
        </w:rPr>
      </w:pPr>
      <w:r w:rsidRPr="00BD737B">
        <w:rPr>
          <w:rFonts w:ascii="Times New Roman" w:hAnsi="Times New Roman" w:cs="Times New Roman"/>
          <w:b/>
          <w:sz w:val="20"/>
          <w:szCs w:val="20"/>
        </w:rPr>
        <w:t xml:space="preserve">Observation </w:t>
      </w:r>
      <w:r>
        <w:rPr>
          <w:rFonts w:ascii="Times New Roman" w:hAnsi="Times New Roman" w:cs="Times New Roman"/>
          <w:b/>
          <w:sz w:val="20"/>
          <w:szCs w:val="20"/>
        </w:rPr>
        <w:t>4</w:t>
      </w:r>
      <w:r w:rsidRPr="00BD737B">
        <w:rPr>
          <w:rFonts w:ascii="Times New Roman" w:hAnsi="Times New Roman" w:cs="Times New Roman"/>
          <w:b/>
          <w:sz w:val="20"/>
          <w:szCs w:val="20"/>
        </w:rPr>
        <w:t xml:space="preserve">: </w:t>
      </w:r>
      <w:r w:rsidRPr="00BD737B">
        <w:rPr>
          <w:rFonts w:ascii="Times New Roman" w:hAnsi="Times New Roman" w:cs="Times New Roman" w:hint="eastAsia"/>
          <w:b/>
          <w:sz w:val="20"/>
          <w:szCs w:val="20"/>
        </w:rPr>
        <w:t>F</w:t>
      </w:r>
      <w:r w:rsidRPr="00BD737B">
        <w:rPr>
          <w:rFonts w:ascii="Times New Roman" w:hAnsi="Times New Roman" w:cs="Times New Roman"/>
          <w:b/>
          <w:sz w:val="20"/>
          <w:szCs w:val="20"/>
        </w:rPr>
        <w:t xml:space="preserve">or NTN UE with parabolic antennas, it is hardly to perform RX beam sweeping as legacy FR2 TN UE. </w:t>
      </w:r>
      <w:r>
        <w:rPr>
          <w:rFonts w:ascii="Times New Roman" w:hAnsi="Times New Roman" w:cs="Times New Roman"/>
          <w:b/>
          <w:sz w:val="20"/>
          <w:szCs w:val="20"/>
        </w:rPr>
        <w:t xml:space="preserve">The beam is mechanical scanned for different directions. The rotation speed affects severely for time related RRM requirements. </w:t>
      </w:r>
    </w:p>
    <w:p w14:paraId="1AABC3D6" w14:textId="77777777" w:rsidR="00D018D9" w:rsidRDefault="00D018D9" w:rsidP="00D018D9">
      <w:pPr>
        <w:spacing w:beforeLines="50" w:before="120" w:afterLines="50" w:after="120"/>
        <w:jc w:val="left"/>
        <w:rPr>
          <w:rFonts w:ascii="Times New Roman" w:hAnsi="Times New Roman" w:cs="Times New Roman"/>
          <w:b/>
          <w:sz w:val="20"/>
          <w:szCs w:val="20"/>
        </w:rPr>
      </w:pPr>
      <w:r w:rsidRPr="00BD737B">
        <w:rPr>
          <w:rFonts w:ascii="Times New Roman" w:hAnsi="Times New Roman" w:cs="Times New Roman"/>
          <w:b/>
          <w:sz w:val="20"/>
          <w:szCs w:val="20"/>
        </w:rPr>
        <w:lastRenderedPageBreak/>
        <w:t xml:space="preserve">Observation </w:t>
      </w:r>
      <w:r>
        <w:rPr>
          <w:rFonts w:ascii="Times New Roman" w:hAnsi="Times New Roman" w:cs="Times New Roman"/>
          <w:b/>
          <w:sz w:val="20"/>
          <w:szCs w:val="20"/>
        </w:rPr>
        <w:t>5</w:t>
      </w:r>
      <w:r w:rsidRPr="00BD737B">
        <w:rPr>
          <w:rFonts w:ascii="Times New Roman" w:hAnsi="Times New Roman" w:cs="Times New Roman"/>
          <w:b/>
          <w:sz w:val="20"/>
          <w:szCs w:val="20"/>
        </w:rPr>
        <w:t xml:space="preserve">: For NTN UE with phase antenna array, it might perform different RX beams. But the range may be different as legacy FR2 TN UE. </w:t>
      </w:r>
      <w:r>
        <w:rPr>
          <w:rFonts w:ascii="Times New Roman" w:hAnsi="Times New Roman" w:cs="Times New Roman"/>
          <w:b/>
          <w:sz w:val="20"/>
          <w:szCs w:val="20"/>
        </w:rPr>
        <w:t>The legacy RX beam sweeping cannot be reused.</w:t>
      </w:r>
    </w:p>
    <w:p w14:paraId="4AE3A3A8" w14:textId="3FB971BE" w:rsidR="00383B79" w:rsidRDefault="00D018D9" w:rsidP="00D018D9">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3: For </w:t>
      </w:r>
      <w:r w:rsidR="002162D9">
        <w:rPr>
          <w:rFonts w:ascii="Times New Roman" w:hAnsi="Times New Roman" w:cs="Times New Roman"/>
          <w:b/>
          <w:sz w:val="20"/>
          <w:szCs w:val="20"/>
        </w:rPr>
        <w:t>all RRM requirements</w:t>
      </w:r>
      <w:r>
        <w:rPr>
          <w:rFonts w:ascii="Times New Roman" w:hAnsi="Times New Roman" w:cs="Times New Roman"/>
          <w:b/>
          <w:sz w:val="20"/>
          <w:szCs w:val="20"/>
        </w:rPr>
        <w:t xml:space="preserve"> in above 10GHz, RAN4 needs to discuss further by using different antenna types. Need further conclusions in RF session.</w:t>
      </w:r>
    </w:p>
    <w:p w14:paraId="484D5094" w14:textId="59190D57" w:rsidR="00AA72C5" w:rsidRDefault="00AA72C5" w:rsidP="00D018D9">
      <w:pPr>
        <w:spacing w:beforeLines="50" w:before="120" w:afterLines="50" w:after="120"/>
        <w:jc w:val="left"/>
        <w:rPr>
          <w:rFonts w:ascii="Times New Roman" w:eastAsia="宋体" w:hAnsi="Times New Roman" w:cs="Times New Roman"/>
          <w:b/>
          <w:bCs/>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4: RAN4 should update the RRM requirements in 4.2C.2 for time-based measurement initiation for earth-moving scenario. For location-based cell reselection criteria, wait for further RAN2 progress.</w:t>
      </w:r>
    </w:p>
    <w:p w14:paraId="636DD185" w14:textId="6ED8CD29" w:rsidR="008E67A3" w:rsidRDefault="00854FAA" w:rsidP="00383B79">
      <w:pPr>
        <w:spacing w:beforeLines="50" w:before="120" w:afterLines="50" w:after="120"/>
        <w:jc w:val="left"/>
        <w:rPr>
          <w:rFonts w:ascii="Times New Roman" w:eastAsia="宋体" w:hAnsi="Times New Roman" w:cs="Times New Roman"/>
          <w:b/>
          <w:bCs/>
          <w:sz w:val="20"/>
          <w:szCs w:val="20"/>
        </w:rPr>
      </w:pPr>
      <w:r w:rsidRPr="0032345A">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5</w:t>
      </w:r>
      <w:r w:rsidRPr="0032345A">
        <w:rPr>
          <w:rFonts w:ascii="Times New Roman" w:eastAsia="宋体" w:hAnsi="Times New Roman" w:cs="Times New Roman"/>
          <w:b/>
          <w:bCs/>
          <w:sz w:val="20"/>
          <w:szCs w:val="20"/>
        </w:rPr>
        <w:t xml:space="preserve">: Define different cell reselection requirements when the serving cell is TN cell or NTN cell. </w:t>
      </w:r>
      <w:r>
        <w:rPr>
          <w:rFonts w:ascii="Times New Roman" w:eastAsia="宋体" w:hAnsi="Times New Roman" w:cs="Times New Roman"/>
          <w:b/>
          <w:bCs/>
          <w:sz w:val="20"/>
          <w:szCs w:val="20"/>
        </w:rPr>
        <w:t>Separate NTN-TN and TN-NTN cell reselection.</w:t>
      </w:r>
    </w:p>
    <w:p w14:paraId="038A4BA0" w14:textId="77777777" w:rsidR="00854FAA" w:rsidRDefault="00854FAA" w:rsidP="00854FAA">
      <w:pPr>
        <w:spacing w:beforeLines="50" w:before="120" w:afterLines="50" w:after="120"/>
        <w:jc w:val="left"/>
        <w:rPr>
          <w:rFonts w:ascii="Times New Roman" w:eastAsia="宋体" w:hAnsi="Times New Roman" w:cs="Times New Roman"/>
          <w:sz w:val="20"/>
          <w:szCs w:val="20"/>
        </w:rPr>
      </w:pPr>
      <w:r w:rsidRPr="0032345A">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6</w:t>
      </w:r>
      <w:r w:rsidRPr="0032345A">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TN area coverage can be used to skip neighbor cell measurement when serving cell is NTN. For others, need further RAN2 progress. </w:t>
      </w:r>
    </w:p>
    <w:p w14:paraId="0D53492E" w14:textId="33C95F91" w:rsidR="00383B79" w:rsidRPr="00762456" w:rsidRDefault="004C0BC2" w:rsidP="00383B79">
      <w:pPr>
        <w:spacing w:beforeLines="50" w:before="120" w:afterLines="50" w:after="120"/>
        <w:jc w:val="left"/>
        <w:rPr>
          <w:rFonts w:ascii="Times New Roman" w:eastAsia="宋体" w:hAnsi="Times New Roman" w:cs="Times New Roman"/>
          <w:b/>
          <w:bCs/>
          <w:sz w:val="20"/>
          <w:szCs w:val="20"/>
        </w:rPr>
      </w:pPr>
      <w:r w:rsidRPr="0032345A">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7</w:t>
      </w:r>
      <w:r w:rsidRPr="0032345A">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4C0BC2">
        <w:rPr>
          <w:rFonts w:ascii="Times New Roman" w:eastAsia="宋体" w:hAnsi="Times New Roman" w:cs="Times New Roman"/>
          <w:b/>
          <w:bCs/>
          <w:sz w:val="20"/>
          <w:szCs w:val="20"/>
        </w:rPr>
        <w:t>The RACH-less HO delay can be specified as the maximum RRC procedure delay plus the interruption time. For the T</w:t>
      </w:r>
      <w:r w:rsidRPr="004C0BC2">
        <w:rPr>
          <w:rFonts w:ascii="Times New Roman" w:eastAsia="宋体" w:hAnsi="Times New Roman" w:cs="Times New Roman"/>
          <w:b/>
          <w:bCs/>
          <w:sz w:val="20"/>
          <w:szCs w:val="20"/>
          <w:vertAlign w:val="subscript"/>
        </w:rPr>
        <w:t>IU</w:t>
      </w:r>
      <w:r w:rsidRPr="004C0BC2">
        <w:rPr>
          <w:rFonts w:ascii="Times New Roman" w:eastAsia="宋体" w:hAnsi="Times New Roman" w:cs="Times New Roman"/>
          <w:b/>
          <w:bCs/>
          <w:sz w:val="20"/>
          <w:szCs w:val="20"/>
        </w:rPr>
        <w:t xml:space="preserve"> in current NTN HO delay requirements, should be updated for first PUSCH transmission. For the exact value of T</w:t>
      </w:r>
      <w:r w:rsidRPr="004C0BC2">
        <w:rPr>
          <w:rFonts w:ascii="Times New Roman" w:eastAsia="宋体" w:hAnsi="Times New Roman" w:cs="Times New Roman"/>
          <w:b/>
          <w:bCs/>
          <w:sz w:val="20"/>
          <w:szCs w:val="20"/>
          <w:vertAlign w:val="subscript"/>
        </w:rPr>
        <w:t>IU</w:t>
      </w:r>
      <w:r w:rsidRPr="004C0BC2">
        <w:rPr>
          <w:rFonts w:ascii="Times New Roman" w:eastAsia="宋体" w:hAnsi="Times New Roman" w:cs="Times New Roman"/>
          <w:b/>
          <w:bCs/>
          <w:sz w:val="20"/>
          <w:szCs w:val="20"/>
        </w:rPr>
        <w:t>, we prefer to update after further RAN1/RAN2 progress.</w:t>
      </w:r>
    </w:p>
    <w:p w14:paraId="4F2B34DD" w14:textId="77777777" w:rsidR="00383B79" w:rsidRPr="00884DD0" w:rsidRDefault="00383B79" w:rsidP="00383B79">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4797E33E" w14:textId="77777777" w:rsidR="00383B79" w:rsidRDefault="00383B79" w:rsidP="00383B79">
      <w:pPr>
        <w:spacing w:afterLines="50" w:after="120"/>
        <w:jc w:val="left"/>
        <w:rPr>
          <w:rFonts w:ascii="Times New Roman" w:eastAsia="宋体" w:hAnsi="Times New Roman" w:cs="Times New Roman"/>
          <w:sz w:val="20"/>
          <w:szCs w:val="20"/>
        </w:rPr>
      </w:pPr>
      <w:r w:rsidRPr="00417BD2">
        <w:rPr>
          <w:rFonts w:ascii="Times New Roman" w:eastAsia="宋体" w:hAnsi="Times New Roman" w:cs="Times New Roman"/>
          <w:sz w:val="20"/>
          <w:szCs w:val="20"/>
        </w:rPr>
        <w:t>[1] RP-230809, Revised WID: NR NTN (Non-Terrestrial Networks) enhancements, Thales</w:t>
      </w:r>
    </w:p>
    <w:p w14:paraId="28F59D03" w14:textId="77777777" w:rsidR="00383B79" w:rsidRDefault="00383B79" w:rsidP="00383B79">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R4-2220241, Way forward on </w:t>
      </w:r>
      <w:r w:rsidRPr="00C1710E">
        <w:rPr>
          <w:rFonts w:ascii="Times New Roman" w:eastAsia="宋体" w:hAnsi="Times New Roman" w:cs="Times New Roman"/>
          <w:sz w:val="20"/>
          <w:szCs w:val="20"/>
        </w:rPr>
        <w:t>[105][313] NR_NTN_enh_Part2</w:t>
      </w:r>
      <w:r>
        <w:rPr>
          <w:rFonts w:ascii="Times New Roman" w:eastAsia="宋体" w:hAnsi="Times New Roman" w:cs="Times New Roman"/>
          <w:sz w:val="20"/>
          <w:szCs w:val="20"/>
        </w:rPr>
        <w:t>, Samsun</w:t>
      </w:r>
      <w:r>
        <w:rPr>
          <w:rFonts w:ascii="Times New Roman" w:eastAsia="宋体" w:hAnsi="Times New Roman" w:cs="Times New Roman" w:hint="eastAsia"/>
          <w:sz w:val="20"/>
          <w:szCs w:val="20"/>
        </w:rPr>
        <w:t>g</w:t>
      </w:r>
    </w:p>
    <w:p w14:paraId="71954D9C" w14:textId="77777777" w:rsidR="00383B79" w:rsidRDefault="00383B79" w:rsidP="00383B79">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TR 38.821, </w:t>
      </w:r>
      <w:r w:rsidRPr="00835F09">
        <w:rPr>
          <w:rFonts w:ascii="Times New Roman" w:eastAsia="宋体" w:hAnsi="Times New Roman" w:cs="Times New Roman"/>
          <w:sz w:val="20"/>
          <w:szCs w:val="20"/>
        </w:rPr>
        <w:t>Solutions for NR to support non-terrestrial networks (NTN)</w:t>
      </w:r>
    </w:p>
    <w:p w14:paraId="07CF4B7E" w14:textId="3C062EB1" w:rsidR="00383B79" w:rsidRPr="00DC26D7" w:rsidRDefault="00383B79" w:rsidP="00383B79">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4] R4-230</w:t>
      </w:r>
      <w:r w:rsidR="007E6BEB">
        <w:rPr>
          <w:rFonts w:ascii="Times New Roman" w:eastAsia="宋体" w:hAnsi="Times New Roman" w:cs="Times New Roman"/>
          <w:sz w:val="20"/>
          <w:szCs w:val="20"/>
        </w:rPr>
        <w:t>6358</w:t>
      </w:r>
      <w:r>
        <w:rPr>
          <w:rFonts w:ascii="Times New Roman" w:eastAsia="宋体" w:hAnsi="Times New Roman" w:cs="Times New Roman"/>
          <w:sz w:val="20"/>
          <w:szCs w:val="20"/>
        </w:rPr>
        <w:t>, WF on NR NTN enhancement RRM requirements, Qualcomm</w:t>
      </w:r>
    </w:p>
    <w:p w14:paraId="0045F01B" w14:textId="719CF636" w:rsidR="0081776B" w:rsidRPr="007E6BEB" w:rsidRDefault="007E6BEB" w:rsidP="007E6BEB">
      <w:pPr>
        <w:spacing w:afterLines="50" w:after="120"/>
        <w:jc w:val="left"/>
        <w:rPr>
          <w:rFonts w:ascii="Times New Roman" w:eastAsia="宋体" w:hAnsi="Times New Roman" w:cs="Times New Roman"/>
          <w:sz w:val="20"/>
          <w:szCs w:val="20"/>
        </w:rPr>
      </w:pPr>
      <w:r w:rsidRPr="007E6BEB">
        <w:rPr>
          <w:rFonts w:ascii="Times New Roman" w:eastAsia="宋体" w:hAnsi="Times New Roman" w:cs="Times New Roman" w:hint="eastAsia"/>
          <w:sz w:val="20"/>
          <w:szCs w:val="20"/>
        </w:rPr>
        <w:t>[</w:t>
      </w:r>
      <w:r w:rsidRPr="007E6BEB">
        <w:rPr>
          <w:rFonts w:ascii="Times New Roman" w:eastAsia="宋体" w:hAnsi="Times New Roman" w:cs="Times New Roman"/>
          <w:sz w:val="20"/>
          <w:szCs w:val="20"/>
        </w:rPr>
        <w:t>5] R1-2304094, LS on PUSCH DMRS bundling for NR NTN coverage enhancement, RAN1</w:t>
      </w:r>
    </w:p>
    <w:sectPr w:rsidR="0081776B" w:rsidRPr="007E6BEB"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CA44" w14:textId="77777777" w:rsidR="00577540" w:rsidRDefault="00577540" w:rsidP="00383B79">
      <w:r>
        <w:separator/>
      </w:r>
    </w:p>
  </w:endnote>
  <w:endnote w:type="continuationSeparator" w:id="0">
    <w:p w14:paraId="5845E860" w14:textId="77777777" w:rsidR="00577540" w:rsidRDefault="00577540" w:rsidP="0038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FEAFA" w14:textId="77777777" w:rsidR="00577540" w:rsidRDefault="00577540" w:rsidP="00383B79">
      <w:r>
        <w:separator/>
      </w:r>
    </w:p>
  </w:footnote>
  <w:footnote w:type="continuationSeparator" w:id="0">
    <w:p w14:paraId="66E854AF" w14:textId="77777777" w:rsidR="00577540" w:rsidRDefault="00577540" w:rsidP="00383B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3.1pt;height:75.1pt" o:bullet="t">
        <v:imagedata r:id="rId1" o:title=""/>
      </v:shape>
    </w:pict>
  </w:numPicBullet>
  <w:abstractNum w:abstractNumId="0" w15:restartNumberingAfterBreak="0">
    <w:nsid w:val="03602CA5"/>
    <w:multiLevelType w:val="hybridMultilevel"/>
    <w:tmpl w:val="ADB0A3A4"/>
    <w:lvl w:ilvl="0" w:tplc="89FE6FA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E087F33"/>
    <w:multiLevelType w:val="hybridMultilevel"/>
    <w:tmpl w:val="32D2F464"/>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1E5095C"/>
    <w:multiLevelType w:val="hybridMultilevel"/>
    <w:tmpl w:val="4A704008"/>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1B072C"/>
    <w:multiLevelType w:val="hybridMultilevel"/>
    <w:tmpl w:val="5D38C818"/>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4EE97479"/>
    <w:multiLevelType w:val="hybridMultilevel"/>
    <w:tmpl w:val="FB5C893C"/>
    <w:lvl w:ilvl="0" w:tplc="AEF2FF4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5540AF"/>
    <w:multiLevelType w:val="hybridMultilevel"/>
    <w:tmpl w:val="7EC4C920"/>
    <w:lvl w:ilvl="0" w:tplc="547A41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3"/>
  </w:num>
  <w:num w:numId="4">
    <w:abstractNumId w:val="6"/>
  </w:num>
  <w:num w:numId="5">
    <w:abstractNumId w:val="14"/>
  </w:num>
  <w:num w:numId="6">
    <w:abstractNumId w:val="9"/>
  </w:num>
  <w:num w:numId="7">
    <w:abstractNumId w:val="10"/>
  </w:num>
  <w:num w:numId="8">
    <w:abstractNumId w:val="8"/>
  </w:num>
  <w:num w:numId="9">
    <w:abstractNumId w:val="4"/>
  </w:num>
  <w:num w:numId="10">
    <w:abstractNumId w:val="11"/>
  </w:num>
  <w:num w:numId="11">
    <w:abstractNumId w:val="1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319"/>
    <w:rsid w:val="00003DC5"/>
    <w:rsid w:val="00052CA4"/>
    <w:rsid w:val="000B773F"/>
    <w:rsid w:val="00100486"/>
    <w:rsid w:val="00103FEA"/>
    <w:rsid w:val="00185319"/>
    <w:rsid w:val="002162D9"/>
    <w:rsid w:val="00283D15"/>
    <w:rsid w:val="00383B79"/>
    <w:rsid w:val="003F344F"/>
    <w:rsid w:val="004260D0"/>
    <w:rsid w:val="0044220D"/>
    <w:rsid w:val="004C0BC2"/>
    <w:rsid w:val="0053255A"/>
    <w:rsid w:val="005702F7"/>
    <w:rsid w:val="00577540"/>
    <w:rsid w:val="005A0F34"/>
    <w:rsid w:val="006D1E6C"/>
    <w:rsid w:val="006F0849"/>
    <w:rsid w:val="0073252B"/>
    <w:rsid w:val="00762456"/>
    <w:rsid w:val="0076650F"/>
    <w:rsid w:val="007D6A82"/>
    <w:rsid w:val="007E6BEB"/>
    <w:rsid w:val="0081776B"/>
    <w:rsid w:val="008221E9"/>
    <w:rsid w:val="00854FAA"/>
    <w:rsid w:val="0085567B"/>
    <w:rsid w:val="008E1D85"/>
    <w:rsid w:val="008E67A3"/>
    <w:rsid w:val="00947EBD"/>
    <w:rsid w:val="00997941"/>
    <w:rsid w:val="009C7403"/>
    <w:rsid w:val="009D4C82"/>
    <w:rsid w:val="00AA72C5"/>
    <w:rsid w:val="00AD0835"/>
    <w:rsid w:val="00B2120E"/>
    <w:rsid w:val="00B22CAA"/>
    <w:rsid w:val="00C661D6"/>
    <w:rsid w:val="00C94568"/>
    <w:rsid w:val="00CB2B2B"/>
    <w:rsid w:val="00D018D9"/>
    <w:rsid w:val="00DE4976"/>
    <w:rsid w:val="00E54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54A87"/>
  <w15:chartTrackingRefBased/>
  <w15:docId w15:val="{D2742F36-5F8F-40EC-9B4D-2CA628671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3B7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383B79"/>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3B7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83B79"/>
    <w:rPr>
      <w:sz w:val="18"/>
      <w:szCs w:val="18"/>
    </w:rPr>
  </w:style>
  <w:style w:type="paragraph" w:styleId="a5">
    <w:name w:val="footer"/>
    <w:basedOn w:val="a"/>
    <w:link w:val="a6"/>
    <w:unhideWhenUsed/>
    <w:rsid w:val="00383B79"/>
    <w:pPr>
      <w:tabs>
        <w:tab w:val="center" w:pos="4153"/>
        <w:tab w:val="right" w:pos="8306"/>
      </w:tabs>
      <w:snapToGrid w:val="0"/>
      <w:jc w:val="left"/>
    </w:pPr>
    <w:rPr>
      <w:sz w:val="18"/>
      <w:szCs w:val="18"/>
    </w:rPr>
  </w:style>
  <w:style w:type="character" w:customStyle="1" w:styleId="a6">
    <w:name w:val="页脚 字符"/>
    <w:basedOn w:val="a0"/>
    <w:link w:val="a5"/>
    <w:rsid w:val="00383B79"/>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383B79"/>
    <w:rPr>
      <w:rFonts w:ascii="Arial" w:eastAsia="MS Mincho" w:hAnsi="Arial" w:cs="Times New Roman"/>
      <w:kern w:val="0"/>
      <w:sz w:val="36"/>
      <w:szCs w:val="20"/>
      <w:lang w:val="en-GB" w:eastAsia="en-US"/>
    </w:rPr>
  </w:style>
  <w:style w:type="table" w:styleId="a7">
    <w:name w:val="Table Grid"/>
    <w:basedOn w:val="a1"/>
    <w:uiPriority w:val="59"/>
    <w:qFormat/>
    <w:rsid w:val="00383B79"/>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383B79"/>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383B79"/>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383B79"/>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i/>
      <w:kern w:val="0"/>
      <w:sz w:val="20"/>
      <w:szCs w:val="20"/>
      <w:lang w:val="en-GB" w:eastAsia="ja-JP"/>
    </w:rPr>
  </w:style>
  <w:style w:type="paragraph" w:customStyle="1" w:styleId="TAC">
    <w:name w:val="TAC"/>
    <w:basedOn w:val="a"/>
    <w:link w:val="TACChar"/>
    <w:rsid w:val="00383B7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qFormat/>
    <w:rsid w:val="00383B79"/>
    <w:rPr>
      <w:rFonts w:ascii="Arial" w:eastAsia="Times New Roman" w:hAnsi="Arial" w:cs="Times New Roman"/>
      <w:kern w:val="0"/>
      <w:sz w:val="18"/>
      <w:szCs w:val="20"/>
      <w:lang w:val="en-GB" w:eastAsia="en-GB"/>
    </w:rPr>
  </w:style>
  <w:style w:type="paragraph" w:customStyle="1" w:styleId="TH">
    <w:name w:val="TH"/>
    <w:basedOn w:val="a"/>
    <w:link w:val="THChar"/>
    <w:rsid w:val="00383B79"/>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383B79"/>
    <w:rPr>
      <w:rFonts w:ascii="Arial" w:eastAsia="Times New Roman" w:hAnsi="Arial" w:cs="Times New Roman"/>
      <w:b/>
      <w:kern w:val="0"/>
      <w:sz w:val="20"/>
      <w:szCs w:val="20"/>
      <w:lang w:val="en-GB" w:eastAsia="en-GB"/>
    </w:rPr>
  </w:style>
  <w:style w:type="paragraph" w:customStyle="1" w:styleId="TAN">
    <w:name w:val="TAN"/>
    <w:basedOn w:val="a"/>
    <w:link w:val="TANChar"/>
    <w:rsid w:val="00383B79"/>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GB"/>
    </w:rPr>
  </w:style>
  <w:style w:type="character" w:customStyle="1" w:styleId="TANChar">
    <w:name w:val="TAN Char"/>
    <w:link w:val="TAN"/>
    <w:qFormat/>
    <w:rsid w:val="00383B79"/>
    <w:rPr>
      <w:rFonts w:ascii="Arial" w:eastAsia="Times New Roman" w:hAnsi="Arial" w:cs="Times New Roman"/>
      <w:kern w:val="0"/>
      <w:sz w:val="18"/>
      <w:szCs w:val="20"/>
      <w:lang w:val="en-GB" w:eastAsia="en-GB"/>
    </w:rPr>
  </w:style>
  <w:style w:type="paragraph" w:customStyle="1" w:styleId="TAH">
    <w:name w:val="TAH"/>
    <w:basedOn w:val="TAC"/>
    <w:link w:val="TAHCar"/>
    <w:rsid w:val="00383B79"/>
    <w:rPr>
      <w:b/>
    </w:rPr>
  </w:style>
  <w:style w:type="character" w:customStyle="1" w:styleId="TAHCar">
    <w:name w:val="TAH Car"/>
    <w:link w:val="TAH"/>
    <w:qFormat/>
    <w:rsid w:val="00383B79"/>
    <w:rPr>
      <w:rFonts w:ascii="Arial" w:eastAsia="Times New Roman" w:hAnsi="Arial" w:cs="Times New Roman"/>
      <w:b/>
      <w:kern w:val="0"/>
      <w:sz w:val="18"/>
      <w:szCs w:val="20"/>
      <w:lang w:val="en-GB" w:eastAsia="en-GB"/>
    </w:rPr>
  </w:style>
  <w:style w:type="character" w:customStyle="1" w:styleId="Doc-text2Char">
    <w:name w:val="Doc-text2 Char"/>
    <w:link w:val="Doc-text2"/>
    <w:qFormat/>
    <w:locked/>
    <w:rsid w:val="0085567B"/>
    <w:rPr>
      <w:rFonts w:ascii="Arial" w:eastAsia="MS Mincho" w:hAnsi="Arial" w:cs="Arial"/>
      <w:szCs w:val="24"/>
    </w:rPr>
  </w:style>
  <w:style w:type="paragraph" w:customStyle="1" w:styleId="Doc-text2">
    <w:name w:val="Doc-text2"/>
    <w:basedOn w:val="a"/>
    <w:link w:val="Doc-text2Char"/>
    <w:qFormat/>
    <w:rsid w:val="0085567B"/>
    <w:pPr>
      <w:widowControl/>
      <w:tabs>
        <w:tab w:val="left" w:pos="1622"/>
      </w:tabs>
      <w:ind w:left="1622" w:hanging="363"/>
      <w:jc w:val="left"/>
    </w:pPr>
    <w:rPr>
      <w:rFonts w:ascii="Arial" w:eastAsia="MS Mincho" w:hAnsi="Arial" w:cs="Arial"/>
      <w:szCs w:val="24"/>
    </w:rPr>
  </w:style>
  <w:style w:type="character" w:customStyle="1" w:styleId="CommentsChar">
    <w:name w:val="Comments Char"/>
    <w:link w:val="Comments"/>
    <w:qFormat/>
    <w:locked/>
    <w:rsid w:val="00103FEA"/>
    <w:rPr>
      <w:rFonts w:ascii="Arial" w:eastAsia="MS Mincho" w:hAnsi="Arial" w:cs="Arial"/>
      <w:i/>
      <w:noProof/>
      <w:sz w:val="18"/>
      <w:szCs w:val="24"/>
    </w:rPr>
  </w:style>
  <w:style w:type="paragraph" w:customStyle="1" w:styleId="Comments">
    <w:name w:val="Comments"/>
    <w:basedOn w:val="a"/>
    <w:link w:val="CommentsChar"/>
    <w:qFormat/>
    <w:rsid w:val="00103FEA"/>
    <w:pPr>
      <w:widowControl/>
      <w:spacing w:before="4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20468">
      <w:bodyDiv w:val="1"/>
      <w:marLeft w:val="0"/>
      <w:marRight w:val="0"/>
      <w:marTop w:val="0"/>
      <w:marBottom w:val="0"/>
      <w:divBdr>
        <w:top w:val="none" w:sz="0" w:space="0" w:color="auto"/>
        <w:left w:val="none" w:sz="0" w:space="0" w:color="auto"/>
        <w:bottom w:val="none" w:sz="0" w:space="0" w:color="auto"/>
        <w:right w:val="none" w:sz="0" w:space="0" w:color="auto"/>
      </w:divBdr>
    </w:div>
    <w:div w:id="140194749">
      <w:bodyDiv w:val="1"/>
      <w:marLeft w:val="0"/>
      <w:marRight w:val="0"/>
      <w:marTop w:val="0"/>
      <w:marBottom w:val="0"/>
      <w:divBdr>
        <w:top w:val="none" w:sz="0" w:space="0" w:color="auto"/>
        <w:left w:val="none" w:sz="0" w:space="0" w:color="auto"/>
        <w:bottom w:val="none" w:sz="0" w:space="0" w:color="auto"/>
        <w:right w:val="none" w:sz="0" w:space="0" w:color="auto"/>
      </w:divBdr>
    </w:div>
    <w:div w:id="197352037">
      <w:bodyDiv w:val="1"/>
      <w:marLeft w:val="0"/>
      <w:marRight w:val="0"/>
      <w:marTop w:val="0"/>
      <w:marBottom w:val="0"/>
      <w:divBdr>
        <w:top w:val="none" w:sz="0" w:space="0" w:color="auto"/>
        <w:left w:val="none" w:sz="0" w:space="0" w:color="auto"/>
        <w:bottom w:val="none" w:sz="0" w:space="0" w:color="auto"/>
        <w:right w:val="none" w:sz="0" w:space="0" w:color="auto"/>
      </w:divBdr>
    </w:div>
    <w:div w:id="242951634">
      <w:bodyDiv w:val="1"/>
      <w:marLeft w:val="0"/>
      <w:marRight w:val="0"/>
      <w:marTop w:val="0"/>
      <w:marBottom w:val="0"/>
      <w:divBdr>
        <w:top w:val="none" w:sz="0" w:space="0" w:color="auto"/>
        <w:left w:val="none" w:sz="0" w:space="0" w:color="auto"/>
        <w:bottom w:val="none" w:sz="0" w:space="0" w:color="auto"/>
        <w:right w:val="none" w:sz="0" w:space="0" w:color="auto"/>
      </w:divBdr>
    </w:div>
    <w:div w:id="279457426">
      <w:bodyDiv w:val="1"/>
      <w:marLeft w:val="0"/>
      <w:marRight w:val="0"/>
      <w:marTop w:val="0"/>
      <w:marBottom w:val="0"/>
      <w:divBdr>
        <w:top w:val="none" w:sz="0" w:space="0" w:color="auto"/>
        <w:left w:val="none" w:sz="0" w:space="0" w:color="auto"/>
        <w:bottom w:val="none" w:sz="0" w:space="0" w:color="auto"/>
        <w:right w:val="none" w:sz="0" w:space="0" w:color="auto"/>
      </w:divBdr>
    </w:div>
    <w:div w:id="1025789891">
      <w:bodyDiv w:val="1"/>
      <w:marLeft w:val="0"/>
      <w:marRight w:val="0"/>
      <w:marTop w:val="0"/>
      <w:marBottom w:val="0"/>
      <w:divBdr>
        <w:top w:val="none" w:sz="0" w:space="0" w:color="auto"/>
        <w:left w:val="none" w:sz="0" w:space="0" w:color="auto"/>
        <w:bottom w:val="none" w:sz="0" w:space="0" w:color="auto"/>
        <w:right w:val="none" w:sz="0" w:space="0" w:color="auto"/>
      </w:divBdr>
    </w:div>
    <w:div w:id="1635866531">
      <w:bodyDiv w:val="1"/>
      <w:marLeft w:val="0"/>
      <w:marRight w:val="0"/>
      <w:marTop w:val="0"/>
      <w:marBottom w:val="0"/>
      <w:divBdr>
        <w:top w:val="none" w:sz="0" w:space="0" w:color="auto"/>
        <w:left w:val="none" w:sz="0" w:space="0" w:color="auto"/>
        <w:bottom w:val="none" w:sz="0" w:space="0" w:color="auto"/>
        <w:right w:val="none" w:sz="0" w:space="0" w:color="auto"/>
      </w:divBdr>
    </w:div>
    <w:div w:id="1800494286">
      <w:bodyDiv w:val="1"/>
      <w:marLeft w:val="0"/>
      <w:marRight w:val="0"/>
      <w:marTop w:val="0"/>
      <w:marBottom w:val="0"/>
      <w:divBdr>
        <w:top w:val="none" w:sz="0" w:space="0" w:color="auto"/>
        <w:left w:val="none" w:sz="0" w:space="0" w:color="auto"/>
        <w:bottom w:val="none" w:sz="0" w:space="0" w:color="auto"/>
        <w:right w:val="none" w:sz="0" w:space="0" w:color="auto"/>
      </w:divBdr>
    </w:div>
    <w:div w:id="1872692667">
      <w:bodyDiv w:val="1"/>
      <w:marLeft w:val="0"/>
      <w:marRight w:val="0"/>
      <w:marTop w:val="0"/>
      <w:marBottom w:val="0"/>
      <w:divBdr>
        <w:top w:val="none" w:sz="0" w:space="0" w:color="auto"/>
        <w:left w:val="none" w:sz="0" w:space="0" w:color="auto"/>
        <w:bottom w:val="none" w:sz="0" w:space="0" w:color="auto"/>
        <w:right w:val="none" w:sz="0" w:space="0" w:color="auto"/>
      </w:divBdr>
    </w:div>
    <w:div w:id="1893270516">
      <w:bodyDiv w:val="1"/>
      <w:marLeft w:val="0"/>
      <w:marRight w:val="0"/>
      <w:marTop w:val="0"/>
      <w:marBottom w:val="0"/>
      <w:divBdr>
        <w:top w:val="none" w:sz="0" w:space="0" w:color="auto"/>
        <w:left w:val="none" w:sz="0" w:space="0" w:color="auto"/>
        <w:bottom w:val="none" w:sz="0" w:space="0" w:color="auto"/>
        <w:right w:val="none" w:sz="0" w:space="0" w:color="auto"/>
      </w:divBdr>
    </w:div>
    <w:div w:id="1939407146">
      <w:bodyDiv w:val="1"/>
      <w:marLeft w:val="0"/>
      <w:marRight w:val="0"/>
      <w:marTop w:val="0"/>
      <w:marBottom w:val="0"/>
      <w:divBdr>
        <w:top w:val="none" w:sz="0" w:space="0" w:color="auto"/>
        <w:left w:val="none" w:sz="0" w:space="0" w:color="auto"/>
        <w:bottom w:val="none" w:sz="0" w:space="0" w:color="auto"/>
        <w:right w:val="none" w:sz="0" w:space="0" w:color="auto"/>
      </w:divBdr>
    </w:div>
    <w:div w:id="195193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7</Pages>
  <Words>2685</Words>
  <Characters>15308</Characters>
  <Application>Microsoft Office Word</Application>
  <DocSecurity>0</DocSecurity>
  <Lines>127</Lines>
  <Paragraphs>35</Paragraphs>
  <ScaleCrop>false</ScaleCrop>
  <Company/>
  <LinksUpToDate>false</LinksUpToDate>
  <CharactersWithSpaces>17958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30</cp:revision>
  <dcterms:created xsi:type="dcterms:W3CDTF">2023-05-15T11:24:00Z</dcterms:created>
  <dcterms:modified xsi:type="dcterms:W3CDTF">2023-05-15T14:07:00Z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