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30CC" w:rsidRPr="004A029C" w:rsidRDefault="005730CC" w:rsidP="005730C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sidR="00934420">
        <w:rPr>
          <w:rFonts w:cs="Arial"/>
          <w:sz w:val="24"/>
          <w:szCs w:val="24"/>
        </w:rPr>
        <w:t>107</w:t>
      </w:r>
      <w:r w:rsidRPr="004A029C">
        <w:rPr>
          <w:rFonts w:cs="Arial"/>
          <w:sz w:val="24"/>
          <w:szCs w:val="24"/>
        </w:rPr>
        <w:tab/>
      </w:r>
      <w:r w:rsidR="00C015C5" w:rsidRPr="00C015C5">
        <w:rPr>
          <w:rFonts w:cs="Arial"/>
          <w:sz w:val="24"/>
          <w:szCs w:val="24"/>
        </w:rPr>
        <w:t>R4-2308322</w:t>
      </w:r>
      <w:bookmarkStart w:id="0" w:name="_GoBack"/>
      <w:bookmarkEnd w:id="0"/>
    </w:p>
    <w:p w:rsidR="000A18E6" w:rsidRPr="00E13633" w:rsidRDefault="00934420" w:rsidP="000A18E6">
      <w:pPr>
        <w:pStyle w:val="Header"/>
        <w:tabs>
          <w:tab w:val="right" w:pos="9781"/>
          <w:tab w:val="right" w:pos="13323"/>
        </w:tabs>
        <w:spacing w:before="60" w:after="60"/>
        <w:outlineLvl w:val="0"/>
        <w:rPr>
          <w:rFonts w:eastAsia="宋体" w:cs="Arial"/>
          <w:b w:val="0"/>
          <w:sz w:val="24"/>
          <w:szCs w:val="24"/>
          <w:lang w:eastAsia="zh-CN"/>
        </w:rPr>
      </w:pPr>
      <w:r w:rsidRPr="00934420">
        <w:rPr>
          <w:rFonts w:eastAsia="宋体" w:cs="Arial"/>
          <w:sz w:val="24"/>
          <w:szCs w:val="24"/>
          <w:lang w:eastAsia="zh-CN"/>
        </w:rPr>
        <w:t>Incheon, KR, May 22 – May 26, 2023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D4EE8">
        <w:rPr>
          <w:rFonts w:ascii="Arial" w:hAnsi="Arial"/>
          <w:sz w:val="24"/>
          <w:lang w:val="en-US"/>
        </w:rPr>
        <w:t>8</w:t>
      </w:r>
      <w:r w:rsidR="00AB319F" w:rsidRPr="00AB319F">
        <w:rPr>
          <w:rFonts w:ascii="Arial" w:hAnsi="Arial"/>
          <w:sz w:val="24"/>
          <w:lang w:val="en-US"/>
        </w:rPr>
        <w:t>.8.3.</w:t>
      </w:r>
      <w:r w:rsidR="000A6976">
        <w:rPr>
          <w:rFonts w:ascii="Arial" w:hAnsi="Arial"/>
          <w:sz w:val="24"/>
          <w:lang w:val="en-US"/>
        </w:rPr>
        <w:t>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A6976">
        <w:rPr>
          <w:rFonts w:ascii="Arial" w:hAnsi="Arial"/>
          <w:sz w:val="24"/>
          <w:lang w:val="en-US"/>
        </w:rPr>
        <w:t xml:space="preserve">Discussion on </w:t>
      </w:r>
      <w:r w:rsidR="000A6976" w:rsidRPr="000A6976">
        <w:rPr>
          <w:rFonts w:ascii="Arial" w:hAnsi="Arial"/>
          <w:sz w:val="24"/>
          <w:lang w:val="en-US"/>
        </w:rPr>
        <w:t>TCI state switching delay with dual TCI</w:t>
      </w:r>
      <w:r w:rsidR="008B367C">
        <w:rPr>
          <w:rFonts w:ascii="Arial" w:hAnsi="Arial"/>
          <w:sz w:val="24"/>
          <w:lang w:val="en-US"/>
        </w:rPr>
        <w:t xml:space="preserve"> </w:t>
      </w:r>
      <w:r w:rsidR="000A6976">
        <w:rPr>
          <w:rFonts w:ascii="Arial" w:hAnsi="Arial"/>
          <w:sz w:val="24"/>
          <w:lang w:val="en-US"/>
        </w:rPr>
        <w:t>for NR FR2 multi-Rx</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5A33C9" w:rsidRPr="00622EBC" w:rsidRDefault="00AB319F" w:rsidP="00622EBC">
      <w:pPr>
        <w:rPr>
          <w:rFonts w:eastAsiaTheme="minorEastAsia"/>
          <w:lang w:val="en-US" w:eastAsia="zh-CN"/>
        </w:rPr>
      </w:pPr>
      <w:r>
        <w:rPr>
          <w:rFonts w:eastAsiaTheme="minorEastAsia"/>
          <w:lang w:val="en-US" w:eastAsia="zh-CN"/>
        </w:rPr>
        <w:t xml:space="preserve">In last RAN4 meeting, the RRM impacts of NR FR2 multi-Rx chain DL reception were </w:t>
      </w:r>
      <w:r w:rsidR="005A3C87">
        <w:rPr>
          <w:rFonts w:eastAsiaTheme="minorEastAsia"/>
          <w:lang w:val="en-US" w:eastAsia="zh-CN"/>
        </w:rPr>
        <w:t>further</w:t>
      </w:r>
      <w:r>
        <w:rPr>
          <w:rFonts w:eastAsiaTheme="minorEastAsia"/>
          <w:lang w:val="en-US" w:eastAsia="zh-CN"/>
        </w:rPr>
        <w:t xml:space="preserve"> discussed, </w:t>
      </w:r>
      <w:r w:rsidR="00F610B6">
        <w:rPr>
          <w:rFonts w:eastAsiaTheme="minorEastAsia"/>
          <w:lang w:val="en-US" w:eastAsia="zh-CN"/>
        </w:rPr>
        <w:t>with agreement captured in [1]</w:t>
      </w:r>
      <w:r w:rsidR="00CC150E">
        <w:rPr>
          <w:rFonts w:eastAsiaTheme="minorEastAsia"/>
          <w:lang w:val="en-US" w:eastAsia="zh-CN"/>
        </w:rPr>
        <w:t>[2]</w:t>
      </w:r>
      <w:r w:rsidR="005A3C87">
        <w:rPr>
          <w:rFonts w:eastAsiaTheme="minorEastAsia"/>
          <w:lang w:val="en-US" w:eastAsia="zh-CN"/>
        </w:rPr>
        <w:t>.</w:t>
      </w:r>
      <w:r>
        <w:rPr>
          <w:rFonts w:eastAsiaTheme="minorEastAsia"/>
          <w:lang w:val="en-US" w:eastAsia="zh-CN"/>
        </w:rPr>
        <w:t xml:space="preserve"> </w:t>
      </w:r>
      <w:r w:rsidR="005A3C87">
        <w:rPr>
          <w:rFonts w:eastAsiaTheme="minorEastAsia"/>
          <w:lang w:val="en-US" w:eastAsia="zh-CN"/>
        </w:rPr>
        <w:t xml:space="preserve">The scope and scenarios were further clarified. </w:t>
      </w:r>
      <w:r>
        <w:rPr>
          <w:rFonts w:eastAsiaTheme="minorEastAsia"/>
          <w:lang w:val="en-US" w:eastAsia="zh-CN"/>
        </w:rPr>
        <w:t xml:space="preserve">In this paper, we further provide our views on the scope and RRM impacts </w:t>
      </w:r>
      <w:r w:rsidR="00F610B6">
        <w:rPr>
          <w:rFonts w:eastAsiaTheme="minorEastAsia"/>
          <w:lang w:val="en-US" w:eastAsia="zh-CN"/>
        </w:rPr>
        <w:t>of dual TCI switching.</w:t>
      </w:r>
    </w:p>
    <w:p w:rsidR="00A26C29" w:rsidRDefault="00DF0231" w:rsidP="00A26C29">
      <w:pPr>
        <w:pStyle w:val="Heading1"/>
        <w:numPr>
          <w:ilvl w:val="0"/>
          <w:numId w:val="1"/>
        </w:numPr>
        <w:rPr>
          <w:lang w:val="en-US"/>
        </w:rPr>
      </w:pPr>
      <w:r w:rsidRPr="002D2977">
        <w:rPr>
          <w:lang w:val="en-US"/>
        </w:rPr>
        <w:t>Discussion</w:t>
      </w:r>
    </w:p>
    <w:p w:rsidR="00E875BB" w:rsidRPr="00E875BB" w:rsidRDefault="00E875BB" w:rsidP="00E875BB">
      <w:pPr>
        <w:pStyle w:val="Heading2"/>
      </w:pPr>
      <w:r w:rsidRPr="00E875BB">
        <w:t xml:space="preserve">2.1 </w:t>
      </w:r>
      <w:r w:rsidRPr="00E875BB">
        <w:rPr>
          <w:rStyle w:val="Heading2Char"/>
          <w:bCs/>
        </w:rPr>
        <w:t>Scenario</w:t>
      </w:r>
      <w:r w:rsidRPr="00E875BB">
        <w:t xml:space="preserve"> </w:t>
      </w:r>
    </w:p>
    <w:p w:rsidR="00D9196F" w:rsidRDefault="00D9196F" w:rsidP="00793CB2">
      <w:pPr>
        <w:rPr>
          <w:lang w:val="en-US"/>
        </w:rPr>
      </w:pPr>
      <w:r>
        <w:rPr>
          <w:lang w:val="en-US"/>
        </w:rPr>
        <w:t>Based on the agreements in last meeting, the scope of multi-Rx and dual TCI were clarified and some scenarios were down scoped as follows:</w:t>
      </w:r>
    </w:p>
    <w:tbl>
      <w:tblPr>
        <w:tblStyle w:val="TableGrid"/>
        <w:tblW w:w="0" w:type="auto"/>
        <w:tblLook w:val="04A0" w:firstRow="1" w:lastRow="0" w:firstColumn="1" w:lastColumn="0" w:noHBand="0" w:noVBand="1"/>
      </w:tblPr>
      <w:tblGrid>
        <w:gridCol w:w="9562"/>
      </w:tblGrid>
      <w:tr w:rsidR="00D9196F" w:rsidTr="00D9196F">
        <w:tc>
          <w:tcPr>
            <w:tcW w:w="9562" w:type="dxa"/>
          </w:tcPr>
          <w:p w:rsidR="00A946E4" w:rsidRPr="00CF1252" w:rsidRDefault="00A946E4" w:rsidP="00A946E4">
            <w:pPr>
              <w:rPr>
                <w:bCs/>
                <w:lang w:eastAsia="ko-KR"/>
              </w:rPr>
            </w:pPr>
            <w:r w:rsidRPr="005A6180">
              <w:rPr>
                <w:b/>
                <w:lang w:eastAsia="ko-KR"/>
              </w:rPr>
              <w:t xml:space="preserve">Issue 2-1-1: General conditions  </w:t>
            </w:r>
          </w:p>
          <w:p w:rsidR="00A946E4" w:rsidRPr="00CF1252" w:rsidRDefault="00A946E4" w:rsidP="00A946E4">
            <w:pPr>
              <w:spacing w:after="120"/>
              <w:rPr>
                <w:i/>
                <w:iCs/>
                <w:szCs w:val="24"/>
                <w:lang w:eastAsia="zh-CN"/>
              </w:rPr>
            </w:pPr>
            <w:r w:rsidRPr="00CF1252">
              <w:rPr>
                <w:i/>
                <w:iCs/>
                <w:szCs w:val="24"/>
                <w:lang w:eastAsia="zh-CN"/>
              </w:rPr>
              <w:t xml:space="preserve">Agreements: </w:t>
            </w:r>
          </w:p>
          <w:p w:rsidR="00A946E4" w:rsidRPr="00CF1252" w:rsidRDefault="00A946E4" w:rsidP="00A946E4">
            <w:pPr>
              <w:spacing w:after="120"/>
              <w:rPr>
                <w:i/>
                <w:iCs/>
                <w:szCs w:val="24"/>
                <w:lang w:eastAsia="zh-CN"/>
              </w:rPr>
            </w:pPr>
            <w:r w:rsidRPr="00CF1252">
              <w:rPr>
                <w:i/>
                <w:iCs/>
                <w:szCs w:val="24"/>
                <w:lang w:eastAsia="zh-CN"/>
              </w:rPr>
              <w:t>RAN4 to define TCI state switch delay requirements only for the case where to-be-activated/switched TCI state upon the TCI switch command(s) reception includes two different QCL-TypeD reference resources and the reference resources of the two TCI states are included in the group-based L1-RSRP measurement report.</w:t>
            </w:r>
          </w:p>
          <w:p w:rsidR="00A946E4" w:rsidRPr="00CF1252" w:rsidRDefault="00A946E4" w:rsidP="00A946E4">
            <w:pPr>
              <w:pStyle w:val="ListParagraph"/>
              <w:numPr>
                <w:ilvl w:val="1"/>
                <w:numId w:val="3"/>
              </w:numPr>
              <w:overflowPunct w:val="0"/>
              <w:autoSpaceDE w:val="0"/>
              <w:autoSpaceDN w:val="0"/>
              <w:adjustRightInd w:val="0"/>
              <w:spacing w:after="120"/>
              <w:ind w:firstLineChars="0"/>
              <w:textAlignment w:val="baseline"/>
              <w:rPr>
                <w:rFonts w:eastAsia="宋体"/>
                <w:i/>
                <w:iCs/>
                <w:szCs w:val="24"/>
                <w:lang w:eastAsia="zh-CN"/>
              </w:rPr>
            </w:pPr>
            <w:r w:rsidRPr="00CF1252">
              <w:rPr>
                <w:rFonts w:eastAsia="宋体"/>
                <w:i/>
                <w:iCs/>
                <w:szCs w:val="24"/>
                <w:lang w:eastAsia="zh-CN"/>
              </w:rPr>
              <w:t xml:space="preserve">Note: This is one of the </w:t>
            </w:r>
            <w:proofErr w:type="gramStart"/>
            <w:r w:rsidRPr="00CF1252">
              <w:rPr>
                <w:rFonts w:eastAsia="宋体"/>
                <w:i/>
                <w:iCs/>
                <w:szCs w:val="24"/>
                <w:lang w:eastAsia="zh-CN"/>
              </w:rPr>
              <w:t>condition</w:t>
            </w:r>
            <w:proofErr w:type="gramEnd"/>
            <w:r w:rsidRPr="00CF1252">
              <w:rPr>
                <w:rFonts w:eastAsia="宋体"/>
                <w:i/>
                <w:iCs/>
                <w:szCs w:val="24"/>
                <w:lang w:eastAsia="zh-CN"/>
              </w:rPr>
              <w:t xml:space="preserve"> and other conditions are not precluded</w:t>
            </w:r>
          </w:p>
          <w:p w:rsidR="00A946E4" w:rsidRPr="00CF1252" w:rsidRDefault="00A946E4" w:rsidP="00A946E4">
            <w:pPr>
              <w:pStyle w:val="ListParagraph"/>
              <w:numPr>
                <w:ilvl w:val="1"/>
                <w:numId w:val="3"/>
              </w:numPr>
              <w:overflowPunct w:val="0"/>
              <w:autoSpaceDE w:val="0"/>
              <w:autoSpaceDN w:val="0"/>
              <w:adjustRightInd w:val="0"/>
              <w:spacing w:after="120"/>
              <w:ind w:firstLineChars="0"/>
              <w:textAlignment w:val="baseline"/>
              <w:rPr>
                <w:rFonts w:eastAsia="宋体"/>
                <w:i/>
                <w:iCs/>
                <w:szCs w:val="24"/>
                <w:lang w:eastAsia="zh-CN"/>
              </w:rPr>
            </w:pPr>
            <w:r w:rsidRPr="00CF1252">
              <w:rPr>
                <w:rFonts w:eastAsia="宋体"/>
                <w:i/>
                <w:iCs/>
                <w:szCs w:val="24"/>
                <w:lang w:eastAsia="zh-CN"/>
              </w:rPr>
              <w:t>Note: Only for single TCI to dual TCI and dual TCI to dual TCI.</w:t>
            </w:r>
          </w:p>
          <w:p w:rsidR="00A946E4" w:rsidRPr="00CF1252" w:rsidRDefault="00A946E4" w:rsidP="00A946E4">
            <w:pPr>
              <w:rPr>
                <w:iCs/>
                <w:lang w:eastAsia="zh-CN"/>
              </w:rPr>
            </w:pPr>
          </w:p>
          <w:p w:rsidR="00A946E4" w:rsidRPr="005A6180" w:rsidRDefault="00A946E4" w:rsidP="00A946E4">
            <w:pPr>
              <w:rPr>
                <w:b/>
                <w:lang w:eastAsia="ko-KR"/>
              </w:rPr>
            </w:pPr>
            <w:r w:rsidRPr="005A6180">
              <w:rPr>
                <w:b/>
                <w:lang w:eastAsia="ko-KR"/>
              </w:rPr>
              <w:t>Issue 2-1-5: Other issues or proposals for further discussion</w:t>
            </w:r>
          </w:p>
          <w:p w:rsidR="00A946E4" w:rsidRPr="00CF1252" w:rsidRDefault="00A946E4" w:rsidP="00A946E4">
            <w:pPr>
              <w:rPr>
                <w:rFonts w:eastAsiaTheme="minorEastAsia"/>
                <w:i/>
                <w:lang w:val="en-US" w:eastAsia="zh-CN"/>
              </w:rPr>
            </w:pPr>
            <w:r w:rsidRPr="00CF1252">
              <w:rPr>
                <w:rFonts w:eastAsiaTheme="minorEastAsia"/>
                <w:i/>
                <w:lang w:val="en-US" w:eastAsia="zh-CN"/>
              </w:rPr>
              <w:t>Agreements: RAN4 not to discuss TCI state switching requirements for following cases in this WI</w:t>
            </w:r>
          </w:p>
          <w:p w:rsidR="00A946E4" w:rsidRPr="00CF1252" w:rsidRDefault="00A946E4" w:rsidP="00A946E4">
            <w:pPr>
              <w:pStyle w:val="ListParagraph"/>
              <w:numPr>
                <w:ilvl w:val="0"/>
                <w:numId w:val="28"/>
              </w:numPr>
              <w:overflowPunct w:val="0"/>
              <w:autoSpaceDE w:val="0"/>
              <w:autoSpaceDN w:val="0"/>
              <w:adjustRightInd w:val="0"/>
              <w:ind w:firstLineChars="0"/>
              <w:textAlignment w:val="baseline"/>
              <w:rPr>
                <w:rFonts w:eastAsiaTheme="minorEastAsia"/>
                <w:i/>
                <w:lang w:val="en-US" w:eastAsia="zh-CN"/>
              </w:rPr>
            </w:pPr>
            <w:r w:rsidRPr="00CF1252">
              <w:rPr>
                <w:rFonts w:eastAsiaTheme="minorEastAsia"/>
                <w:i/>
                <w:lang w:val="en-US" w:eastAsia="zh-CN"/>
              </w:rPr>
              <w:t>Dual TCI switching in SFN</w:t>
            </w:r>
          </w:p>
          <w:p w:rsidR="00A946E4" w:rsidRPr="00CF1252" w:rsidRDefault="00A946E4" w:rsidP="00A946E4">
            <w:pPr>
              <w:pStyle w:val="ListParagraph"/>
              <w:numPr>
                <w:ilvl w:val="0"/>
                <w:numId w:val="28"/>
              </w:numPr>
              <w:overflowPunct w:val="0"/>
              <w:autoSpaceDE w:val="0"/>
              <w:autoSpaceDN w:val="0"/>
              <w:adjustRightInd w:val="0"/>
              <w:ind w:firstLineChars="0"/>
              <w:textAlignment w:val="baseline"/>
              <w:rPr>
                <w:rFonts w:eastAsiaTheme="minorEastAsia"/>
                <w:i/>
                <w:lang w:val="en-US" w:eastAsia="zh-CN"/>
              </w:rPr>
            </w:pPr>
            <w:r w:rsidRPr="00CF1252">
              <w:rPr>
                <w:rFonts w:eastAsiaTheme="minorEastAsia"/>
                <w:i/>
                <w:lang w:val="en-US" w:eastAsia="zh-CN"/>
              </w:rPr>
              <w:t>FFS: PDCCH with repetition.</w:t>
            </w:r>
          </w:p>
          <w:p w:rsidR="00D9196F" w:rsidRPr="00D9196F" w:rsidRDefault="00D9196F" w:rsidP="00793CB2"/>
        </w:tc>
      </w:tr>
    </w:tbl>
    <w:p w:rsidR="00D9196F" w:rsidRDefault="00D9196F" w:rsidP="00793CB2">
      <w:pPr>
        <w:rPr>
          <w:lang w:val="en-US"/>
        </w:rPr>
      </w:pPr>
    </w:p>
    <w:p w:rsidR="00A946E4" w:rsidRDefault="00A946E4" w:rsidP="00793CB2">
      <w:pPr>
        <w:rPr>
          <w:lang w:val="en-US"/>
        </w:rPr>
      </w:pPr>
      <w:r w:rsidRPr="00A946E4">
        <w:rPr>
          <w:lang w:val="en-US"/>
        </w:rPr>
        <w:t xml:space="preserve">For </w:t>
      </w:r>
      <w:r>
        <w:rPr>
          <w:lang w:val="en-US"/>
        </w:rPr>
        <w:t>PDCCH with repetition, it was discussed in last meeting whether to consider the case since it is the only case when PDCCH could be received simultaneously with different QCL Type-D. The corresponding RAN1 specification are shown as follows:</w:t>
      </w:r>
    </w:p>
    <w:tbl>
      <w:tblPr>
        <w:tblStyle w:val="TableGrid"/>
        <w:tblW w:w="0" w:type="auto"/>
        <w:tblLook w:val="04A0" w:firstRow="1" w:lastRow="0" w:firstColumn="1" w:lastColumn="0" w:noHBand="0" w:noVBand="1"/>
      </w:tblPr>
      <w:tblGrid>
        <w:gridCol w:w="9562"/>
      </w:tblGrid>
      <w:tr w:rsidR="00A946E4" w:rsidTr="00A946E4">
        <w:tc>
          <w:tcPr>
            <w:tcW w:w="9562" w:type="dxa"/>
          </w:tcPr>
          <w:p w:rsidR="00976156" w:rsidRDefault="00976156" w:rsidP="00976156">
            <w:pPr>
              <w:rPr>
                <w:rFonts w:eastAsiaTheme="minorEastAsia"/>
              </w:rPr>
            </w:pPr>
            <w:r>
              <w:rPr>
                <w:rFonts w:eastAsiaTheme="minorEastAsia"/>
              </w:rPr>
              <w:t xml:space="preserve">If a UE </w:t>
            </w:r>
          </w:p>
          <w:p w:rsidR="00976156" w:rsidRDefault="00976156" w:rsidP="00976156">
            <w:pPr>
              <w:pStyle w:val="B1"/>
              <w:rPr>
                <w:rFonts w:eastAsia="宋体"/>
                <w:lang w:val="en-US" w:eastAsia="ja-JP"/>
              </w:rPr>
            </w:pPr>
            <w:r>
              <w:t>-</w:t>
            </w:r>
            <w:r>
              <w:tab/>
              <w:t>is configured f</w:t>
            </w:r>
            <w:r>
              <w:rPr>
                <w:lang w:eastAsia="ja-JP"/>
              </w:rPr>
              <w:t>or single cell operation or for operation with carrier aggregation in a same frequency band</w:t>
            </w:r>
            <w:r>
              <w:rPr>
                <w:lang w:val="en-US" w:eastAsia="ja-JP"/>
              </w:rPr>
              <w:t>,</w:t>
            </w:r>
          </w:p>
          <w:p w:rsidR="00976156" w:rsidRDefault="00976156" w:rsidP="00976156">
            <w:pPr>
              <w:pStyle w:val="B1"/>
              <w:rPr>
                <w:lang w:val="en-US" w:eastAsia="ja-JP"/>
              </w:rPr>
            </w:pPr>
            <w:r>
              <w:lastRenderedPageBreak/>
              <w:t>-</w:t>
            </w:r>
            <w:r>
              <w:tab/>
              <w:t>monitors PDCCH</w:t>
            </w:r>
            <w:r>
              <w:rPr>
                <w:lang w:val="en-US"/>
              </w:rPr>
              <w:t xml:space="preserve"> candidates</w:t>
            </w:r>
            <w:r>
              <w:t xml:space="preserve"> </w:t>
            </w:r>
            <w:r>
              <w:rPr>
                <w:lang w:val="en-US"/>
              </w:rPr>
              <w:t xml:space="preserve">in </w:t>
            </w:r>
            <w:r w:rsidRPr="00976156">
              <w:rPr>
                <w:highlight w:val="yellow"/>
                <w:lang w:val="en-US"/>
              </w:rPr>
              <w:t>overlapping PDCCH monitoring</w:t>
            </w:r>
            <w:r>
              <w:rPr>
                <w:lang w:val="en-US"/>
              </w:rPr>
              <w:t xml:space="preserve"> occasions </w:t>
            </w:r>
            <w:r>
              <w:t>in multiple CORESETs</w:t>
            </w:r>
            <w:r>
              <w:rPr>
                <w:lang w:val="en-US"/>
              </w:rPr>
              <w:t xml:space="preserve"> that have </w:t>
            </w:r>
            <w:r>
              <w:t xml:space="preserve">been configured with </w:t>
            </w:r>
            <w:r>
              <w:rPr>
                <w:lang w:val="en-US" w:eastAsia="ko-KR"/>
              </w:rPr>
              <w:t xml:space="preserve">same or </w:t>
            </w:r>
            <w:r>
              <w:rPr>
                <w:lang w:val="en-US"/>
              </w:rPr>
              <w:t xml:space="preserve">different </w:t>
            </w:r>
            <w:r>
              <w:rPr>
                <w:i/>
                <w:iCs/>
              </w:rPr>
              <w:t>qcl-Type</w:t>
            </w:r>
            <w:r>
              <w:t xml:space="preserve"> set to </w:t>
            </w:r>
            <w:r>
              <w:rPr>
                <w:lang w:val="en-US" w:eastAsia="ja-JP"/>
              </w:rPr>
              <w:t>'t</w:t>
            </w:r>
            <w:r>
              <w:rPr>
                <w:lang w:eastAsia="ja-JP"/>
              </w:rPr>
              <w:t>ypeD</w:t>
            </w:r>
            <w:r>
              <w:rPr>
                <w:lang w:val="en-US" w:eastAsia="ja-JP"/>
              </w:rPr>
              <w:t>'</w:t>
            </w:r>
            <w:r>
              <w:rPr>
                <w:lang w:eastAsia="ja-JP"/>
              </w:rPr>
              <w:t xml:space="preserve"> properties</w:t>
            </w:r>
            <w:r>
              <w:rPr>
                <w:lang w:val="en-US" w:eastAsia="ja-JP"/>
              </w:rPr>
              <w:t xml:space="preserve"> on active DL BWP(s) of one or more cells, and</w:t>
            </w:r>
          </w:p>
          <w:p w:rsidR="00976156" w:rsidRDefault="00976156" w:rsidP="00976156">
            <w:pPr>
              <w:pStyle w:val="B1"/>
              <w:rPr>
                <w:lang w:val="en-US" w:eastAsia="ja-JP"/>
              </w:rPr>
            </w:pPr>
            <w:r>
              <w:t>-</w:t>
            </w:r>
            <w:r>
              <w:tab/>
            </w:r>
            <w:r>
              <w:rPr>
                <w:lang w:val="en-US"/>
              </w:rPr>
              <w:t xml:space="preserve">is provided </w:t>
            </w:r>
            <w:bookmarkStart w:id="1" w:name="_Hlk134524833"/>
            <w:r w:rsidRPr="00976156">
              <w:rPr>
                <w:i/>
                <w:iCs/>
                <w:highlight w:val="yellow"/>
                <w:lang w:val="en-US"/>
              </w:rPr>
              <w:t>twoQCLTypeDforPDCCHRepetition</w:t>
            </w:r>
            <w:bookmarkEnd w:id="1"/>
          </w:p>
          <w:p w:rsidR="00976156" w:rsidRDefault="00976156" w:rsidP="00976156">
            <w:pPr>
              <w:rPr>
                <w:rFonts w:eastAsiaTheme="minorEastAsia"/>
                <w:lang w:val="en-US"/>
              </w:rPr>
            </w:pPr>
            <w:r>
              <w:rPr>
                <w:lang w:eastAsia="ja-JP"/>
              </w:rPr>
              <w:t xml:space="preserve">the UE </w:t>
            </w:r>
            <w:r>
              <w:rPr>
                <w:rFonts w:eastAsiaTheme="minorEastAsia"/>
              </w:rPr>
              <w:t xml:space="preserve">monitors PDCCHs only in a first CORESET with </w:t>
            </w:r>
            <w:r>
              <w:rPr>
                <w:i/>
                <w:iCs/>
              </w:rPr>
              <w:t>qcl-Type</w:t>
            </w:r>
            <w:r>
              <w:t xml:space="preserve"> set to</w:t>
            </w:r>
            <w:r>
              <w:rPr>
                <w:rFonts w:eastAsiaTheme="minorEastAsia"/>
                <w:lang w:val="en-US"/>
              </w:rPr>
              <w:t xml:space="preserve"> first 'typeD' properties and, if any, in a second </w:t>
            </w:r>
            <w:r>
              <w:rPr>
                <w:rFonts w:eastAsiaTheme="minorEastAsia"/>
              </w:rPr>
              <w:t>CORESET</w:t>
            </w:r>
            <w:r>
              <w:rPr>
                <w:rFonts w:eastAsiaTheme="minorEastAsia"/>
                <w:lang w:val="en-US"/>
              </w:rPr>
              <w:t xml:space="preserve"> </w:t>
            </w:r>
            <w:r>
              <w:rPr>
                <w:rFonts w:eastAsiaTheme="minorEastAsia"/>
              </w:rPr>
              <w:t xml:space="preserve">with </w:t>
            </w:r>
            <w:r>
              <w:rPr>
                <w:i/>
                <w:iCs/>
              </w:rPr>
              <w:t>qcl-Type</w:t>
            </w:r>
            <w:r>
              <w:t xml:space="preserve"> set to</w:t>
            </w:r>
            <w:r>
              <w:rPr>
                <w:rFonts w:eastAsiaTheme="minorEastAsia"/>
                <w:lang w:val="en-US"/>
              </w:rPr>
              <w:t xml:space="preserve"> second 'typeD' properties</w:t>
            </w:r>
            <w:r>
              <w:rPr>
                <w:rFonts w:eastAsiaTheme="minorEastAsia"/>
              </w:rPr>
              <w:t xml:space="preserve"> that are different than the </w:t>
            </w:r>
            <w:r>
              <w:rPr>
                <w:rFonts w:eastAsiaTheme="minorEastAsia"/>
                <w:lang w:val="en-US"/>
              </w:rPr>
              <w:t xml:space="preserve">first 'typeD' properties, and in any other CORESET from the multiple CORESETs with corresponding </w:t>
            </w:r>
            <w:r>
              <w:rPr>
                <w:i/>
                <w:iCs/>
              </w:rPr>
              <w:t>qcl-Type</w:t>
            </w:r>
            <w:r>
              <w:t xml:space="preserve"> set to</w:t>
            </w:r>
            <w:r>
              <w:rPr>
                <w:rFonts w:eastAsiaTheme="minorEastAsia"/>
                <w:lang w:val="en-US"/>
              </w:rPr>
              <w:t xml:space="preserve"> either the first 'typeD' properties or to the second 'typeD' properties </w:t>
            </w:r>
          </w:p>
          <w:p w:rsidR="00976156" w:rsidRDefault="00976156" w:rsidP="00976156">
            <w:pPr>
              <w:pStyle w:val="B1"/>
            </w:pPr>
            <w:r>
              <w:t>-</w:t>
            </w:r>
            <w:r>
              <w:tab/>
            </w:r>
            <w:r>
              <w:rPr>
                <w:lang w:val="en-US"/>
              </w:rPr>
              <w:t xml:space="preserve">the </w:t>
            </w:r>
            <w:r w:rsidRPr="00976156">
              <w:rPr>
                <w:highlight w:val="yellow"/>
                <w:lang w:val="en-US"/>
              </w:rPr>
              <w:t>first CORESET</w:t>
            </w:r>
            <w:r>
              <w:rPr>
                <w:lang w:val="en-US"/>
              </w:rPr>
              <w:t xml:space="preserve"> </w:t>
            </w:r>
            <w:r>
              <w:t>corresponds</w:t>
            </w:r>
            <w:r>
              <w:rPr>
                <w:lang w:eastAsia="ja-JP"/>
              </w:rPr>
              <w:t xml:space="preserve"> to the CSS set with the lowest index</w:t>
            </w:r>
            <w:r>
              <w:rPr>
                <w:lang w:val="en-US" w:eastAsia="ja-JP"/>
              </w:rPr>
              <w:t xml:space="preserve"> in the cell with the lowest index containing CSS sets</w:t>
            </w:r>
            <w:r>
              <w:rPr>
                <w:lang w:eastAsia="ja-JP"/>
              </w:rPr>
              <w:t>, if any; otherwise, to the USS set with the lowest index in the cell with lowest index</w:t>
            </w:r>
          </w:p>
          <w:p w:rsidR="00976156" w:rsidRDefault="00976156" w:rsidP="00976156">
            <w:pPr>
              <w:pStyle w:val="B1"/>
              <w:rPr>
                <w:rFonts w:eastAsia="宋体"/>
                <w:iCs/>
                <w:lang w:val="en-US"/>
              </w:rPr>
            </w:pPr>
            <w:r>
              <w:t>-</w:t>
            </w:r>
            <w:r>
              <w:tab/>
            </w:r>
            <w:r>
              <w:rPr>
                <w:lang w:val="en-US" w:eastAsia="ja-JP"/>
              </w:rPr>
              <w:t xml:space="preserve">excluding CSS sets and USS sets associated with CORESETs </w:t>
            </w:r>
            <w:r>
              <w:t xml:space="preserve">with </w:t>
            </w:r>
            <w:r>
              <w:rPr>
                <w:i/>
                <w:iCs/>
              </w:rPr>
              <w:t>qcl-Type</w:t>
            </w:r>
            <w:r>
              <w:t xml:space="preserve"> set to</w:t>
            </w:r>
            <w:r>
              <w:rPr>
                <w:lang w:val="en-US"/>
              </w:rPr>
              <w:t xml:space="preserve"> first 'typeD' properties, the </w:t>
            </w:r>
            <w:r w:rsidRPr="00976156">
              <w:rPr>
                <w:highlight w:val="yellow"/>
                <w:lang w:val="en-US"/>
              </w:rPr>
              <w:t>second CORESET</w:t>
            </w:r>
            <w:r>
              <w:rPr>
                <w:lang w:val="en-US"/>
              </w:rPr>
              <w:t xml:space="preserve"> </w:t>
            </w:r>
            <w:r>
              <w:t>corresponds</w:t>
            </w:r>
            <w:r>
              <w:rPr>
                <w:lang w:eastAsia="ja-JP"/>
              </w:rPr>
              <w:t xml:space="preserve"> to</w:t>
            </w:r>
            <w:r>
              <w:rPr>
                <w:lang w:val="en-US" w:eastAsia="ja-JP"/>
              </w:rPr>
              <w:t xml:space="preserve"> the</w:t>
            </w:r>
            <w:r>
              <w:rPr>
                <w:lang w:eastAsia="ja-JP"/>
              </w:rPr>
              <w:t xml:space="preserve"> CSS set </w:t>
            </w:r>
            <w:r>
              <w:rPr>
                <w:lang w:val="en-US" w:eastAsia="ja-JP"/>
              </w:rPr>
              <w:t xml:space="preserve">with the lowest index in the cell with the lowest index containing CSS sets, </w:t>
            </w:r>
            <w:r>
              <w:rPr>
                <w:lang w:eastAsia="ja-JP"/>
              </w:rPr>
              <w:t>if any; otherwise, to</w:t>
            </w:r>
            <w:r>
              <w:rPr>
                <w:lang w:val="en-US" w:eastAsia="ja-JP"/>
              </w:rPr>
              <w:t xml:space="preserve"> the</w:t>
            </w:r>
            <w:r>
              <w:rPr>
                <w:lang w:eastAsia="ja-JP"/>
              </w:rPr>
              <w:t xml:space="preserve"> USS set with the lowest index</w:t>
            </w:r>
            <w:r>
              <w:rPr>
                <w:lang w:val="en-US" w:eastAsia="ja-JP"/>
              </w:rPr>
              <w:t xml:space="preserve"> </w:t>
            </w:r>
            <w:r>
              <w:rPr>
                <w:lang w:eastAsia="ja-JP"/>
              </w:rPr>
              <w:t>in the cell with lowest index</w:t>
            </w:r>
            <w:r>
              <w:rPr>
                <w:lang w:val="en-US" w:eastAsia="ja-JP"/>
              </w:rPr>
              <w:t xml:space="preserve">, where the CSS set or the USS set includes </w:t>
            </w:r>
            <w:r>
              <w:rPr>
                <w:i/>
                <w:lang w:val="en-US"/>
              </w:rPr>
              <w:t>searchSpaceLinkingId</w:t>
            </w:r>
            <w:r>
              <w:rPr>
                <w:iCs/>
              </w:rPr>
              <w:t xml:space="preserve"> with </w:t>
            </w:r>
            <w:r>
              <w:rPr>
                <w:iCs/>
                <w:lang w:val="en-US"/>
              </w:rPr>
              <w:t xml:space="preserve">same </w:t>
            </w:r>
            <w:r>
              <w:rPr>
                <w:iCs/>
              </w:rPr>
              <w:t>value</w:t>
            </w:r>
            <w:r>
              <w:rPr>
                <w:iCs/>
                <w:lang w:val="en-US"/>
              </w:rPr>
              <w:t xml:space="preserve"> as any CSS set or any USS set associated </w:t>
            </w:r>
            <w:r>
              <w:rPr>
                <w:lang w:val="en-US" w:eastAsia="ja-JP"/>
              </w:rPr>
              <w:t xml:space="preserve">with CORESETs </w:t>
            </w:r>
            <w:r>
              <w:t xml:space="preserve">with </w:t>
            </w:r>
            <w:r>
              <w:rPr>
                <w:i/>
                <w:iCs/>
              </w:rPr>
              <w:t>qcl-Type</w:t>
            </w:r>
            <w:r>
              <w:t xml:space="preserve"> set to</w:t>
            </w:r>
            <w:r>
              <w:rPr>
                <w:lang w:val="en-US"/>
              </w:rPr>
              <w:t xml:space="preserve"> first 'typeD' properties</w:t>
            </w:r>
          </w:p>
          <w:p w:rsidR="00976156" w:rsidRDefault="00976156" w:rsidP="00976156">
            <w:pPr>
              <w:pStyle w:val="B1"/>
              <w:rPr>
                <w:lang w:val="en-US" w:eastAsia="ja-JP"/>
              </w:rPr>
            </w:pPr>
            <w:r>
              <w:t>-</w:t>
            </w:r>
            <w:r>
              <w:tab/>
            </w:r>
            <w:r>
              <w:rPr>
                <w:lang w:val="en-US"/>
              </w:rPr>
              <w:t>the lowest USS set index is determined over all USS sets with at least one PDCCH candidate</w:t>
            </w:r>
            <w:r>
              <w:rPr>
                <w:lang w:val="en-US" w:eastAsia="ja-JP"/>
              </w:rPr>
              <w:t xml:space="preserve"> in overlapping PDCCH monitoring occasions</w:t>
            </w:r>
          </w:p>
          <w:p w:rsidR="00A946E4" w:rsidRDefault="00A946E4" w:rsidP="00793CB2">
            <w:pPr>
              <w:rPr>
                <w:lang w:val="en-US"/>
              </w:rPr>
            </w:pPr>
          </w:p>
        </w:tc>
      </w:tr>
    </w:tbl>
    <w:p w:rsidR="00A946E4" w:rsidRDefault="00A946E4" w:rsidP="00793CB2">
      <w:pPr>
        <w:rPr>
          <w:lang w:val="en-US"/>
        </w:rPr>
      </w:pPr>
    </w:p>
    <w:p w:rsidR="00976156" w:rsidRPr="00311008" w:rsidRDefault="00976156" w:rsidP="00793CB2">
      <w:pPr>
        <w:rPr>
          <w:b/>
          <w:lang w:val="en-US"/>
        </w:rPr>
      </w:pPr>
      <w:r w:rsidRPr="00311008">
        <w:rPr>
          <w:b/>
          <w:lang w:val="en-US"/>
        </w:rPr>
        <w:t>Observation 1: UE supporting twoQCLTypeDforPDCCHRepetition, UE determine the first and second CORESET which with different QCL-typeD in overlapping PDCCH monitoring occasions based RAN1 spec.</w:t>
      </w:r>
    </w:p>
    <w:p w:rsidR="00976156" w:rsidRDefault="00976156" w:rsidP="00793CB2">
      <w:pPr>
        <w:rPr>
          <w:lang w:val="en-US"/>
        </w:rPr>
      </w:pPr>
      <w:r>
        <w:rPr>
          <w:lang w:val="en-US"/>
        </w:rPr>
        <w:t xml:space="preserve">Thus, the TCI state of the “first” and the “second” CORESET are controlled by separated MAC CE. From RRM requirements perspective, RAN4 shall define requirements for simultaneous PDCCH reception when UE is provided with </w:t>
      </w:r>
      <w:r w:rsidRPr="00976156">
        <w:rPr>
          <w:lang w:val="en-US"/>
        </w:rPr>
        <w:t>twoQCLTypeDforPDCCHRepetition</w:t>
      </w:r>
      <w:r>
        <w:rPr>
          <w:lang w:val="en-US"/>
        </w:rPr>
        <w:t>, where the TCI state of each PDCCH is controlled by separate MAC CE.</w:t>
      </w:r>
    </w:p>
    <w:p w:rsidR="00976156" w:rsidRPr="00976156" w:rsidRDefault="00976156" w:rsidP="00793CB2">
      <w:pPr>
        <w:rPr>
          <w:b/>
          <w:lang w:val="en-US"/>
        </w:rPr>
      </w:pPr>
      <w:r w:rsidRPr="00976156">
        <w:rPr>
          <w:b/>
          <w:lang w:val="en-US"/>
        </w:rPr>
        <w:t>Proposal 1: RAN4 to define requirements for TCI state switching for simultaneous PDCCH reception when UE is provided with twoQCLTypeDforPDCCHRepetition, where the TCI state of each PDCCH is controlled by separate MAC CE.</w:t>
      </w:r>
    </w:p>
    <w:p w:rsidR="00110D4A" w:rsidRDefault="00110D4A" w:rsidP="00110D4A">
      <w:pPr>
        <w:overflowPunct w:val="0"/>
        <w:autoSpaceDE w:val="0"/>
        <w:autoSpaceDN w:val="0"/>
        <w:adjustRightInd w:val="0"/>
        <w:spacing w:after="120" w:line="252" w:lineRule="auto"/>
        <w:rPr>
          <w:lang w:eastAsia="ja-JP"/>
        </w:rPr>
      </w:pPr>
      <w:r>
        <w:rPr>
          <w:lang w:eastAsia="ja-JP"/>
        </w:rPr>
        <w:t xml:space="preserve">One of the remaining issues is whether to consider RRC triggered TCI state configuration. In legacy requirements, RRC based TCI switching is considered for particular scenario (e.g. theatre) when only one TCI state is configured. Apparently, UE will deem the TCI as the active TCI state. However, for dual TCI states, even </w:t>
      </w:r>
      <w:r w:rsidR="00B419DE">
        <w:rPr>
          <w:lang w:eastAsia="ja-JP"/>
        </w:rPr>
        <w:t>only one TCI states pair is configured, UE has no idea on the mapping between the two TCI states and two TRPs. Thus, it seems the RRC-based approach can not work for dual TCI state switching.</w:t>
      </w:r>
    </w:p>
    <w:p w:rsidR="00B419DE" w:rsidRPr="00B419DE" w:rsidRDefault="00B419DE" w:rsidP="00110D4A">
      <w:pPr>
        <w:overflowPunct w:val="0"/>
        <w:autoSpaceDE w:val="0"/>
        <w:autoSpaceDN w:val="0"/>
        <w:adjustRightInd w:val="0"/>
        <w:spacing w:after="120" w:line="252" w:lineRule="auto"/>
        <w:rPr>
          <w:b/>
          <w:lang w:eastAsia="ja-JP"/>
        </w:rPr>
      </w:pPr>
      <w:r w:rsidRPr="00B419DE">
        <w:rPr>
          <w:b/>
          <w:lang w:eastAsia="ja-JP"/>
        </w:rPr>
        <w:t>Proposal 2: Do not consider RRC triggered dual TCI state switching.</w:t>
      </w:r>
    </w:p>
    <w:p w:rsidR="00061B7D" w:rsidRDefault="00061B7D" w:rsidP="00793CB2">
      <w:r>
        <w:t xml:space="preserve">Thus, in following part of the contribution, we provide our analysis in </w:t>
      </w:r>
      <w:r w:rsidR="00110D4A">
        <w:t>case</w:t>
      </w:r>
      <w:r>
        <w:t xml:space="preserve"> by case manner for the agreed scenarios:</w:t>
      </w:r>
    </w:p>
    <w:p w:rsidR="00A946E4" w:rsidRDefault="00A946E4" w:rsidP="00793CB2"/>
    <w:p w:rsidR="008066EC" w:rsidRDefault="00061B7D" w:rsidP="00976156">
      <w:pPr>
        <w:pStyle w:val="Heading2"/>
      </w:pPr>
      <w:bookmarkStart w:id="2" w:name="_Hlk129698183"/>
      <w:r w:rsidRPr="00E875BB">
        <w:t>2.</w:t>
      </w:r>
      <w:r>
        <w:t>2</w:t>
      </w:r>
      <w:r w:rsidRPr="00E875BB">
        <w:t xml:space="preserve"> </w:t>
      </w:r>
      <w:bookmarkEnd w:id="2"/>
      <w:r w:rsidR="00976156">
        <w:t>DCI based TCI switching</w:t>
      </w:r>
    </w:p>
    <w:p w:rsidR="00103DF5" w:rsidRDefault="008066EC" w:rsidP="006B6CFE">
      <w:pPr>
        <w:jc w:val="both"/>
      </w:pPr>
      <w:r>
        <w:t>For sDCI PDSCH, the resource of PDSCH from different TRPs are overlapped in time /frequency domain. There is no big difference between DCI triggered PDSCH TCI state switching. The only difference is that the target TCI states having different QCL type-D. According to the agreed three cases, we would like to further discuss the TCI switching from dual TCI to single TCI.</w:t>
      </w:r>
    </w:p>
    <w:p w:rsidR="006B6CFE" w:rsidRDefault="008066EC" w:rsidP="00103DF5">
      <w:r>
        <w:t>Based on current requirements, the DCI triggered PDSCH TCI state switching</w:t>
      </w:r>
      <w:r w:rsidR="006B6CFE">
        <w:t xml:space="preserve"> delay is defined as follows. For single to dual, dual to dual, we think the legacy requirements can apply. However, for dual to single, if the target TCI is one of the source TCI (e.g. (SSB0, SSB10) to (SSB0)), whether the time for beam application is needed shall be further investigated. It is more like the switch from mTRP mode to sTRP mode. </w:t>
      </w:r>
    </w:p>
    <w:tbl>
      <w:tblPr>
        <w:tblStyle w:val="TableGrid"/>
        <w:tblW w:w="0" w:type="auto"/>
        <w:tblLook w:val="04A0" w:firstRow="1" w:lastRow="0" w:firstColumn="1" w:lastColumn="0" w:noHBand="0" w:noVBand="1"/>
      </w:tblPr>
      <w:tblGrid>
        <w:gridCol w:w="9562"/>
      </w:tblGrid>
      <w:tr w:rsidR="006B6CFE" w:rsidTr="006B6CFE">
        <w:tc>
          <w:tcPr>
            <w:tcW w:w="9562" w:type="dxa"/>
          </w:tcPr>
          <w:p w:rsidR="006B6CFE" w:rsidRPr="006B6CFE" w:rsidRDefault="006B6CFE" w:rsidP="00103DF5">
            <w:pPr>
              <w:rPr>
                <w:rFonts w:eastAsia="Malgun Gothic"/>
                <w:lang w:eastAsia="zh-CN"/>
              </w:rPr>
            </w:pPr>
            <w:r w:rsidRPr="009C5807">
              <w:rPr>
                <w:rFonts w:eastAsia="Malgun Gothic"/>
                <w:lang w:val="en-US" w:eastAsia="zh-CN"/>
              </w:rPr>
              <w:t xml:space="preserve">If the target TCI state is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t>
            </w:r>
            <w:r w:rsidRPr="009C5807">
              <w:rPr>
                <w:rFonts w:eastAsia="Malgun Gothic"/>
                <w:lang w:val="en-US" w:eastAsia="zh-CN"/>
              </w:rPr>
              <w:lastRenderedPageBreak/>
              <w:t xml:space="preserve">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tc>
      </w:tr>
    </w:tbl>
    <w:p w:rsidR="008066EC" w:rsidRDefault="008066EC" w:rsidP="00103DF5">
      <w:r>
        <w:lastRenderedPageBreak/>
        <w:t xml:space="preserve"> </w:t>
      </w:r>
    </w:p>
    <w:p w:rsidR="002F367C" w:rsidRPr="008E0E4D" w:rsidRDefault="002F367C" w:rsidP="00103DF5">
      <w:pPr>
        <w:rPr>
          <w:b/>
        </w:rPr>
      </w:pPr>
      <w:r w:rsidRPr="008E0E4D">
        <w:rPr>
          <w:b/>
        </w:rPr>
        <w:t xml:space="preserve">Proposal </w:t>
      </w:r>
      <w:r w:rsidR="00C105AD">
        <w:rPr>
          <w:b/>
        </w:rPr>
        <w:t>3</w:t>
      </w:r>
      <w:r w:rsidRPr="008E0E4D">
        <w:rPr>
          <w:b/>
        </w:rPr>
        <w:t xml:space="preserve">: For sDCI PDSCH TCI state switching, legacy requirements can apply to </w:t>
      </w:r>
      <w:r w:rsidR="007204B2" w:rsidRPr="008E0E4D">
        <w:rPr>
          <w:b/>
        </w:rPr>
        <w:t>following cases:</w:t>
      </w:r>
    </w:p>
    <w:p w:rsidR="00414C52" w:rsidRPr="008E0E4D" w:rsidRDefault="00414C52" w:rsidP="00414C52">
      <w:pPr>
        <w:pStyle w:val="ListParagraph"/>
        <w:numPr>
          <w:ilvl w:val="2"/>
          <w:numId w:val="26"/>
        </w:numPr>
        <w:overflowPunct w:val="0"/>
        <w:autoSpaceDE w:val="0"/>
        <w:autoSpaceDN w:val="0"/>
        <w:adjustRightInd w:val="0"/>
        <w:spacing w:after="120" w:line="252" w:lineRule="auto"/>
        <w:ind w:firstLineChars="0"/>
        <w:rPr>
          <w:b/>
          <w:lang w:eastAsia="ja-JP"/>
        </w:rPr>
      </w:pPr>
      <w:r w:rsidRPr="008E0E4D">
        <w:rPr>
          <w:b/>
          <w:lang w:eastAsia="ja-JP"/>
        </w:rPr>
        <w:t>single TCI to dual TCI</w:t>
      </w:r>
    </w:p>
    <w:p w:rsidR="00414C52" w:rsidRPr="008E0E4D" w:rsidRDefault="00414C52" w:rsidP="00414C52">
      <w:pPr>
        <w:pStyle w:val="ListParagraph"/>
        <w:numPr>
          <w:ilvl w:val="2"/>
          <w:numId w:val="26"/>
        </w:numPr>
        <w:overflowPunct w:val="0"/>
        <w:autoSpaceDE w:val="0"/>
        <w:autoSpaceDN w:val="0"/>
        <w:adjustRightInd w:val="0"/>
        <w:spacing w:after="120" w:line="252" w:lineRule="auto"/>
        <w:ind w:firstLineChars="0"/>
        <w:rPr>
          <w:b/>
          <w:lang w:eastAsia="ja-JP"/>
        </w:rPr>
      </w:pPr>
      <w:r w:rsidRPr="008E0E4D">
        <w:rPr>
          <w:b/>
          <w:lang w:eastAsia="ja-JP"/>
        </w:rPr>
        <w:t>dual TCI to dual TCI</w:t>
      </w:r>
    </w:p>
    <w:p w:rsidR="00414C52" w:rsidRPr="00311008" w:rsidRDefault="00976156" w:rsidP="00103DF5">
      <w:r w:rsidRPr="00311008">
        <w:t xml:space="preserve">For dual TCI to single TCI, which is targeting </w:t>
      </w:r>
      <w:r w:rsidR="00C105AD" w:rsidRPr="00311008">
        <w:t>following scenarios:</w:t>
      </w:r>
    </w:p>
    <w:p w:rsidR="00C105AD" w:rsidRDefault="00C105AD" w:rsidP="00C105AD">
      <w:pPr>
        <w:pStyle w:val="ListParagraph"/>
        <w:numPr>
          <w:ilvl w:val="0"/>
          <w:numId w:val="29"/>
        </w:numPr>
        <w:ind w:firstLineChars="0"/>
      </w:pPr>
      <w:r>
        <w:t>Case 1: UE is still in mTRP scenario while the data demand declines and NW switch the dual TCI to single TCI</w:t>
      </w:r>
    </w:p>
    <w:p w:rsidR="00C105AD" w:rsidRDefault="00C105AD" w:rsidP="00C105AD">
      <w:pPr>
        <w:pStyle w:val="ListParagraph"/>
        <w:numPr>
          <w:ilvl w:val="0"/>
          <w:numId w:val="29"/>
        </w:numPr>
        <w:ind w:firstLineChars="0"/>
      </w:pPr>
      <w:r>
        <w:t>Case 2: UE is out of mTRP scenario and enter sTRP scenario</w:t>
      </w:r>
    </w:p>
    <w:p w:rsidR="007204B2" w:rsidRDefault="00C105AD" w:rsidP="00103DF5">
      <w:r>
        <w:t>For above two cases, the TCI switching shall be considered differently. For case 1, UE shall be prepared for simultaneous reception since it is still in mTRP mode</w:t>
      </w:r>
      <w:r w:rsidR="00311008">
        <w:t xml:space="preserve">. In this case, there is no addition efforts from UE side and the time to apply the TCI state may not needed. </w:t>
      </w:r>
      <w:r>
        <w:t xml:space="preserve">For the second case, UE may use the beam for sTRP where the beam for the target TCI state for sTRP </w:t>
      </w:r>
      <w:r w:rsidR="00311008">
        <w:t>may be different from the one in the dual TCI</w:t>
      </w:r>
      <w:r>
        <w:t xml:space="preserve"> and time </w:t>
      </w:r>
      <w:r w:rsidR="00311008">
        <w:t>to</w:t>
      </w:r>
      <w:r>
        <w:t xml:space="preserve"> apply the TCI state shall be considered.</w:t>
      </w:r>
    </w:p>
    <w:p w:rsidR="00311008" w:rsidRPr="00311008" w:rsidRDefault="00311008" w:rsidP="00103DF5">
      <w:pPr>
        <w:rPr>
          <w:b/>
        </w:rPr>
      </w:pPr>
      <w:r w:rsidRPr="00311008">
        <w:rPr>
          <w:b/>
        </w:rPr>
        <w:t>Observation 2: For dual TCI to single TCI when the target TCI is one of the source TCI (e.g. [RS</w:t>
      </w:r>
      <w:proofErr w:type="gramStart"/>
      <w:r w:rsidRPr="00311008">
        <w:rPr>
          <w:b/>
        </w:rPr>
        <w:t>1,RS</w:t>
      </w:r>
      <w:proofErr w:type="gramEnd"/>
      <w:r w:rsidRPr="00311008">
        <w:rPr>
          <w:b/>
        </w:rPr>
        <w:t>2] to [RS1]), whether UE needs time to apply the TCI states depends on whether UE is still in mTRP mode.</w:t>
      </w:r>
    </w:p>
    <w:p w:rsidR="00311008" w:rsidRDefault="00311008" w:rsidP="00103DF5">
      <w:r>
        <w:t xml:space="preserve">However, there is no clear indication nor conditions on when UE is in mTRP mode or sTRP mode. From UE sides, UE cannot tell the two cases when UE receives DCI triggering TCI state switching. Since it was agreed to use GBBR as the </w:t>
      </w:r>
      <w:r w:rsidRPr="00311008">
        <w:t>prerequisite</w:t>
      </w:r>
      <w:r>
        <w:t xml:space="preserve"> for simultaneous reception, it is reasonable to reply on whether UE is configured with GBBR. For instance, if UE is configured with GBBR, we can assume that UE is in mTRP scenarios for simultaneous reception. However, if UE is configured with non-GBBR, it is possible the UE will be switched to sTRP mode and UE shall be able/allowed to use the beam for sTRP.</w:t>
      </w:r>
    </w:p>
    <w:p w:rsidR="00311008" w:rsidRDefault="00F863C0" w:rsidP="00103DF5">
      <w:pPr>
        <w:rPr>
          <w:b/>
        </w:rPr>
      </w:pPr>
      <w:r>
        <w:rPr>
          <w:b/>
        </w:rPr>
        <w:t xml:space="preserve">Proposal </w:t>
      </w:r>
      <w:r w:rsidR="00476163">
        <w:rPr>
          <w:b/>
        </w:rPr>
        <w:t>4</w:t>
      </w:r>
      <w:r>
        <w:rPr>
          <w:b/>
        </w:rPr>
        <w:t xml:space="preserve">: </w:t>
      </w:r>
      <w:r w:rsidR="00311008" w:rsidRPr="00311008">
        <w:rPr>
          <w:b/>
        </w:rPr>
        <w:t>For dual TCI to single TCI when the target TCI is one of the source TCI (e.g. [RS</w:t>
      </w:r>
      <w:proofErr w:type="gramStart"/>
      <w:r w:rsidR="00311008" w:rsidRPr="00311008">
        <w:rPr>
          <w:b/>
        </w:rPr>
        <w:t>1,RS</w:t>
      </w:r>
      <w:proofErr w:type="gramEnd"/>
      <w:r w:rsidR="00311008" w:rsidRPr="00311008">
        <w:rPr>
          <w:b/>
        </w:rPr>
        <w:t xml:space="preserve">2] to [RS1]), </w:t>
      </w:r>
      <w:r w:rsidR="00C41E6E">
        <w:rPr>
          <w:b/>
        </w:rPr>
        <w:t xml:space="preserve">there is no TCI switching </w:t>
      </w:r>
      <w:r w:rsidR="00BE5410">
        <w:rPr>
          <w:b/>
        </w:rPr>
        <w:t xml:space="preserve">delay when UE is configured with GBBR and is NOT configured with non-GBBR. </w:t>
      </w:r>
    </w:p>
    <w:p w:rsidR="00BE5410" w:rsidRDefault="00BE5410" w:rsidP="00103DF5">
      <w:r>
        <w:t>For DCI based TCI switching for mDCI, when the PDSCH scheduled by different TRP are not overlapped, legacy DCI-based TCI state switching requirements can apply.</w:t>
      </w:r>
    </w:p>
    <w:p w:rsidR="00BE5410" w:rsidRPr="00BE5410" w:rsidRDefault="00BE5410" w:rsidP="00BE5410">
      <w:pPr>
        <w:rPr>
          <w:b/>
        </w:rPr>
      </w:pPr>
      <w:r w:rsidRPr="00BE5410">
        <w:rPr>
          <w:b/>
        </w:rPr>
        <w:t>Observation 3: For DCI based TCI switching for mDCI, when the PDSCH scheduled by different TRP are not overlapped, legacy DCI-based TCI state switching requirements can apply.</w:t>
      </w:r>
    </w:p>
    <w:p w:rsidR="00BE5410" w:rsidRDefault="00BE5410" w:rsidP="00103DF5">
      <w:pPr>
        <w:rPr>
          <w:lang w:val="en-US"/>
        </w:rPr>
      </w:pPr>
      <w:r>
        <w:t xml:space="preserve">The interested scenarios </w:t>
      </w:r>
      <w:proofErr w:type="gramStart"/>
      <w:r>
        <w:t>is</w:t>
      </w:r>
      <w:proofErr w:type="gramEnd"/>
      <w:r>
        <w:t xml:space="preserve"> for simultaneous reception when </w:t>
      </w:r>
      <w:r w:rsidRPr="00DD5E5C">
        <w:rPr>
          <w:lang w:val="en-US"/>
        </w:rPr>
        <w:t>the PDSCH can be fully/partially overlapped in time domain</w:t>
      </w:r>
      <w:r>
        <w:rPr>
          <w:lang w:val="en-US"/>
        </w:rPr>
        <w:t xml:space="preserve"> as indicated by following UE capability.</w:t>
      </w:r>
    </w:p>
    <w:tbl>
      <w:tblPr>
        <w:tblStyle w:val="TableGrid"/>
        <w:tblW w:w="0" w:type="auto"/>
        <w:tblInd w:w="750" w:type="dxa"/>
        <w:tblLook w:val="04A0" w:firstRow="1" w:lastRow="0" w:firstColumn="1" w:lastColumn="0" w:noHBand="0" w:noVBand="1"/>
      </w:tblPr>
      <w:tblGrid>
        <w:gridCol w:w="8122"/>
      </w:tblGrid>
      <w:tr w:rsidR="00BE5410" w:rsidTr="006D346D">
        <w:tc>
          <w:tcPr>
            <w:tcW w:w="8122" w:type="dxa"/>
          </w:tcPr>
          <w:p w:rsidR="00BE5410" w:rsidRPr="00974A3B" w:rsidRDefault="00BE5410" w:rsidP="006D346D">
            <w:pPr>
              <w:keepNext/>
              <w:keepLines/>
              <w:overflowPunct w:val="0"/>
              <w:autoSpaceDE w:val="0"/>
              <w:autoSpaceDN w:val="0"/>
              <w:adjustRightInd w:val="0"/>
              <w:spacing w:after="0"/>
              <w:rPr>
                <w:rFonts w:ascii="Arial" w:eastAsia="Times New Roman" w:hAnsi="Arial" w:cs="Arial"/>
                <w:sz w:val="18"/>
                <w:szCs w:val="22"/>
                <w:lang w:val="en-US" w:eastAsia="zh-CN"/>
              </w:rPr>
            </w:pPr>
            <w:r w:rsidRPr="00974A3B">
              <w:rPr>
                <w:rFonts w:ascii="Arial" w:eastAsia="Times New Roman" w:hAnsi="Arial" w:cs="Arial"/>
                <w:b/>
                <w:bCs/>
                <w:i/>
                <w:iCs/>
                <w:sz w:val="18"/>
                <w:szCs w:val="22"/>
                <w:lang w:val="en-US" w:eastAsia="zh-CN"/>
              </w:rPr>
              <w:t>multiDCI-MultiTRP-r16</w:t>
            </w:r>
          </w:p>
          <w:p w:rsidR="00BE5410" w:rsidRPr="00DD5E5C" w:rsidRDefault="00BE5410" w:rsidP="006D346D">
            <w:pPr>
              <w:keepNext/>
              <w:keepLines/>
              <w:overflowPunct w:val="0"/>
              <w:autoSpaceDE w:val="0"/>
              <w:autoSpaceDN w:val="0"/>
              <w:adjustRightInd w:val="0"/>
              <w:spacing w:after="0"/>
              <w:rPr>
                <w:rFonts w:ascii="Arial" w:eastAsia="Times New Roman" w:hAnsi="Arial" w:cs="Arial"/>
                <w:sz w:val="18"/>
                <w:szCs w:val="22"/>
                <w:lang w:val="en-US" w:eastAsia="zh-CN"/>
              </w:rPr>
            </w:pPr>
            <w:r w:rsidRPr="00974A3B">
              <w:rPr>
                <w:rFonts w:ascii="Arial" w:eastAsia="Times New Roman" w:hAnsi="Arial" w:cs="Arial"/>
                <w:sz w:val="18"/>
                <w:szCs w:val="22"/>
                <w:lang w:val="en-US" w:eastAsia="zh-CN"/>
              </w:rPr>
              <w:t xml:space="preserve">Indicates whether the UE supports multi-DCI based multi-TRP </w:t>
            </w:r>
            <w:r w:rsidRPr="00974A3B">
              <w:rPr>
                <w:rFonts w:ascii="Arial" w:eastAsia="Times New Roman" w:hAnsi="Arial" w:cs="Arial"/>
                <w:sz w:val="18"/>
                <w:szCs w:val="18"/>
                <w:lang w:val="en-US" w:eastAsia="zh-CN"/>
              </w:rPr>
              <w:t>PDSCH/PUSCH operation</w:t>
            </w:r>
            <w:r w:rsidRPr="00974A3B">
              <w:rPr>
                <w:rFonts w:ascii="Arial" w:eastAsia="Times New Roman" w:hAnsi="Arial" w:cs="Arial"/>
                <w:sz w:val="18"/>
                <w:szCs w:val="22"/>
                <w:lang w:val="en-US" w:eastAsia="zh-CN"/>
              </w:rPr>
              <w:t xml:space="preserve"> and </w:t>
            </w:r>
            <w:r w:rsidRPr="00974A3B">
              <w:rPr>
                <w:rFonts w:ascii="Arial" w:eastAsia="Times New Roman" w:hAnsi="Arial" w:cs="Arial"/>
                <w:sz w:val="18"/>
                <w:szCs w:val="18"/>
                <w:lang w:val="en-US" w:eastAsia="zh-CN"/>
              </w:rPr>
              <w:t xml:space="preserve">support of </w:t>
            </w:r>
            <w:r w:rsidRPr="00974A3B">
              <w:rPr>
                <w:rFonts w:ascii="Arial" w:eastAsia="Times New Roman" w:hAnsi="Arial" w:cs="Arial"/>
                <w:sz w:val="18"/>
                <w:szCs w:val="18"/>
                <w:highlight w:val="yellow"/>
                <w:lang w:val="en-US" w:eastAsia="zh-CN"/>
              </w:rPr>
              <w:t>fully/partially overlapping PDSCHs</w:t>
            </w:r>
            <w:r w:rsidRPr="00974A3B">
              <w:rPr>
                <w:rFonts w:ascii="Arial" w:eastAsia="Times New Roman" w:hAnsi="Arial" w:cs="Arial"/>
                <w:sz w:val="18"/>
                <w:szCs w:val="18"/>
                <w:lang w:val="en-US" w:eastAsia="zh-CN"/>
              </w:rPr>
              <w:t> in time and non-overlapping in frequency</w:t>
            </w:r>
            <w:r w:rsidRPr="00974A3B">
              <w:rPr>
                <w:rFonts w:ascii="Arial" w:eastAsia="Times New Roman" w:hAnsi="Arial" w:cs="Arial"/>
                <w:sz w:val="18"/>
                <w:szCs w:val="22"/>
                <w:lang w:val="en-US" w:eastAsia="zh-CN"/>
              </w:rPr>
              <w:t xml:space="preserve">. This capability applies only to BWPs where </w:t>
            </w:r>
            <w:r w:rsidRPr="00974A3B">
              <w:rPr>
                <w:rFonts w:ascii="Arial" w:eastAsia="Times New Roman" w:hAnsi="Arial" w:cs="Arial"/>
                <w:sz w:val="18"/>
                <w:szCs w:val="18"/>
                <w:lang w:val="en-US" w:eastAsia="zh-CN"/>
              </w:rPr>
              <w:t xml:space="preserve">two values of </w:t>
            </w:r>
            <w:r w:rsidRPr="00974A3B">
              <w:rPr>
                <w:rFonts w:ascii="Arial" w:eastAsia="Times New Roman" w:hAnsi="Arial" w:cs="Arial"/>
                <w:i/>
                <w:iCs/>
                <w:sz w:val="18"/>
                <w:szCs w:val="18"/>
                <w:lang w:val="en-US" w:eastAsia="zh-CN"/>
              </w:rPr>
              <w:t>coresetPoolIndex</w:t>
            </w:r>
            <w:r w:rsidRPr="00974A3B">
              <w:rPr>
                <w:rFonts w:ascii="Arial" w:eastAsia="Times New Roman" w:hAnsi="Arial" w:cs="Arial"/>
                <w:sz w:val="18"/>
                <w:szCs w:val="18"/>
                <w:lang w:val="en-US" w:eastAsia="zh-CN"/>
              </w:rPr>
              <w:t xml:space="preserve"> are configured. </w:t>
            </w:r>
            <w:r w:rsidRPr="00974A3B">
              <w:rPr>
                <w:rFonts w:ascii="Arial" w:eastAsia="Times New Roman" w:hAnsi="Arial" w:cs="Arial"/>
                <w:sz w:val="18"/>
                <w:szCs w:val="22"/>
                <w:lang w:val="en-US" w:eastAsia="zh-CN"/>
              </w:rPr>
              <w:t>The capability signalling contains the following:</w:t>
            </w:r>
          </w:p>
        </w:tc>
      </w:tr>
    </w:tbl>
    <w:p w:rsidR="00BE5410" w:rsidRPr="00103DF5" w:rsidRDefault="00BE5410" w:rsidP="00103DF5"/>
    <w:p w:rsidR="00835F67" w:rsidRPr="00974A3B" w:rsidRDefault="00974A3B" w:rsidP="00974A3B">
      <w:pPr>
        <w:spacing w:before="100" w:beforeAutospacing="1"/>
        <w:jc w:val="both"/>
        <w:rPr>
          <w:b/>
          <w:lang w:val="en-US"/>
        </w:rPr>
      </w:pPr>
      <w:r w:rsidRPr="00974A3B">
        <w:rPr>
          <w:b/>
          <w:lang w:val="en-US"/>
        </w:rPr>
        <w:t>Observation 4: For mDCI, simultaneous PDSCH reception is for the case when PDSCH are fully/partially overlapped in time domain with different QCL-TypeD.</w:t>
      </w:r>
    </w:p>
    <w:p w:rsidR="000D0E73" w:rsidRPr="000D0E73" w:rsidRDefault="000D0E73" w:rsidP="009549C4">
      <w:pPr>
        <w:jc w:val="both"/>
        <w:rPr>
          <w:lang w:val="en-US"/>
        </w:rPr>
      </w:pPr>
      <w:r>
        <w:rPr>
          <w:lang w:val="en-US"/>
        </w:rPr>
        <w:t xml:space="preserve">In legacy requirements for DCI based TCI state switching, the delay are as follows where UE shall be able to receive PDSCH with target TCI of the serving cell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Pr>
          <w:rFonts w:eastAsia="Malgun Gothic"/>
          <w:iCs/>
          <w:lang w:eastAsia="zh-CN"/>
        </w:rPr>
        <w:t xml:space="preserve"> where UE receives DCI at slot n.</w:t>
      </w:r>
    </w:p>
    <w:tbl>
      <w:tblPr>
        <w:tblStyle w:val="TableGrid"/>
        <w:tblW w:w="0" w:type="auto"/>
        <w:tblLook w:val="04A0" w:firstRow="1" w:lastRow="0" w:firstColumn="1" w:lastColumn="0" w:noHBand="0" w:noVBand="1"/>
      </w:tblPr>
      <w:tblGrid>
        <w:gridCol w:w="9562"/>
      </w:tblGrid>
      <w:tr w:rsidR="000D0E73" w:rsidTr="000D0E73">
        <w:tc>
          <w:tcPr>
            <w:tcW w:w="9562" w:type="dxa"/>
          </w:tcPr>
          <w:p w:rsidR="000D0E73" w:rsidRPr="000D0E73" w:rsidRDefault="000D0E73" w:rsidP="009549C4">
            <w:pPr>
              <w:jc w:val="both"/>
              <w:rPr>
                <w:rFonts w:eastAsia="Malgun Gothic"/>
                <w:lang w:eastAsia="zh-CN"/>
              </w:rPr>
            </w:pPr>
            <w:r w:rsidRPr="009C5807">
              <w:rPr>
                <w:rFonts w:eastAsia="Malgun Gothic"/>
                <w:lang w:val="en-US" w:eastAsia="zh-CN"/>
              </w:rPr>
              <w:t xml:space="preserve">If the target TCI state is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 xml:space="preserve">applying spatial QCL </w:t>
            </w:r>
            <w:r w:rsidRPr="009C5807">
              <w:lastRenderedPageBreak/>
              <w:t>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tc>
      </w:tr>
    </w:tbl>
    <w:p w:rsidR="000D0E73" w:rsidRPr="000D0E73" w:rsidRDefault="000D0E73" w:rsidP="009549C4">
      <w:pPr>
        <w:jc w:val="both"/>
      </w:pPr>
    </w:p>
    <w:p w:rsidR="000D0E73" w:rsidRDefault="000D0E73" w:rsidP="009549C4">
      <w:pPr>
        <w:jc w:val="both"/>
        <w:rPr>
          <w:lang w:val="en-US"/>
        </w:rPr>
      </w:pPr>
      <w:r>
        <w:rPr>
          <w:lang w:val="en-US"/>
        </w:rPr>
        <w:t>In last meeting, there were discussion on which slot is considered as slot n since the DCI from different CoresetPoolIndex are transmitted independently</w:t>
      </w:r>
      <w:r w:rsidR="00FA4CFA">
        <w:rPr>
          <w:lang w:val="en-US"/>
        </w:rPr>
        <w:t xml:space="preserve"> [3]</w:t>
      </w:r>
      <w:r>
        <w:rPr>
          <w:lang w:val="en-US"/>
        </w:rPr>
        <w:t xml:space="preserve">. </w:t>
      </w:r>
    </w:p>
    <w:tbl>
      <w:tblPr>
        <w:tblStyle w:val="TableGrid"/>
        <w:tblW w:w="0" w:type="auto"/>
        <w:tblLook w:val="04A0" w:firstRow="1" w:lastRow="0" w:firstColumn="1" w:lastColumn="0" w:noHBand="0" w:noVBand="1"/>
      </w:tblPr>
      <w:tblGrid>
        <w:gridCol w:w="9562"/>
      </w:tblGrid>
      <w:tr w:rsidR="000D0E73" w:rsidTr="000D0E73">
        <w:tc>
          <w:tcPr>
            <w:tcW w:w="9562" w:type="dxa"/>
          </w:tcPr>
          <w:p w:rsidR="000D0E73" w:rsidRDefault="000D0E73" w:rsidP="009549C4">
            <w:pPr>
              <w:jc w:val="both"/>
              <w:rPr>
                <w:lang w:val="en-US"/>
              </w:rPr>
            </w:pPr>
          </w:p>
          <w:p w:rsidR="000D0E73" w:rsidRDefault="000D0E73" w:rsidP="000D0E73">
            <w:pPr>
              <w:pStyle w:val="ListParagraph"/>
              <w:numPr>
                <w:ilvl w:val="1"/>
                <w:numId w:val="3"/>
              </w:numPr>
              <w:spacing w:after="120"/>
              <w:ind w:firstLineChars="0"/>
              <w:rPr>
                <w:rFonts w:eastAsia="宋体"/>
                <w:color w:val="0070C0"/>
                <w:szCs w:val="24"/>
                <w:lang w:eastAsia="zh-CN"/>
              </w:rPr>
            </w:pPr>
            <w:r>
              <w:rPr>
                <w:rFonts w:eastAsia="宋体"/>
                <w:color w:val="0070C0"/>
                <w:szCs w:val="24"/>
                <w:lang w:eastAsia="zh-CN"/>
              </w:rPr>
              <w:t xml:space="preserve">When the TCI state switch command arrive at different slot  </w:t>
            </w:r>
          </w:p>
          <w:p w:rsidR="000D0E73" w:rsidRDefault="000D0E73" w:rsidP="000D0E73">
            <w:pPr>
              <w:pStyle w:val="ListParagraph"/>
              <w:numPr>
                <w:ilvl w:val="2"/>
                <w:numId w:val="3"/>
              </w:numPr>
              <w:spacing w:after="120"/>
              <w:ind w:firstLineChars="0"/>
              <w:rPr>
                <w:rFonts w:eastAsia="宋体"/>
                <w:color w:val="0070C0"/>
                <w:szCs w:val="24"/>
                <w:lang w:eastAsia="zh-CN"/>
              </w:rPr>
            </w:pPr>
            <w:r>
              <w:rPr>
                <w:rFonts w:eastAsia="宋体"/>
                <w:color w:val="0070C0"/>
                <w:szCs w:val="24"/>
                <w:lang w:eastAsia="zh-CN"/>
              </w:rPr>
              <w:t>Proposal 2: If DCI based TCI switch command from one TRP is received at n1, DCI state from other TRP is received at n2, and |n1-n2| &lt; timeDurationForQCL the UE shall be able to receive PDSCH after slot max(n</w:t>
            </w:r>
            <w:proofErr w:type="gramStart"/>
            <w:r>
              <w:rPr>
                <w:rFonts w:eastAsia="宋体"/>
                <w:color w:val="0070C0"/>
                <w:szCs w:val="24"/>
                <w:lang w:eastAsia="zh-CN"/>
              </w:rPr>
              <w:t>1,n</w:t>
            </w:r>
            <w:proofErr w:type="gramEnd"/>
            <w:r>
              <w:rPr>
                <w:rFonts w:eastAsia="宋体"/>
                <w:color w:val="0070C0"/>
                <w:szCs w:val="24"/>
                <w:lang w:eastAsia="zh-CN"/>
              </w:rPr>
              <w:t>2)+timeDurationForQCL. (As defined in TS 38.214)</w:t>
            </w:r>
          </w:p>
          <w:p w:rsidR="000D0E73" w:rsidRDefault="000D0E73" w:rsidP="009549C4">
            <w:pPr>
              <w:jc w:val="both"/>
              <w:rPr>
                <w:lang w:val="en-US"/>
              </w:rPr>
            </w:pPr>
          </w:p>
        </w:tc>
      </w:tr>
    </w:tbl>
    <w:p w:rsidR="000D0E73" w:rsidRDefault="000D0E73" w:rsidP="009549C4">
      <w:pPr>
        <w:jc w:val="both"/>
        <w:rPr>
          <w:lang w:val="en-US"/>
        </w:rPr>
      </w:pPr>
    </w:p>
    <w:p w:rsidR="000D0E73" w:rsidRDefault="00FA4CFA" w:rsidP="009549C4">
      <w:pPr>
        <w:jc w:val="both"/>
        <w:rPr>
          <w:lang w:val="en-US"/>
        </w:rPr>
      </w:pPr>
      <w:r>
        <w:rPr>
          <w:lang w:val="en-US"/>
        </w:rPr>
        <w:t>We can understand the motivation of above proposal, however the quoted specification in RAN1 is about PDCCH repetition. We illustrate the issue in following figure. Since the scheduling from different TRP are independent,</w:t>
      </w:r>
      <w:r w:rsidR="004F16EA">
        <w:rPr>
          <w:lang w:val="en-US"/>
        </w:rPr>
        <w:t xml:space="preserve"> UE can only identify that there </w:t>
      </w:r>
      <w:r w:rsidR="00763067">
        <w:rPr>
          <w:lang w:val="en-US"/>
        </w:rPr>
        <w:t>will be</w:t>
      </w:r>
      <w:r w:rsidR="004F16EA">
        <w:rPr>
          <w:lang w:val="en-US"/>
        </w:rPr>
        <w:t xml:space="preserve"> simultaneous reception the later DCI is decoded (DCI1 in the Fig). </w:t>
      </w:r>
      <w:r w:rsidR="00763067">
        <w:rPr>
          <w:lang w:val="en-US"/>
        </w:rPr>
        <w:t xml:space="preserve">In existing requirement in RAN1, it is only required that A-C or B-D shall be equal or larger than </w:t>
      </w:r>
      <w:r w:rsidR="00763067" w:rsidRPr="00763067">
        <w:rPr>
          <w:lang w:val="en-US"/>
        </w:rPr>
        <w:t>timeDurationForQCL</w:t>
      </w:r>
      <w:r w:rsidR="00E3534D">
        <w:rPr>
          <w:lang w:val="en-US"/>
        </w:rPr>
        <w:t xml:space="preserve">. Thus, for simultaneous PDSCH reception for mDCI, the time offset between the reception of the latter DCI scheduling simultaneous PDSCH reception to the earlier PDSCH shall be larger than </w:t>
      </w:r>
      <w:r w:rsidR="00E3534D" w:rsidRPr="00E3534D">
        <w:rPr>
          <w:lang w:val="en-US"/>
        </w:rPr>
        <w:t>timeDurationForQCL</w:t>
      </w:r>
      <w:r w:rsidR="008218EE">
        <w:rPr>
          <w:lang w:val="en-US"/>
        </w:rPr>
        <w:t xml:space="preserve"> (BC in the Fig)</w:t>
      </w:r>
      <w:r w:rsidR="00E3534D">
        <w:rPr>
          <w:lang w:val="en-US"/>
        </w:rPr>
        <w:t>. Then, the legacy TCI switching requirement can apply independently.</w:t>
      </w:r>
    </w:p>
    <w:p w:rsidR="00FA4CFA" w:rsidRDefault="00FA4CFA" w:rsidP="009549C4">
      <w:pPr>
        <w:jc w:val="both"/>
        <w:rPr>
          <w:lang w:val="en-US"/>
        </w:rPr>
      </w:pPr>
    </w:p>
    <w:p w:rsidR="00FA4CFA" w:rsidRDefault="004F16EA" w:rsidP="009549C4">
      <w:pPr>
        <w:jc w:val="both"/>
        <w:rPr>
          <w:lang w:val="en-US"/>
        </w:rPr>
      </w:pPr>
      <w:r>
        <w:rPr>
          <w:noProof/>
        </w:rPr>
        <w:drawing>
          <wp:inline distT="0" distB="0" distL="0" distR="0" wp14:anchorId="4D63B122" wp14:editId="0074DCB0">
            <wp:extent cx="6078220" cy="203771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2037715"/>
                    </a:xfrm>
                    <a:prstGeom prst="rect">
                      <a:avLst/>
                    </a:prstGeom>
                  </pic:spPr>
                </pic:pic>
              </a:graphicData>
            </a:graphic>
          </wp:inline>
        </w:drawing>
      </w:r>
    </w:p>
    <w:p w:rsidR="00FA4CFA" w:rsidRDefault="006451D8" w:rsidP="009549C4">
      <w:pPr>
        <w:jc w:val="both"/>
        <w:rPr>
          <w:lang w:val="en-US"/>
        </w:rPr>
      </w:pPr>
      <w:r w:rsidRPr="006451D8">
        <w:rPr>
          <w:lang w:val="en-US"/>
        </w:rPr>
        <w:t>Fig.1 Simultaneous reception in mDCI.</w:t>
      </w:r>
    </w:p>
    <w:p w:rsidR="004F16EA" w:rsidRPr="008218EE" w:rsidRDefault="00E3534D" w:rsidP="009549C4">
      <w:pPr>
        <w:jc w:val="both"/>
        <w:rPr>
          <w:b/>
          <w:lang w:val="en-US"/>
        </w:rPr>
      </w:pPr>
      <w:r w:rsidRPr="008218EE">
        <w:rPr>
          <w:b/>
          <w:lang w:val="en-US"/>
        </w:rPr>
        <w:t xml:space="preserve">Proposal </w:t>
      </w:r>
      <w:r w:rsidR="00476163">
        <w:rPr>
          <w:b/>
          <w:lang w:val="en-US"/>
        </w:rPr>
        <w:t>5</w:t>
      </w:r>
      <w:r w:rsidRPr="008218EE">
        <w:rPr>
          <w:b/>
          <w:lang w:val="en-US"/>
        </w:rPr>
        <w:t>: For mDCI, for DCI based TCI state switching for simultaneous PDSCH reception, legacy TCI switching requirements can apply independently, provided that the time offset between the reception of the latter DCI</w:t>
      </w:r>
      <w:r w:rsidR="008218EE" w:rsidRPr="008218EE">
        <w:rPr>
          <w:b/>
          <w:lang w:val="en-US"/>
        </w:rPr>
        <w:t xml:space="preserve"> among DCIs with different corsetPoolIndex</w:t>
      </w:r>
      <w:r w:rsidRPr="008218EE">
        <w:rPr>
          <w:b/>
          <w:lang w:val="en-US"/>
        </w:rPr>
        <w:t xml:space="preserve"> scheduling simultaneous PDSCH reception to the earlier PDSCH shall be larger than </w:t>
      </w:r>
      <w:r w:rsidRPr="008218EE">
        <w:rPr>
          <w:b/>
          <w:i/>
          <w:lang w:val="en-US"/>
        </w:rPr>
        <w:t>timeDurationForQCL</w:t>
      </w:r>
      <w:r w:rsidR="008218EE" w:rsidRPr="008218EE">
        <w:rPr>
          <w:b/>
          <w:lang w:val="en-US"/>
        </w:rPr>
        <w:t>.</w:t>
      </w:r>
    </w:p>
    <w:p w:rsidR="008218EE" w:rsidRDefault="008218EE" w:rsidP="008218EE">
      <w:pPr>
        <w:pStyle w:val="Heading2"/>
      </w:pPr>
      <w:r w:rsidRPr="00E875BB">
        <w:t>2.</w:t>
      </w:r>
      <w:r>
        <w:t>3</w:t>
      </w:r>
      <w:r w:rsidRPr="00E875BB">
        <w:t xml:space="preserve"> </w:t>
      </w:r>
      <w:r>
        <w:t>MAC CE based TCI switching</w:t>
      </w:r>
    </w:p>
    <w:p w:rsidR="008218EE" w:rsidRPr="008218EE" w:rsidRDefault="008218EE" w:rsidP="008218EE">
      <w:pPr>
        <w:jc w:val="both"/>
      </w:pPr>
      <w:r>
        <w:t>As analysed in scenarios part, the only case for MAC CE based TCI state switching for simultaneous PDCCH reception is for PDCCH repetition, where the “first” COREST and the “second” CORESET are controlled by separate MAC CE.</w:t>
      </w:r>
    </w:p>
    <w:p w:rsidR="000B1D91" w:rsidRDefault="00255B7C" w:rsidP="000B1D91">
      <w:pPr>
        <w:jc w:val="both"/>
      </w:pPr>
      <w:r>
        <w:t xml:space="preserve">Different from DCI based </w:t>
      </w:r>
      <w:r w:rsidR="00F35BFA">
        <w:t>TCI switching for simultaneous PDSCH reception, UE is already aware of which CORESETs are to be simultaneous received according to RAN1 specification. We assume that only known case are consider where no L1-RSRP to be considered in the delay. Then, the legacy MAC CE based TCI state switching requirements can apply to each PDCCH TCI switching triggered by individual MAC CE.</w:t>
      </w:r>
    </w:p>
    <w:p w:rsidR="00F35BFA" w:rsidRPr="00F35BFA" w:rsidRDefault="00F35BFA" w:rsidP="000B1D91">
      <w:pPr>
        <w:jc w:val="both"/>
        <w:rPr>
          <w:b/>
        </w:rPr>
      </w:pPr>
      <w:r w:rsidRPr="00F35BFA">
        <w:rPr>
          <w:b/>
        </w:rPr>
        <w:lastRenderedPageBreak/>
        <w:t xml:space="preserve">Proposal </w:t>
      </w:r>
      <w:r w:rsidR="00476163">
        <w:rPr>
          <w:b/>
        </w:rPr>
        <w:t>6</w:t>
      </w:r>
      <w:r w:rsidRPr="00F35BFA">
        <w:rPr>
          <w:b/>
        </w:rPr>
        <w:t>: For simultaneous PDCCH reception for PDCCH repetition, the legacy MAC CE based TCI state switching requirements can apply to each PDCCH TCI switching triggered by individual MAC CE</w:t>
      </w:r>
      <w:r>
        <w:rPr>
          <w:b/>
        </w:rPr>
        <w:t xml:space="preserve"> for known case.</w:t>
      </w:r>
    </w:p>
    <w:p w:rsidR="00E665DC" w:rsidRPr="00E875BB" w:rsidRDefault="00E665DC" w:rsidP="00E665DC">
      <w:pPr>
        <w:pStyle w:val="Heading2"/>
      </w:pPr>
      <w:r w:rsidRPr="00E875BB">
        <w:t>2.</w:t>
      </w:r>
      <w:r w:rsidR="00F35BFA">
        <w:t>4</w:t>
      </w:r>
      <w:r w:rsidRPr="00E875BB">
        <w:t xml:space="preserve"> </w:t>
      </w:r>
      <w:r>
        <w:rPr>
          <w:rStyle w:val="Heading2Char"/>
          <w:bCs/>
        </w:rPr>
        <w:t xml:space="preserve">Known condition </w:t>
      </w:r>
      <w:r w:rsidRPr="00E875BB">
        <w:t xml:space="preserve"> </w:t>
      </w:r>
    </w:p>
    <w:p w:rsidR="00AC5A47" w:rsidRDefault="00554F88" w:rsidP="00793CB2">
      <w:pPr>
        <w:rPr>
          <w:lang w:val="en-US"/>
        </w:rPr>
      </w:pPr>
      <w:r>
        <w:rPr>
          <w:lang w:val="en-US"/>
        </w:rPr>
        <w:t>Regarding the known conditions, the latest status is summarized as follows:</w:t>
      </w:r>
    </w:p>
    <w:tbl>
      <w:tblPr>
        <w:tblStyle w:val="TableGrid"/>
        <w:tblW w:w="0" w:type="auto"/>
        <w:tblLook w:val="04A0" w:firstRow="1" w:lastRow="0" w:firstColumn="1" w:lastColumn="0" w:noHBand="0" w:noVBand="1"/>
      </w:tblPr>
      <w:tblGrid>
        <w:gridCol w:w="9562"/>
      </w:tblGrid>
      <w:tr w:rsidR="00554F88" w:rsidTr="00554F88">
        <w:tc>
          <w:tcPr>
            <w:tcW w:w="9562" w:type="dxa"/>
          </w:tcPr>
          <w:p w:rsidR="00F35BFA" w:rsidRPr="005A6180" w:rsidRDefault="00F35BFA" w:rsidP="00F35BFA">
            <w:pPr>
              <w:rPr>
                <w:b/>
                <w:lang w:eastAsia="ko-KR"/>
              </w:rPr>
            </w:pPr>
            <w:r w:rsidRPr="005A6180">
              <w:rPr>
                <w:b/>
                <w:lang w:eastAsia="ko-KR"/>
              </w:rPr>
              <w:t xml:space="preserve">Issue 2-5-1: Requirements to be consider </w:t>
            </w:r>
          </w:p>
          <w:p w:rsidR="00F35BFA" w:rsidRPr="00CF1252" w:rsidRDefault="00F35BFA" w:rsidP="00F35BFA">
            <w:pPr>
              <w:rPr>
                <w:bCs/>
                <w:i/>
                <w:iCs/>
                <w:lang w:eastAsia="ko-KR"/>
              </w:rPr>
            </w:pPr>
            <w:r w:rsidRPr="00CF1252">
              <w:rPr>
                <w:bCs/>
                <w:i/>
                <w:iCs/>
                <w:lang w:eastAsia="ko-KR"/>
              </w:rPr>
              <w:t>Agreements:</w:t>
            </w:r>
          </w:p>
          <w:p w:rsidR="00F35BFA" w:rsidRPr="00CF1252" w:rsidRDefault="00F35BFA" w:rsidP="00F35BFA">
            <w:pPr>
              <w:pStyle w:val="ListParagraph"/>
              <w:numPr>
                <w:ilvl w:val="0"/>
                <w:numId w:val="3"/>
              </w:numPr>
              <w:overflowPunct w:val="0"/>
              <w:autoSpaceDE w:val="0"/>
              <w:autoSpaceDN w:val="0"/>
              <w:adjustRightInd w:val="0"/>
              <w:ind w:firstLineChars="0"/>
              <w:textAlignment w:val="baseline"/>
              <w:rPr>
                <w:rFonts w:eastAsia="宋体"/>
                <w:i/>
                <w:iCs/>
                <w:szCs w:val="24"/>
                <w:lang w:eastAsia="zh-CN"/>
              </w:rPr>
            </w:pPr>
            <w:r w:rsidRPr="00CF1252">
              <w:rPr>
                <w:rFonts w:eastAsia="宋体"/>
                <w:i/>
                <w:iCs/>
                <w:szCs w:val="24"/>
                <w:lang w:eastAsia="zh-CN"/>
              </w:rPr>
              <w:t xml:space="preserve">Requirements for DCI based dual TCI states switch delay for PDSCH reception are defined for known case only. </w:t>
            </w:r>
          </w:p>
          <w:p w:rsidR="00F35BFA" w:rsidRPr="00CF1252" w:rsidRDefault="00F35BFA" w:rsidP="00F35BFA">
            <w:pPr>
              <w:pStyle w:val="ListParagraph"/>
              <w:numPr>
                <w:ilvl w:val="0"/>
                <w:numId w:val="3"/>
              </w:numPr>
              <w:overflowPunct w:val="0"/>
              <w:autoSpaceDE w:val="0"/>
              <w:autoSpaceDN w:val="0"/>
              <w:adjustRightInd w:val="0"/>
              <w:ind w:firstLineChars="0"/>
              <w:textAlignment w:val="baseline"/>
              <w:rPr>
                <w:rFonts w:eastAsia="宋体"/>
                <w:i/>
                <w:iCs/>
                <w:szCs w:val="24"/>
                <w:lang w:eastAsia="zh-CN"/>
              </w:rPr>
            </w:pPr>
            <w:r w:rsidRPr="00CF1252">
              <w:rPr>
                <w:rFonts w:eastAsia="宋体"/>
                <w:i/>
                <w:iCs/>
                <w:szCs w:val="24"/>
                <w:lang w:eastAsia="zh-CN"/>
              </w:rPr>
              <w:t>Requirements for MAC CE based dual TCI states switch delay for PDCCH reception are defined for known case. FFS if it is to be limited to known case only.</w:t>
            </w:r>
          </w:p>
          <w:p w:rsidR="00F35BFA" w:rsidRPr="005A6180" w:rsidRDefault="00F35BFA" w:rsidP="00F35BFA">
            <w:pPr>
              <w:rPr>
                <w:b/>
                <w:lang w:eastAsia="ko-KR"/>
              </w:rPr>
            </w:pPr>
          </w:p>
          <w:p w:rsidR="00F35BFA" w:rsidRPr="005A6180" w:rsidRDefault="00F35BFA" w:rsidP="00F35BFA">
            <w:pPr>
              <w:rPr>
                <w:b/>
                <w:lang w:eastAsia="ko-KR"/>
              </w:rPr>
            </w:pPr>
            <w:r w:rsidRPr="005A6180">
              <w:rPr>
                <w:b/>
                <w:lang w:eastAsia="ko-KR"/>
              </w:rPr>
              <w:t>Issue 2-5-2: Definition of known condition:</w:t>
            </w:r>
          </w:p>
          <w:p w:rsidR="00F35BFA" w:rsidRPr="00CF1252" w:rsidRDefault="00F35BFA" w:rsidP="00F35BFA">
            <w:pPr>
              <w:spacing w:after="120"/>
              <w:rPr>
                <w:i/>
                <w:iCs/>
                <w:szCs w:val="24"/>
                <w:lang w:eastAsia="zh-CN"/>
              </w:rPr>
            </w:pPr>
            <w:r w:rsidRPr="00CF1252">
              <w:rPr>
                <w:i/>
                <w:iCs/>
                <w:szCs w:val="24"/>
                <w:lang w:eastAsia="zh-CN"/>
              </w:rPr>
              <w:t xml:space="preserve">Way forward: </w:t>
            </w:r>
          </w:p>
          <w:p w:rsidR="00F35BFA" w:rsidRPr="00CF1252" w:rsidRDefault="00F35BFA" w:rsidP="00F35BFA">
            <w:pPr>
              <w:spacing w:after="120"/>
              <w:rPr>
                <w:i/>
                <w:iCs/>
                <w:szCs w:val="24"/>
                <w:lang w:eastAsia="zh-CN"/>
              </w:rPr>
            </w:pPr>
            <w:r w:rsidRPr="00CF1252">
              <w:rPr>
                <w:i/>
                <w:iCs/>
                <w:szCs w:val="24"/>
                <w:lang w:eastAsia="zh-CN"/>
              </w:rPr>
              <w:t xml:space="preserve">GBBR is agreed as prerequisite to enable simultaneous reception. Does that mean dual TCI states are configured based on beams reported in GBBR or can </w:t>
            </w:r>
            <w:proofErr w:type="gramStart"/>
            <w:r w:rsidRPr="00CF1252">
              <w:rPr>
                <w:i/>
                <w:iCs/>
                <w:szCs w:val="24"/>
                <w:lang w:eastAsia="zh-CN"/>
              </w:rPr>
              <w:t>other</w:t>
            </w:r>
            <w:proofErr w:type="gramEnd"/>
            <w:r w:rsidRPr="00CF1252">
              <w:rPr>
                <w:i/>
                <w:iCs/>
                <w:szCs w:val="24"/>
                <w:lang w:eastAsia="zh-CN"/>
              </w:rPr>
              <w:t xml:space="preserve"> RS which are QCLed to beams reported in GBBR can be configured. Please consider following to provide your further analysis.  </w:t>
            </w:r>
          </w:p>
          <w:p w:rsidR="00F35BFA" w:rsidRPr="00CF1252" w:rsidRDefault="00F35BFA" w:rsidP="00F35BFA">
            <w:pPr>
              <w:pStyle w:val="ListParagraph"/>
              <w:numPr>
                <w:ilvl w:val="0"/>
                <w:numId w:val="30"/>
              </w:numPr>
              <w:overflowPunct w:val="0"/>
              <w:autoSpaceDE w:val="0"/>
              <w:autoSpaceDN w:val="0"/>
              <w:adjustRightInd w:val="0"/>
              <w:spacing w:after="120"/>
              <w:ind w:firstLineChars="0"/>
              <w:textAlignment w:val="baseline"/>
              <w:rPr>
                <w:i/>
                <w:iCs/>
                <w:szCs w:val="24"/>
                <w:lang w:eastAsia="zh-CN"/>
              </w:rPr>
            </w:pPr>
            <w:r w:rsidRPr="00CF1252">
              <w:rPr>
                <w:i/>
                <w:iCs/>
                <w:szCs w:val="24"/>
                <w:lang w:eastAsia="zh-CN"/>
              </w:rPr>
              <w:t xml:space="preserve">Option 1: </w:t>
            </w:r>
            <w:r w:rsidRPr="00CF1252">
              <w:rPr>
                <w:rFonts w:eastAsia="宋体"/>
                <w:i/>
                <w:iCs/>
                <w:szCs w:val="24"/>
                <w:lang w:eastAsia="zh-CN"/>
              </w:rPr>
              <w:t>dual TCI states are only configured based on beams reported in GBBR</w:t>
            </w:r>
            <w:r w:rsidRPr="00CF1252">
              <w:rPr>
                <w:i/>
                <w:iCs/>
                <w:szCs w:val="24"/>
                <w:lang w:eastAsia="zh-CN"/>
              </w:rPr>
              <w:t>.</w:t>
            </w:r>
          </w:p>
          <w:p w:rsidR="00F35BFA" w:rsidRPr="00CF1252" w:rsidRDefault="00F35BFA" w:rsidP="00F35BFA">
            <w:pPr>
              <w:pStyle w:val="ListParagraph"/>
              <w:numPr>
                <w:ilvl w:val="0"/>
                <w:numId w:val="30"/>
              </w:numPr>
              <w:overflowPunct w:val="0"/>
              <w:autoSpaceDE w:val="0"/>
              <w:autoSpaceDN w:val="0"/>
              <w:adjustRightInd w:val="0"/>
              <w:spacing w:after="120"/>
              <w:ind w:firstLineChars="0"/>
              <w:textAlignment w:val="baseline"/>
              <w:rPr>
                <w:i/>
                <w:iCs/>
                <w:szCs w:val="24"/>
                <w:lang w:eastAsia="zh-CN"/>
              </w:rPr>
            </w:pPr>
            <w:r w:rsidRPr="00CF1252">
              <w:rPr>
                <w:i/>
                <w:iCs/>
                <w:szCs w:val="24"/>
                <w:lang w:eastAsia="zh-CN"/>
              </w:rPr>
              <w:t xml:space="preserve">Option2: </w:t>
            </w:r>
            <w:r w:rsidRPr="00CF1252">
              <w:rPr>
                <w:rFonts w:eastAsia="宋体"/>
                <w:i/>
                <w:iCs/>
                <w:szCs w:val="24"/>
                <w:lang w:eastAsia="zh-CN"/>
              </w:rPr>
              <w:t xml:space="preserve">dual TCI states which are QCLed to beam pair reported in </w:t>
            </w:r>
            <w:r w:rsidRPr="00CF1252">
              <w:rPr>
                <w:i/>
                <w:iCs/>
                <w:szCs w:val="24"/>
                <w:lang w:eastAsia="zh-CN"/>
              </w:rPr>
              <w:t xml:space="preserve">GBBR can be configured </w:t>
            </w:r>
          </w:p>
          <w:p w:rsidR="00554F88" w:rsidRPr="00554F88" w:rsidRDefault="00554F88" w:rsidP="00F35BFA">
            <w:pPr>
              <w:pStyle w:val="ListParagraph"/>
              <w:spacing w:after="120"/>
              <w:ind w:left="1440" w:firstLineChars="0" w:firstLine="0"/>
              <w:rPr>
                <w:rFonts w:eastAsia="宋体"/>
                <w:szCs w:val="24"/>
                <w:lang w:eastAsia="zh-CN"/>
              </w:rPr>
            </w:pPr>
          </w:p>
        </w:tc>
      </w:tr>
    </w:tbl>
    <w:p w:rsidR="00AC7EBA" w:rsidRDefault="00AC7EBA" w:rsidP="00D0400B">
      <w:pPr>
        <w:rPr>
          <w:lang w:val="en-US" w:eastAsia="zh-CN"/>
        </w:rPr>
      </w:pPr>
    </w:p>
    <w:p w:rsidR="00CB441D" w:rsidRDefault="00CB441D" w:rsidP="00D0400B">
      <w:pPr>
        <w:rPr>
          <w:lang w:val="en-US" w:eastAsia="zh-CN"/>
        </w:rPr>
      </w:pPr>
      <w:r>
        <w:rPr>
          <w:lang w:val="en-US" w:eastAsia="zh-CN"/>
        </w:rPr>
        <w:t xml:space="preserve">For the first issue, as explained in previous meeting, </w:t>
      </w:r>
      <w:r w:rsidR="00295B96">
        <w:rPr>
          <w:lang w:val="en-US" w:eastAsia="zh-CN"/>
        </w:rPr>
        <w:t>if the TCI state is known which mean UE does not know the Rx beam for the target TCI state, it does not make sense that NW configured simultaneous reception using the TCI as most probably it can not be simultaneous received by the UE.</w:t>
      </w:r>
    </w:p>
    <w:p w:rsidR="00295B96" w:rsidRPr="00295B96" w:rsidRDefault="00295B96" w:rsidP="00D0400B">
      <w:pPr>
        <w:rPr>
          <w:b/>
          <w:lang w:val="en-US" w:eastAsia="zh-CN"/>
        </w:rPr>
      </w:pPr>
      <w:r w:rsidRPr="00295B96">
        <w:rPr>
          <w:b/>
          <w:lang w:val="en-US" w:eastAsia="zh-CN"/>
        </w:rPr>
        <w:t xml:space="preserve">Proposal </w:t>
      </w:r>
      <w:r w:rsidR="00476163">
        <w:rPr>
          <w:b/>
          <w:lang w:val="en-US" w:eastAsia="zh-CN"/>
        </w:rPr>
        <w:t>7</w:t>
      </w:r>
      <w:r w:rsidRPr="00295B96">
        <w:rPr>
          <w:b/>
          <w:lang w:val="en-US" w:eastAsia="zh-CN"/>
        </w:rPr>
        <w:t>: Only define known case for MAC CE based dual TCI states switch delay for PDCCH reception.</w:t>
      </w:r>
    </w:p>
    <w:p w:rsidR="00295B96" w:rsidRDefault="00295B96" w:rsidP="00D0400B">
      <w:pPr>
        <w:rPr>
          <w:lang w:val="en-US" w:eastAsia="zh-CN"/>
        </w:rPr>
      </w:pPr>
      <w:r>
        <w:rPr>
          <w:lang w:val="en-US" w:eastAsia="zh-CN"/>
        </w:rPr>
        <w:t>For the definition of known condition, there are two options on the table. First, we would like to elaborate what RS can be QCL typed with PDCCH and PDSCH. According to TS38.214 5.1.5, the DMRS of PDSCH and PDCCH can be indicated with QCL typeD with CSI-RS configured with trs-info or CSI</w:t>
      </w:r>
      <w:r w:rsidR="009B4716">
        <w:rPr>
          <w:lang w:val="en-US" w:eastAsia="zh-CN"/>
        </w:rPr>
        <w:t>-</w:t>
      </w:r>
      <w:r>
        <w:rPr>
          <w:lang w:val="en-US" w:eastAsia="zh-CN"/>
        </w:rPr>
        <w:t xml:space="preserve">RS with repetition, or with SSB in initial access procedure. </w:t>
      </w:r>
      <w:r w:rsidR="008908B3">
        <w:rPr>
          <w:lang w:val="en-US" w:eastAsia="zh-CN"/>
        </w:rPr>
        <w:t xml:space="preserve">Then, for GBBR, it is </w:t>
      </w:r>
      <w:r w:rsidR="00476163">
        <w:rPr>
          <w:lang w:val="en-US" w:eastAsia="zh-CN"/>
        </w:rPr>
        <w:t>abnormal that the CSI-RS for L1-RSRP is configured with trs-info. Thus, similar as single TCI state switching, dual TCI states can be QCL-ed with beam pair reported in GBBR.</w:t>
      </w:r>
    </w:p>
    <w:p w:rsidR="00476163" w:rsidRPr="00476163" w:rsidRDefault="00476163" w:rsidP="00D0400B">
      <w:pPr>
        <w:rPr>
          <w:b/>
          <w:lang w:val="en-US" w:eastAsia="zh-CN"/>
        </w:rPr>
      </w:pPr>
      <w:r w:rsidRPr="00476163">
        <w:rPr>
          <w:b/>
          <w:lang w:val="en-US" w:eastAsia="zh-CN"/>
        </w:rPr>
        <w:t xml:space="preserve">Proposal </w:t>
      </w:r>
      <w:r>
        <w:rPr>
          <w:b/>
          <w:lang w:val="en-US" w:eastAsia="zh-CN"/>
        </w:rPr>
        <w:t>8</w:t>
      </w:r>
      <w:r w:rsidRPr="00476163">
        <w:rPr>
          <w:b/>
          <w:lang w:val="en-US" w:eastAsia="zh-CN"/>
        </w:rPr>
        <w:t>: Dual TCI state for simultaneous reception are configured based on reported beam pair or RS QCL-ed with reported beam pair reported in GBBR.</w:t>
      </w:r>
    </w:p>
    <w:p w:rsidR="003F3AAF" w:rsidRPr="000B707B" w:rsidRDefault="003F3AAF" w:rsidP="003F3AAF">
      <w:pPr>
        <w:rPr>
          <w:rFonts w:eastAsiaTheme="minorEastAsia"/>
          <w:lang w:eastAsia="zh-CN"/>
        </w:rPr>
      </w:pPr>
    </w:p>
    <w:p w:rsidR="00DF0231" w:rsidRDefault="00DF0231" w:rsidP="00DF0231">
      <w:pPr>
        <w:pStyle w:val="Heading1"/>
        <w:numPr>
          <w:ilvl w:val="0"/>
          <w:numId w:val="1"/>
        </w:numPr>
        <w:rPr>
          <w:lang w:val="en-US"/>
        </w:rPr>
      </w:pPr>
      <w:r w:rsidRPr="002D2977">
        <w:rPr>
          <w:lang w:val="en-US"/>
        </w:rPr>
        <w:t>Conclusions</w:t>
      </w:r>
    </w:p>
    <w:p w:rsidR="00476163" w:rsidRPr="00311008" w:rsidRDefault="00476163" w:rsidP="00476163">
      <w:pPr>
        <w:rPr>
          <w:b/>
          <w:lang w:val="en-US"/>
        </w:rPr>
      </w:pPr>
      <w:r w:rsidRPr="00311008">
        <w:rPr>
          <w:b/>
          <w:lang w:val="en-US"/>
        </w:rPr>
        <w:t>Observation 1: UE supporting twoQCLTypeDforPDCCHRepetition, UE determine the first and second CORESET which with different QCL-typeD in overlapping PDCCH monitoring occasions based RAN1 spec.</w:t>
      </w:r>
    </w:p>
    <w:p w:rsidR="00476163" w:rsidRPr="00976156" w:rsidRDefault="00476163" w:rsidP="00476163">
      <w:pPr>
        <w:rPr>
          <w:b/>
          <w:lang w:val="en-US"/>
        </w:rPr>
      </w:pPr>
      <w:r w:rsidRPr="00976156">
        <w:rPr>
          <w:b/>
          <w:lang w:val="en-US"/>
        </w:rPr>
        <w:t>Proposal 1: RAN4 to define requirements for TCI state switching for simultaneous PDCCH reception when UE is provided with twoQCLTypeDforPDCCHRepetition, where the TCI state of each PDCCH is controlled by separate MAC CE.</w:t>
      </w:r>
    </w:p>
    <w:p w:rsidR="00476163" w:rsidRPr="00B419DE" w:rsidRDefault="00476163" w:rsidP="00476163">
      <w:pPr>
        <w:overflowPunct w:val="0"/>
        <w:autoSpaceDE w:val="0"/>
        <w:autoSpaceDN w:val="0"/>
        <w:adjustRightInd w:val="0"/>
        <w:spacing w:after="120" w:line="252" w:lineRule="auto"/>
        <w:rPr>
          <w:b/>
          <w:lang w:eastAsia="ja-JP"/>
        </w:rPr>
      </w:pPr>
      <w:r w:rsidRPr="00B419DE">
        <w:rPr>
          <w:b/>
          <w:lang w:eastAsia="ja-JP"/>
        </w:rPr>
        <w:t>Proposal 2: Do not consider RRC triggered dual TCI state switching.</w:t>
      </w:r>
    </w:p>
    <w:p w:rsidR="00476163" w:rsidRPr="008E0E4D" w:rsidRDefault="00476163" w:rsidP="00476163">
      <w:pPr>
        <w:rPr>
          <w:b/>
        </w:rPr>
      </w:pPr>
      <w:r w:rsidRPr="008E0E4D">
        <w:rPr>
          <w:b/>
        </w:rPr>
        <w:t xml:space="preserve">Proposal </w:t>
      </w:r>
      <w:r>
        <w:rPr>
          <w:b/>
        </w:rPr>
        <w:t>3</w:t>
      </w:r>
      <w:r w:rsidRPr="008E0E4D">
        <w:rPr>
          <w:b/>
        </w:rPr>
        <w:t>: For sDCI PDSCH TCI state switching, legacy requirements can apply to following cases:</w:t>
      </w:r>
    </w:p>
    <w:p w:rsidR="00476163" w:rsidRPr="008E0E4D" w:rsidRDefault="00476163" w:rsidP="00476163">
      <w:pPr>
        <w:pStyle w:val="ListParagraph"/>
        <w:numPr>
          <w:ilvl w:val="2"/>
          <w:numId w:val="26"/>
        </w:numPr>
        <w:overflowPunct w:val="0"/>
        <w:autoSpaceDE w:val="0"/>
        <w:autoSpaceDN w:val="0"/>
        <w:adjustRightInd w:val="0"/>
        <w:spacing w:after="120" w:line="252" w:lineRule="auto"/>
        <w:ind w:firstLineChars="0"/>
        <w:rPr>
          <w:b/>
          <w:lang w:eastAsia="ja-JP"/>
        </w:rPr>
      </w:pPr>
      <w:r w:rsidRPr="008E0E4D">
        <w:rPr>
          <w:b/>
          <w:lang w:eastAsia="ja-JP"/>
        </w:rPr>
        <w:lastRenderedPageBreak/>
        <w:t>single TCI to dual TCI</w:t>
      </w:r>
    </w:p>
    <w:p w:rsidR="00476163" w:rsidRPr="008E0E4D" w:rsidRDefault="00476163" w:rsidP="00476163">
      <w:pPr>
        <w:pStyle w:val="ListParagraph"/>
        <w:numPr>
          <w:ilvl w:val="2"/>
          <w:numId w:val="26"/>
        </w:numPr>
        <w:overflowPunct w:val="0"/>
        <w:autoSpaceDE w:val="0"/>
        <w:autoSpaceDN w:val="0"/>
        <w:adjustRightInd w:val="0"/>
        <w:spacing w:after="120" w:line="252" w:lineRule="auto"/>
        <w:ind w:firstLineChars="0"/>
        <w:rPr>
          <w:b/>
          <w:lang w:eastAsia="ja-JP"/>
        </w:rPr>
      </w:pPr>
      <w:r w:rsidRPr="008E0E4D">
        <w:rPr>
          <w:b/>
          <w:lang w:eastAsia="ja-JP"/>
        </w:rPr>
        <w:t>dual TCI to dual TCI</w:t>
      </w:r>
    </w:p>
    <w:p w:rsidR="00476163" w:rsidRPr="00311008" w:rsidRDefault="00476163" w:rsidP="00476163">
      <w:pPr>
        <w:rPr>
          <w:b/>
        </w:rPr>
      </w:pPr>
      <w:r w:rsidRPr="00311008">
        <w:rPr>
          <w:b/>
        </w:rPr>
        <w:t>Observation 2: For dual TCI to single TCI when the target TCI is one of the source TCI (e.g. [RS</w:t>
      </w:r>
      <w:proofErr w:type="gramStart"/>
      <w:r w:rsidRPr="00311008">
        <w:rPr>
          <w:b/>
        </w:rPr>
        <w:t>1,RS</w:t>
      </w:r>
      <w:proofErr w:type="gramEnd"/>
      <w:r w:rsidRPr="00311008">
        <w:rPr>
          <w:b/>
        </w:rPr>
        <w:t>2] to [RS1]), whether UE needs time to apply the TCI states depends on whether UE is still in mTRP mode.</w:t>
      </w:r>
    </w:p>
    <w:p w:rsidR="00476163" w:rsidRDefault="00476163" w:rsidP="00476163">
      <w:pPr>
        <w:rPr>
          <w:b/>
        </w:rPr>
      </w:pPr>
      <w:r>
        <w:rPr>
          <w:b/>
        </w:rPr>
        <w:t xml:space="preserve">Proposal 4: </w:t>
      </w:r>
      <w:r w:rsidRPr="00311008">
        <w:rPr>
          <w:b/>
        </w:rPr>
        <w:t>For dual TCI to single TCI when the target TCI is one of the source TCI (e.g. [RS</w:t>
      </w:r>
      <w:proofErr w:type="gramStart"/>
      <w:r w:rsidRPr="00311008">
        <w:rPr>
          <w:b/>
        </w:rPr>
        <w:t>1,RS</w:t>
      </w:r>
      <w:proofErr w:type="gramEnd"/>
      <w:r w:rsidRPr="00311008">
        <w:rPr>
          <w:b/>
        </w:rPr>
        <w:t xml:space="preserve">2] to [RS1]), </w:t>
      </w:r>
      <w:r>
        <w:rPr>
          <w:b/>
        </w:rPr>
        <w:t xml:space="preserve">there is no TCI switching delay when UE is configured with GBBR and is NOT configured with non-GBBR. </w:t>
      </w:r>
    </w:p>
    <w:p w:rsidR="00476163" w:rsidRPr="00BE5410" w:rsidRDefault="00476163" w:rsidP="00476163">
      <w:pPr>
        <w:rPr>
          <w:b/>
        </w:rPr>
      </w:pPr>
      <w:r w:rsidRPr="00BE5410">
        <w:rPr>
          <w:b/>
        </w:rPr>
        <w:t>Observation 3: For DCI based TCI switching for mDCI, when the PDSCH scheduled by different TRP are not overlapped, legacy DCI-based TCI state switching requirements can apply.</w:t>
      </w:r>
    </w:p>
    <w:p w:rsidR="00476163" w:rsidRPr="00974A3B" w:rsidRDefault="00476163" w:rsidP="00476163">
      <w:pPr>
        <w:spacing w:before="100" w:beforeAutospacing="1"/>
        <w:jc w:val="both"/>
        <w:rPr>
          <w:b/>
          <w:lang w:val="en-US"/>
        </w:rPr>
      </w:pPr>
      <w:r w:rsidRPr="00974A3B">
        <w:rPr>
          <w:b/>
          <w:lang w:val="en-US"/>
        </w:rPr>
        <w:t>Observation 4: For mDCI, simultaneous PDSCH reception is for the case when PDSCH are fully/partially overlapped in time domain with different QCL-TypeD.</w:t>
      </w:r>
    </w:p>
    <w:p w:rsidR="00476163" w:rsidRPr="008218EE" w:rsidRDefault="00476163" w:rsidP="00476163">
      <w:pPr>
        <w:jc w:val="both"/>
        <w:rPr>
          <w:b/>
          <w:lang w:val="en-US"/>
        </w:rPr>
      </w:pPr>
      <w:r w:rsidRPr="008218EE">
        <w:rPr>
          <w:b/>
          <w:lang w:val="en-US"/>
        </w:rPr>
        <w:t xml:space="preserve">Proposal </w:t>
      </w:r>
      <w:r>
        <w:rPr>
          <w:b/>
          <w:lang w:val="en-US"/>
        </w:rPr>
        <w:t>5</w:t>
      </w:r>
      <w:r w:rsidRPr="008218EE">
        <w:rPr>
          <w:b/>
          <w:lang w:val="en-US"/>
        </w:rPr>
        <w:t xml:space="preserve">: For mDCI, for DCI based TCI state switching for simultaneous PDSCH reception, legacy TCI switching requirements can apply independently, provided that the time offset between the reception of the latter DCI among DCIs with different corsetPoolIndex scheduling simultaneous PDSCH reception to the earlier PDSCH shall be larger than </w:t>
      </w:r>
      <w:r w:rsidRPr="008218EE">
        <w:rPr>
          <w:b/>
          <w:i/>
          <w:lang w:val="en-US"/>
        </w:rPr>
        <w:t>timeDurationForQCL</w:t>
      </w:r>
      <w:r w:rsidRPr="008218EE">
        <w:rPr>
          <w:b/>
          <w:lang w:val="en-US"/>
        </w:rPr>
        <w:t>.</w:t>
      </w:r>
    </w:p>
    <w:p w:rsidR="00476163" w:rsidRPr="00F35BFA" w:rsidRDefault="00476163" w:rsidP="00476163">
      <w:pPr>
        <w:jc w:val="both"/>
        <w:rPr>
          <w:b/>
        </w:rPr>
      </w:pPr>
      <w:r w:rsidRPr="00F35BFA">
        <w:rPr>
          <w:b/>
        </w:rPr>
        <w:t xml:space="preserve">Proposal </w:t>
      </w:r>
      <w:r>
        <w:rPr>
          <w:b/>
        </w:rPr>
        <w:t>6</w:t>
      </w:r>
      <w:r w:rsidRPr="00F35BFA">
        <w:rPr>
          <w:b/>
        </w:rPr>
        <w:t>: For simultaneous PDCCH reception for PDCCH repetition, the legacy MAC CE based TCI state switching requirements can apply to each PDCCH TCI switching triggered by individual MAC CE</w:t>
      </w:r>
      <w:r>
        <w:rPr>
          <w:b/>
        </w:rPr>
        <w:t xml:space="preserve"> for known case.</w:t>
      </w:r>
    </w:p>
    <w:p w:rsidR="00476163" w:rsidRPr="00295B96" w:rsidRDefault="00476163" w:rsidP="00476163">
      <w:pPr>
        <w:rPr>
          <w:b/>
          <w:lang w:val="en-US" w:eastAsia="zh-CN"/>
        </w:rPr>
      </w:pPr>
      <w:r w:rsidRPr="00295B96">
        <w:rPr>
          <w:b/>
          <w:lang w:val="en-US" w:eastAsia="zh-CN"/>
        </w:rPr>
        <w:t xml:space="preserve">Proposal </w:t>
      </w:r>
      <w:r>
        <w:rPr>
          <w:b/>
          <w:lang w:val="en-US" w:eastAsia="zh-CN"/>
        </w:rPr>
        <w:t>7</w:t>
      </w:r>
      <w:r w:rsidRPr="00295B96">
        <w:rPr>
          <w:b/>
          <w:lang w:val="en-US" w:eastAsia="zh-CN"/>
        </w:rPr>
        <w:t>: Only define known case for MAC CE based dual TCI states switch delay for PDCCH reception.</w:t>
      </w:r>
    </w:p>
    <w:p w:rsidR="00476163" w:rsidRPr="00476163" w:rsidRDefault="00476163" w:rsidP="00476163">
      <w:pPr>
        <w:rPr>
          <w:b/>
          <w:lang w:val="en-US" w:eastAsia="zh-CN"/>
        </w:rPr>
      </w:pPr>
      <w:r w:rsidRPr="00476163">
        <w:rPr>
          <w:b/>
          <w:lang w:val="en-US" w:eastAsia="zh-CN"/>
        </w:rPr>
        <w:t xml:space="preserve">Proposal </w:t>
      </w:r>
      <w:r>
        <w:rPr>
          <w:b/>
          <w:lang w:val="en-US" w:eastAsia="zh-CN"/>
        </w:rPr>
        <w:t>8</w:t>
      </w:r>
      <w:r w:rsidRPr="00476163">
        <w:rPr>
          <w:b/>
          <w:lang w:val="en-US" w:eastAsia="zh-CN"/>
        </w:rPr>
        <w:t>: Dual TCI state for simultaneous reception are configured based on reported beam pair or RS QCL-ed with reported beam pair reported in GBBR.</w:t>
      </w:r>
    </w:p>
    <w:p w:rsidR="00F35BFA" w:rsidRPr="00476163" w:rsidRDefault="00F35BFA" w:rsidP="00F35BFA">
      <w:pPr>
        <w:rPr>
          <w:b/>
          <w:lang w:val="en-US" w:eastAsia="zh-CN"/>
        </w:rPr>
      </w:pPr>
    </w:p>
    <w:p w:rsidR="00F35BFA" w:rsidRPr="00F35BFA" w:rsidRDefault="00F35BFA" w:rsidP="00F35BFA">
      <w:pPr>
        <w:rPr>
          <w:b/>
          <w:lang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0A18E6" w:rsidRPr="000A18E6" w:rsidRDefault="000A18E6" w:rsidP="000A18E6">
      <w:pPr>
        <w:rPr>
          <w:rFonts w:eastAsiaTheme="minorEastAsia"/>
          <w:lang w:eastAsia="zh-CN"/>
        </w:rPr>
      </w:pPr>
      <w:r>
        <w:rPr>
          <w:rFonts w:eastAsiaTheme="minorEastAsia"/>
          <w:lang w:eastAsia="zh-CN"/>
        </w:rPr>
        <w:t xml:space="preserve">[1] </w:t>
      </w:r>
      <w:r w:rsidR="00934420" w:rsidRPr="00934420">
        <w:rPr>
          <w:rFonts w:eastAsiaTheme="minorEastAsia"/>
          <w:lang w:eastAsia="zh-CN"/>
        </w:rPr>
        <w:t>R4-2306318</w:t>
      </w:r>
      <w:r w:rsidRPr="000A18E6">
        <w:rPr>
          <w:rFonts w:eastAsiaTheme="minorEastAsia"/>
          <w:lang w:eastAsia="zh-CN"/>
        </w:rPr>
        <w:tab/>
      </w:r>
      <w:r w:rsidR="005A33C9" w:rsidRPr="005A33C9">
        <w:rPr>
          <w:rFonts w:eastAsiaTheme="minorEastAsia"/>
          <w:lang w:eastAsia="zh-CN"/>
        </w:rPr>
        <w:t>WF on NR FR2 multi-Rx chain DL reception RRM requirements (part 1)</w:t>
      </w:r>
      <w:r>
        <w:rPr>
          <w:rFonts w:eastAsiaTheme="minorEastAsia"/>
          <w:lang w:eastAsia="zh-CN"/>
        </w:rPr>
        <w:t xml:space="preserve">, </w:t>
      </w:r>
      <w:r w:rsidRPr="000A18E6">
        <w:rPr>
          <w:rFonts w:eastAsiaTheme="minorEastAsia"/>
          <w:lang w:eastAsia="zh-CN"/>
        </w:rPr>
        <w:t>vivo</w:t>
      </w:r>
    </w:p>
    <w:p w:rsidR="000A18E6" w:rsidRPr="000A18E6" w:rsidRDefault="000A18E6" w:rsidP="000A18E6">
      <w:pPr>
        <w:rPr>
          <w:rFonts w:eastAsiaTheme="minorEastAsia"/>
          <w:lang w:eastAsia="zh-CN"/>
        </w:rPr>
      </w:pPr>
      <w:r>
        <w:rPr>
          <w:rFonts w:eastAsiaTheme="minorEastAsia"/>
          <w:lang w:eastAsia="zh-CN"/>
        </w:rPr>
        <w:t xml:space="preserve">[2] </w:t>
      </w:r>
      <w:r w:rsidR="00934420" w:rsidRPr="00934420">
        <w:rPr>
          <w:rFonts w:eastAsiaTheme="minorEastAsia"/>
          <w:lang w:eastAsia="zh-CN"/>
        </w:rPr>
        <w:t>R4-230631</w:t>
      </w:r>
      <w:r w:rsidR="00934420">
        <w:rPr>
          <w:rFonts w:eastAsiaTheme="minorEastAsia"/>
          <w:lang w:eastAsia="zh-CN"/>
        </w:rPr>
        <w:t>9</w:t>
      </w:r>
      <w:r w:rsidRPr="000A18E6">
        <w:rPr>
          <w:rFonts w:eastAsiaTheme="minorEastAsia"/>
          <w:lang w:eastAsia="zh-CN"/>
        </w:rPr>
        <w:tab/>
      </w:r>
      <w:r w:rsidR="005A33C9" w:rsidRPr="005A33C9">
        <w:rPr>
          <w:rFonts w:eastAsiaTheme="minorEastAsia"/>
          <w:lang w:eastAsia="zh-CN"/>
        </w:rPr>
        <w:t>WF on NR FR2 multi-Rx chain DL reception RRM requirements (part 2)</w:t>
      </w:r>
      <w:r>
        <w:rPr>
          <w:rFonts w:eastAsiaTheme="minorEastAsia"/>
          <w:lang w:eastAsia="zh-CN"/>
        </w:rPr>
        <w:t xml:space="preserve">, </w:t>
      </w:r>
      <w:r w:rsidRPr="000A18E6">
        <w:rPr>
          <w:rFonts w:eastAsiaTheme="minorEastAsia"/>
          <w:lang w:eastAsia="zh-CN"/>
        </w:rPr>
        <w:t>Qualcomm</w:t>
      </w:r>
    </w:p>
    <w:p w:rsidR="007E6234" w:rsidRPr="000A18E6" w:rsidRDefault="00FA4CFA" w:rsidP="000A18E6">
      <w:pPr>
        <w:rPr>
          <w:rFonts w:eastAsiaTheme="minorEastAsia"/>
          <w:lang w:eastAsia="zh-CN"/>
        </w:rPr>
      </w:pPr>
      <w:r>
        <w:rPr>
          <w:rFonts w:eastAsiaTheme="minorEastAsia"/>
          <w:lang w:eastAsia="zh-CN"/>
        </w:rPr>
        <w:t xml:space="preserve">[3] </w:t>
      </w:r>
      <w:r w:rsidRPr="00FA4CFA">
        <w:rPr>
          <w:rFonts w:eastAsiaTheme="minorEastAsia"/>
          <w:lang w:eastAsia="zh-CN"/>
        </w:rPr>
        <w:t>R4-2306151</w:t>
      </w:r>
      <w:r>
        <w:rPr>
          <w:rFonts w:eastAsiaTheme="minorEastAsia"/>
          <w:lang w:eastAsia="zh-CN"/>
        </w:rPr>
        <w:tab/>
      </w:r>
      <w:r w:rsidRPr="00FA4CFA">
        <w:rPr>
          <w:rFonts w:eastAsiaTheme="minorEastAsia"/>
          <w:lang w:eastAsia="zh-CN"/>
        </w:rPr>
        <w:t>Topic summary for [106bis-</w:t>
      </w:r>
      <w:proofErr w:type="gramStart"/>
      <w:r w:rsidRPr="00FA4CFA">
        <w:rPr>
          <w:rFonts w:eastAsiaTheme="minorEastAsia"/>
          <w:lang w:eastAsia="zh-CN"/>
        </w:rPr>
        <w:t>e][</w:t>
      </w:r>
      <w:proofErr w:type="gramEnd"/>
      <w:r w:rsidRPr="00FA4CFA">
        <w:rPr>
          <w:rFonts w:eastAsiaTheme="minorEastAsia"/>
          <w:lang w:eastAsia="zh-CN"/>
        </w:rPr>
        <w:t>203] FR2_multiRx_part2</w:t>
      </w:r>
    </w:p>
    <w:sectPr w:rsidR="007E6234" w:rsidRPr="000A18E6"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6649" w:rsidRDefault="00936649">
      <w:pPr>
        <w:spacing w:after="0"/>
      </w:pPr>
      <w:r>
        <w:separator/>
      </w:r>
    </w:p>
  </w:endnote>
  <w:endnote w:type="continuationSeparator" w:id="0">
    <w:p w:rsidR="00936649" w:rsidRDefault="009366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45BF">
      <w:rPr>
        <w:rStyle w:val="PageNumber"/>
      </w:rPr>
      <w:t>7</w:t>
    </w:r>
    <w:r>
      <w:rPr>
        <w:rStyle w:val="PageNumber"/>
      </w:rPr>
      <w:fldChar w:fldCharType="end"/>
    </w:r>
  </w:p>
  <w:p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6649" w:rsidRDefault="00936649">
      <w:pPr>
        <w:spacing w:after="0"/>
      </w:pPr>
      <w:r>
        <w:separator/>
      </w:r>
    </w:p>
  </w:footnote>
  <w:footnote w:type="continuationSeparator" w:id="0">
    <w:p w:rsidR="00936649" w:rsidRDefault="009366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BD7F29"/>
    <w:multiLevelType w:val="hybridMultilevel"/>
    <w:tmpl w:val="3466B00E"/>
    <w:lvl w:ilvl="0" w:tplc="46D2552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75B3CE8"/>
    <w:multiLevelType w:val="hybridMultilevel"/>
    <w:tmpl w:val="A86CC972"/>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32DF5"/>
    <w:multiLevelType w:val="hybridMultilevel"/>
    <w:tmpl w:val="9A902908"/>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3F402D1"/>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C1E3466"/>
    <w:multiLevelType w:val="hybridMultilevel"/>
    <w:tmpl w:val="C436D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9E95648"/>
    <w:multiLevelType w:val="hybridMultilevel"/>
    <w:tmpl w:val="B39C1A7C"/>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D267184"/>
    <w:multiLevelType w:val="hybridMultilevel"/>
    <w:tmpl w:val="6E16BC90"/>
    <w:lvl w:ilvl="0" w:tplc="21A871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6"/>
  </w:num>
  <w:num w:numId="2">
    <w:abstractNumId w:val="25"/>
  </w:num>
  <w:num w:numId="3">
    <w:abstractNumId w:val="13"/>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17"/>
    <w:lvlOverride w:ilvl="0">
      <w:startOverride w:val="1"/>
    </w:lvlOverride>
    <w:lvlOverride w:ilvl="1"/>
    <w:lvlOverride w:ilvl="2"/>
    <w:lvlOverride w:ilvl="3"/>
    <w:lvlOverride w:ilvl="4"/>
    <w:lvlOverride w:ilvl="5"/>
    <w:lvlOverride w:ilvl="6"/>
    <w:lvlOverride w:ilvl="7"/>
    <w:lvlOverride w:ilvl="8"/>
  </w:num>
  <w:num w:numId="6">
    <w:abstractNumId w:val="14"/>
  </w:num>
  <w:num w:numId="7">
    <w:abstractNumId w:val="3"/>
  </w:num>
  <w:num w:numId="8">
    <w:abstractNumId w:val="5"/>
  </w:num>
  <w:num w:numId="9">
    <w:abstractNumId w:val="19"/>
  </w:num>
  <w:num w:numId="10">
    <w:abstractNumId w:val="2"/>
  </w:num>
  <w:num w:numId="11">
    <w:abstractNumId w:val="0"/>
  </w:num>
  <w:num w:numId="12">
    <w:abstractNumId w:val="10"/>
  </w:num>
  <w:num w:numId="13">
    <w:abstractNumId w:val="12"/>
  </w:num>
  <w:num w:numId="14">
    <w:abstractNumId w:val="17"/>
  </w:num>
  <w:num w:numId="15">
    <w:abstractNumId w:val="18"/>
  </w:num>
  <w:num w:numId="16">
    <w:abstractNumId w:val="13"/>
  </w:num>
  <w:num w:numId="17">
    <w:abstractNumId w:val="21"/>
  </w:num>
  <w:num w:numId="18">
    <w:abstractNumId w:val="8"/>
  </w:num>
  <w:num w:numId="19">
    <w:abstractNumId w:val="1"/>
  </w:num>
  <w:num w:numId="20">
    <w:abstractNumId w:val="24"/>
  </w:num>
  <w:num w:numId="21">
    <w:abstractNumId w:val="7"/>
  </w:num>
  <w:num w:numId="22">
    <w:abstractNumId w:val="9"/>
  </w:num>
  <w:num w:numId="23">
    <w:abstractNumId w:val="23"/>
  </w:num>
  <w:num w:numId="24">
    <w:abstractNumId w:val="26"/>
  </w:num>
  <w:num w:numId="25">
    <w:abstractNumId w:val="4"/>
  </w:num>
  <w:num w:numId="26">
    <w:abstractNumId w:val="20"/>
  </w:num>
  <w:num w:numId="27">
    <w:abstractNumId w:val="11"/>
  </w:num>
  <w:num w:numId="28">
    <w:abstractNumId w:val="22"/>
  </w:num>
  <w:num w:numId="29">
    <w:abstractNumId w:val="16"/>
  </w:num>
  <w:num w:numId="3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3EC2"/>
    <w:rsid w:val="00010F18"/>
    <w:rsid w:val="000131D4"/>
    <w:rsid w:val="000141FA"/>
    <w:rsid w:val="00025036"/>
    <w:rsid w:val="000344E2"/>
    <w:rsid w:val="00035B7C"/>
    <w:rsid w:val="00035D42"/>
    <w:rsid w:val="00035D9A"/>
    <w:rsid w:val="00036C01"/>
    <w:rsid w:val="00040779"/>
    <w:rsid w:val="0004356B"/>
    <w:rsid w:val="0004558E"/>
    <w:rsid w:val="00046153"/>
    <w:rsid w:val="00046547"/>
    <w:rsid w:val="0005414E"/>
    <w:rsid w:val="00055B5D"/>
    <w:rsid w:val="00061B7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18E6"/>
    <w:rsid w:val="000A2ED7"/>
    <w:rsid w:val="000A4BCB"/>
    <w:rsid w:val="000A5097"/>
    <w:rsid w:val="000A6976"/>
    <w:rsid w:val="000A7A19"/>
    <w:rsid w:val="000B15EC"/>
    <w:rsid w:val="000B1D91"/>
    <w:rsid w:val="000B5083"/>
    <w:rsid w:val="000B5E55"/>
    <w:rsid w:val="000B707B"/>
    <w:rsid w:val="000C2147"/>
    <w:rsid w:val="000C3708"/>
    <w:rsid w:val="000D0E73"/>
    <w:rsid w:val="000D2930"/>
    <w:rsid w:val="000D4EE8"/>
    <w:rsid w:val="000D59F6"/>
    <w:rsid w:val="000D6B9B"/>
    <w:rsid w:val="000E0A8A"/>
    <w:rsid w:val="000E2C03"/>
    <w:rsid w:val="000F04C6"/>
    <w:rsid w:val="000F39EE"/>
    <w:rsid w:val="000F4F43"/>
    <w:rsid w:val="000F7DE7"/>
    <w:rsid w:val="000F7E9B"/>
    <w:rsid w:val="0010016B"/>
    <w:rsid w:val="00100360"/>
    <w:rsid w:val="0010262D"/>
    <w:rsid w:val="00103DF5"/>
    <w:rsid w:val="00104362"/>
    <w:rsid w:val="0010779F"/>
    <w:rsid w:val="00107AF6"/>
    <w:rsid w:val="00110BAD"/>
    <w:rsid w:val="00110D4A"/>
    <w:rsid w:val="0011207E"/>
    <w:rsid w:val="001125B8"/>
    <w:rsid w:val="001137CA"/>
    <w:rsid w:val="001230FF"/>
    <w:rsid w:val="001241FC"/>
    <w:rsid w:val="00124231"/>
    <w:rsid w:val="00127EDD"/>
    <w:rsid w:val="001328F2"/>
    <w:rsid w:val="00132B63"/>
    <w:rsid w:val="00133BA3"/>
    <w:rsid w:val="001343DA"/>
    <w:rsid w:val="001365E9"/>
    <w:rsid w:val="00137FA2"/>
    <w:rsid w:val="001406A8"/>
    <w:rsid w:val="0014128A"/>
    <w:rsid w:val="00141870"/>
    <w:rsid w:val="001435CB"/>
    <w:rsid w:val="00151949"/>
    <w:rsid w:val="00152334"/>
    <w:rsid w:val="001531EC"/>
    <w:rsid w:val="001537D7"/>
    <w:rsid w:val="00153CFF"/>
    <w:rsid w:val="001616BF"/>
    <w:rsid w:val="00161981"/>
    <w:rsid w:val="00163724"/>
    <w:rsid w:val="00165992"/>
    <w:rsid w:val="001734E7"/>
    <w:rsid w:val="00175B04"/>
    <w:rsid w:val="0017747E"/>
    <w:rsid w:val="0018314E"/>
    <w:rsid w:val="00184719"/>
    <w:rsid w:val="0019343D"/>
    <w:rsid w:val="0019631A"/>
    <w:rsid w:val="00197964"/>
    <w:rsid w:val="001A0A8D"/>
    <w:rsid w:val="001A1E7C"/>
    <w:rsid w:val="001A4FAB"/>
    <w:rsid w:val="001C2A8C"/>
    <w:rsid w:val="001C4240"/>
    <w:rsid w:val="001C5D98"/>
    <w:rsid w:val="001D04A9"/>
    <w:rsid w:val="001D154C"/>
    <w:rsid w:val="001D3006"/>
    <w:rsid w:val="001E17E6"/>
    <w:rsid w:val="001E24D0"/>
    <w:rsid w:val="001E7174"/>
    <w:rsid w:val="001F10A3"/>
    <w:rsid w:val="001F299A"/>
    <w:rsid w:val="001F5805"/>
    <w:rsid w:val="0020000C"/>
    <w:rsid w:val="002000BB"/>
    <w:rsid w:val="0020033A"/>
    <w:rsid w:val="00203D3C"/>
    <w:rsid w:val="00207FF4"/>
    <w:rsid w:val="002121C3"/>
    <w:rsid w:val="00216AAB"/>
    <w:rsid w:val="00217770"/>
    <w:rsid w:val="002204E2"/>
    <w:rsid w:val="002221AC"/>
    <w:rsid w:val="00222A85"/>
    <w:rsid w:val="00222AF7"/>
    <w:rsid w:val="00222EFC"/>
    <w:rsid w:val="00223252"/>
    <w:rsid w:val="0022472B"/>
    <w:rsid w:val="00224857"/>
    <w:rsid w:val="00232120"/>
    <w:rsid w:val="002328DD"/>
    <w:rsid w:val="00234AA1"/>
    <w:rsid w:val="00243552"/>
    <w:rsid w:val="00243BFC"/>
    <w:rsid w:val="002454B4"/>
    <w:rsid w:val="00245810"/>
    <w:rsid w:val="00254F38"/>
    <w:rsid w:val="00255B7C"/>
    <w:rsid w:val="00267D3F"/>
    <w:rsid w:val="00272F1F"/>
    <w:rsid w:val="0027365E"/>
    <w:rsid w:val="002736F0"/>
    <w:rsid w:val="00282D3C"/>
    <w:rsid w:val="002908B4"/>
    <w:rsid w:val="00294B79"/>
    <w:rsid w:val="00295B96"/>
    <w:rsid w:val="00297090"/>
    <w:rsid w:val="002978A7"/>
    <w:rsid w:val="002A0BB1"/>
    <w:rsid w:val="002A235C"/>
    <w:rsid w:val="002A2EF8"/>
    <w:rsid w:val="002A45BF"/>
    <w:rsid w:val="002A5E54"/>
    <w:rsid w:val="002A677B"/>
    <w:rsid w:val="002B45C3"/>
    <w:rsid w:val="002B6FD5"/>
    <w:rsid w:val="002B741C"/>
    <w:rsid w:val="002D2FA8"/>
    <w:rsid w:val="002E109C"/>
    <w:rsid w:val="002E3A74"/>
    <w:rsid w:val="002E3BDF"/>
    <w:rsid w:val="002E668C"/>
    <w:rsid w:val="002F0031"/>
    <w:rsid w:val="002F00F2"/>
    <w:rsid w:val="002F367C"/>
    <w:rsid w:val="002F579F"/>
    <w:rsid w:val="002F7A50"/>
    <w:rsid w:val="00302432"/>
    <w:rsid w:val="003069D8"/>
    <w:rsid w:val="00311008"/>
    <w:rsid w:val="00311CF9"/>
    <w:rsid w:val="003158EC"/>
    <w:rsid w:val="00321181"/>
    <w:rsid w:val="00323702"/>
    <w:rsid w:val="003356E3"/>
    <w:rsid w:val="00336939"/>
    <w:rsid w:val="003422A4"/>
    <w:rsid w:val="00350BBF"/>
    <w:rsid w:val="00352697"/>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0B24"/>
    <w:rsid w:val="003C6DC4"/>
    <w:rsid w:val="003D6F09"/>
    <w:rsid w:val="003D77C1"/>
    <w:rsid w:val="003E097F"/>
    <w:rsid w:val="003E6285"/>
    <w:rsid w:val="003E7C96"/>
    <w:rsid w:val="003F0F9F"/>
    <w:rsid w:val="003F3AAF"/>
    <w:rsid w:val="003F4698"/>
    <w:rsid w:val="003F5124"/>
    <w:rsid w:val="003F762D"/>
    <w:rsid w:val="00401473"/>
    <w:rsid w:val="00407924"/>
    <w:rsid w:val="004118D3"/>
    <w:rsid w:val="00414C52"/>
    <w:rsid w:val="00415933"/>
    <w:rsid w:val="00423683"/>
    <w:rsid w:val="00423FB0"/>
    <w:rsid w:val="004273E7"/>
    <w:rsid w:val="00430B22"/>
    <w:rsid w:val="00430F24"/>
    <w:rsid w:val="00433560"/>
    <w:rsid w:val="00435D65"/>
    <w:rsid w:val="00435EBD"/>
    <w:rsid w:val="00451B80"/>
    <w:rsid w:val="00455FD0"/>
    <w:rsid w:val="004569BB"/>
    <w:rsid w:val="00465349"/>
    <w:rsid w:val="00466D02"/>
    <w:rsid w:val="00476163"/>
    <w:rsid w:val="00477263"/>
    <w:rsid w:val="00485549"/>
    <w:rsid w:val="0049501A"/>
    <w:rsid w:val="004A0F19"/>
    <w:rsid w:val="004A29B2"/>
    <w:rsid w:val="004A678E"/>
    <w:rsid w:val="004A7CF2"/>
    <w:rsid w:val="004A7F44"/>
    <w:rsid w:val="004B1ECE"/>
    <w:rsid w:val="004B4633"/>
    <w:rsid w:val="004C11F4"/>
    <w:rsid w:val="004C4868"/>
    <w:rsid w:val="004D1895"/>
    <w:rsid w:val="004D3C97"/>
    <w:rsid w:val="004D5EAE"/>
    <w:rsid w:val="004E11E4"/>
    <w:rsid w:val="004E3732"/>
    <w:rsid w:val="004E5D51"/>
    <w:rsid w:val="004F0167"/>
    <w:rsid w:val="004F16EA"/>
    <w:rsid w:val="004F344B"/>
    <w:rsid w:val="00501A1D"/>
    <w:rsid w:val="005025E0"/>
    <w:rsid w:val="00502991"/>
    <w:rsid w:val="00505B5F"/>
    <w:rsid w:val="00506CFB"/>
    <w:rsid w:val="00513ECE"/>
    <w:rsid w:val="00514A5F"/>
    <w:rsid w:val="0052002B"/>
    <w:rsid w:val="005235DB"/>
    <w:rsid w:val="00526B85"/>
    <w:rsid w:val="005279BE"/>
    <w:rsid w:val="00527DD4"/>
    <w:rsid w:val="00530DAB"/>
    <w:rsid w:val="00530EB0"/>
    <w:rsid w:val="00533C4E"/>
    <w:rsid w:val="005347EA"/>
    <w:rsid w:val="005375AA"/>
    <w:rsid w:val="005409B9"/>
    <w:rsid w:val="00545EC2"/>
    <w:rsid w:val="0054734A"/>
    <w:rsid w:val="00552174"/>
    <w:rsid w:val="005546D8"/>
    <w:rsid w:val="00554F88"/>
    <w:rsid w:val="005567E5"/>
    <w:rsid w:val="00557527"/>
    <w:rsid w:val="005730CC"/>
    <w:rsid w:val="005755A4"/>
    <w:rsid w:val="005763DF"/>
    <w:rsid w:val="00580489"/>
    <w:rsid w:val="00582652"/>
    <w:rsid w:val="005906DB"/>
    <w:rsid w:val="005943F8"/>
    <w:rsid w:val="00596DC0"/>
    <w:rsid w:val="005A2A55"/>
    <w:rsid w:val="005A2C70"/>
    <w:rsid w:val="005A33C9"/>
    <w:rsid w:val="005A3C87"/>
    <w:rsid w:val="005A456B"/>
    <w:rsid w:val="005A72A7"/>
    <w:rsid w:val="005B0D68"/>
    <w:rsid w:val="005B6053"/>
    <w:rsid w:val="005C337F"/>
    <w:rsid w:val="005D15A2"/>
    <w:rsid w:val="005D231A"/>
    <w:rsid w:val="005D3DC0"/>
    <w:rsid w:val="005D5C5B"/>
    <w:rsid w:val="005D6BEF"/>
    <w:rsid w:val="005E29AA"/>
    <w:rsid w:val="005E4CCD"/>
    <w:rsid w:val="005F5231"/>
    <w:rsid w:val="005F74CF"/>
    <w:rsid w:val="006014ED"/>
    <w:rsid w:val="00604490"/>
    <w:rsid w:val="00604A0B"/>
    <w:rsid w:val="0060650F"/>
    <w:rsid w:val="00607CE8"/>
    <w:rsid w:val="0061333C"/>
    <w:rsid w:val="00615073"/>
    <w:rsid w:val="00616123"/>
    <w:rsid w:val="0061679F"/>
    <w:rsid w:val="006221E4"/>
    <w:rsid w:val="00622EBC"/>
    <w:rsid w:val="00622FBA"/>
    <w:rsid w:val="00625728"/>
    <w:rsid w:val="00627A7A"/>
    <w:rsid w:val="00631564"/>
    <w:rsid w:val="00637A49"/>
    <w:rsid w:val="006420CE"/>
    <w:rsid w:val="006451D8"/>
    <w:rsid w:val="006538FE"/>
    <w:rsid w:val="0065634B"/>
    <w:rsid w:val="0066175E"/>
    <w:rsid w:val="006617B8"/>
    <w:rsid w:val="0066186B"/>
    <w:rsid w:val="00664D04"/>
    <w:rsid w:val="0067220D"/>
    <w:rsid w:val="00672FCE"/>
    <w:rsid w:val="006769A2"/>
    <w:rsid w:val="00677991"/>
    <w:rsid w:val="00681F59"/>
    <w:rsid w:val="00683534"/>
    <w:rsid w:val="006901CA"/>
    <w:rsid w:val="00692A74"/>
    <w:rsid w:val="0069341E"/>
    <w:rsid w:val="006A68E5"/>
    <w:rsid w:val="006A7936"/>
    <w:rsid w:val="006A7B70"/>
    <w:rsid w:val="006B0875"/>
    <w:rsid w:val="006B121C"/>
    <w:rsid w:val="006B21AC"/>
    <w:rsid w:val="006B2B9B"/>
    <w:rsid w:val="006B637D"/>
    <w:rsid w:val="006B6CFE"/>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04B2"/>
    <w:rsid w:val="00723883"/>
    <w:rsid w:val="00732D90"/>
    <w:rsid w:val="007334B6"/>
    <w:rsid w:val="00734B34"/>
    <w:rsid w:val="00736D84"/>
    <w:rsid w:val="00737D76"/>
    <w:rsid w:val="007412AE"/>
    <w:rsid w:val="0074269F"/>
    <w:rsid w:val="00747E92"/>
    <w:rsid w:val="00751E52"/>
    <w:rsid w:val="00763067"/>
    <w:rsid w:val="00763EF7"/>
    <w:rsid w:val="00766048"/>
    <w:rsid w:val="007711B8"/>
    <w:rsid w:val="0077159B"/>
    <w:rsid w:val="00771E1C"/>
    <w:rsid w:val="00774046"/>
    <w:rsid w:val="0077456D"/>
    <w:rsid w:val="00780812"/>
    <w:rsid w:val="007825B4"/>
    <w:rsid w:val="00782C5D"/>
    <w:rsid w:val="00784099"/>
    <w:rsid w:val="0078544A"/>
    <w:rsid w:val="00786C50"/>
    <w:rsid w:val="007902A8"/>
    <w:rsid w:val="00793CB2"/>
    <w:rsid w:val="007A103E"/>
    <w:rsid w:val="007A336E"/>
    <w:rsid w:val="007A37DA"/>
    <w:rsid w:val="007A4473"/>
    <w:rsid w:val="007A52D1"/>
    <w:rsid w:val="007A535E"/>
    <w:rsid w:val="007A6ED4"/>
    <w:rsid w:val="007A793C"/>
    <w:rsid w:val="007A7C34"/>
    <w:rsid w:val="007B119C"/>
    <w:rsid w:val="007B18BC"/>
    <w:rsid w:val="007B3DC0"/>
    <w:rsid w:val="007B57F3"/>
    <w:rsid w:val="007B7B6A"/>
    <w:rsid w:val="007C0D2E"/>
    <w:rsid w:val="007C5B24"/>
    <w:rsid w:val="007C6127"/>
    <w:rsid w:val="007D0DF7"/>
    <w:rsid w:val="007D2DFC"/>
    <w:rsid w:val="007D3409"/>
    <w:rsid w:val="007D58F5"/>
    <w:rsid w:val="007E1DD2"/>
    <w:rsid w:val="007E2057"/>
    <w:rsid w:val="007E2E8A"/>
    <w:rsid w:val="007E423D"/>
    <w:rsid w:val="007E5F97"/>
    <w:rsid w:val="007E6234"/>
    <w:rsid w:val="007E67EC"/>
    <w:rsid w:val="007F045C"/>
    <w:rsid w:val="007F2371"/>
    <w:rsid w:val="007F2E6A"/>
    <w:rsid w:val="007F7E14"/>
    <w:rsid w:val="008001CA"/>
    <w:rsid w:val="00804945"/>
    <w:rsid w:val="008066EC"/>
    <w:rsid w:val="00814B83"/>
    <w:rsid w:val="00815434"/>
    <w:rsid w:val="008175BA"/>
    <w:rsid w:val="0082050A"/>
    <w:rsid w:val="008218EE"/>
    <w:rsid w:val="00821B76"/>
    <w:rsid w:val="00826A80"/>
    <w:rsid w:val="00826D4C"/>
    <w:rsid w:val="00831C20"/>
    <w:rsid w:val="00835745"/>
    <w:rsid w:val="00835F67"/>
    <w:rsid w:val="00836937"/>
    <w:rsid w:val="00836C28"/>
    <w:rsid w:val="008408E7"/>
    <w:rsid w:val="00840E09"/>
    <w:rsid w:val="00841386"/>
    <w:rsid w:val="008446CE"/>
    <w:rsid w:val="00846AD9"/>
    <w:rsid w:val="00851458"/>
    <w:rsid w:val="008516EA"/>
    <w:rsid w:val="00852630"/>
    <w:rsid w:val="0086032B"/>
    <w:rsid w:val="00861078"/>
    <w:rsid w:val="008708B9"/>
    <w:rsid w:val="0087326D"/>
    <w:rsid w:val="00873C1C"/>
    <w:rsid w:val="00873F55"/>
    <w:rsid w:val="00874D51"/>
    <w:rsid w:val="008766C3"/>
    <w:rsid w:val="00885469"/>
    <w:rsid w:val="008908B3"/>
    <w:rsid w:val="008921D4"/>
    <w:rsid w:val="008924AB"/>
    <w:rsid w:val="00892EAE"/>
    <w:rsid w:val="00893C66"/>
    <w:rsid w:val="00895188"/>
    <w:rsid w:val="00896C58"/>
    <w:rsid w:val="008A1C4E"/>
    <w:rsid w:val="008A1C99"/>
    <w:rsid w:val="008A2B76"/>
    <w:rsid w:val="008A4FA1"/>
    <w:rsid w:val="008A6285"/>
    <w:rsid w:val="008B2102"/>
    <w:rsid w:val="008B332C"/>
    <w:rsid w:val="008B367C"/>
    <w:rsid w:val="008B3970"/>
    <w:rsid w:val="008B4341"/>
    <w:rsid w:val="008B4540"/>
    <w:rsid w:val="008B4A2C"/>
    <w:rsid w:val="008B4C78"/>
    <w:rsid w:val="008B4F73"/>
    <w:rsid w:val="008B7660"/>
    <w:rsid w:val="008C31D2"/>
    <w:rsid w:val="008C398B"/>
    <w:rsid w:val="008C4172"/>
    <w:rsid w:val="008D2D3D"/>
    <w:rsid w:val="008D55C5"/>
    <w:rsid w:val="008E0E4D"/>
    <w:rsid w:val="008E1CAE"/>
    <w:rsid w:val="008E2591"/>
    <w:rsid w:val="008E446A"/>
    <w:rsid w:val="008E5C09"/>
    <w:rsid w:val="008E611B"/>
    <w:rsid w:val="008E79C6"/>
    <w:rsid w:val="008F37CA"/>
    <w:rsid w:val="008F4CD0"/>
    <w:rsid w:val="008F67CF"/>
    <w:rsid w:val="008F6FDB"/>
    <w:rsid w:val="00904C87"/>
    <w:rsid w:val="0090797C"/>
    <w:rsid w:val="009118FA"/>
    <w:rsid w:val="00914A03"/>
    <w:rsid w:val="00915DEA"/>
    <w:rsid w:val="00916660"/>
    <w:rsid w:val="009201A3"/>
    <w:rsid w:val="0092386A"/>
    <w:rsid w:val="00923CC3"/>
    <w:rsid w:val="0092433F"/>
    <w:rsid w:val="00925AD1"/>
    <w:rsid w:val="00931830"/>
    <w:rsid w:val="009333B5"/>
    <w:rsid w:val="00934420"/>
    <w:rsid w:val="00936649"/>
    <w:rsid w:val="009414B9"/>
    <w:rsid w:val="009424DF"/>
    <w:rsid w:val="009450D8"/>
    <w:rsid w:val="009524AD"/>
    <w:rsid w:val="009549C4"/>
    <w:rsid w:val="00957098"/>
    <w:rsid w:val="009660E3"/>
    <w:rsid w:val="00970502"/>
    <w:rsid w:val="009708D0"/>
    <w:rsid w:val="00970D17"/>
    <w:rsid w:val="00972D26"/>
    <w:rsid w:val="00973C4C"/>
    <w:rsid w:val="00974A3B"/>
    <w:rsid w:val="00976156"/>
    <w:rsid w:val="009814D6"/>
    <w:rsid w:val="0099102E"/>
    <w:rsid w:val="009968CF"/>
    <w:rsid w:val="009A1A98"/>
    <w:rsid w:val="009A355B"/>
    <w:rsid w:val="009A5118"/>
    <w:rsid w:val="009A5F4B"/>
    <w:rsid w:val="009B4716"/>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0CE6"/>
    <w:rsid w:val="009F583E"/>
    <w:rsid w:val="009F7F10"/>
    <w:rsid w:val="00A00597"/>
    <w:rsid w:val="00A0093B"/>
    <w:rsid w:val="00A12052"/>
    <w:rsid w:val="00A1597D"/>
    <w:rsid w:val="00A22790"/>
    <w:rsid w:val="00A25160"/>
    <w:rsid w:val="00A26AB0"/>
    <w:rsid w:val="00A26C29"/>
    <w:rsid w:val="00A33A5B"/>
    <w:rsid w:val="00A34913"/>
    <w:rsid w:val="00A35F07"/>
    <w:rsid w:val="00A36D03"/>
    <w:rsid w:val="00A42E3A"/>
    <w:rsid w:val="00A43D0D"/>
    <w:rsid w:val="00A558AB"/>
    <w:rsid w:val="00A622F7"/>
    <w:rsid w:val="00A63AF5"/>
    <w:rsid w:val="00A645AF"/>
    <w:rsid w:val="00A657C7"/>
    <w:rsid w:val="00A6641B"/>
    <w:rsid w:val="00A70DC6"/>
    <w:rsid w:val="00A7739E"/>
    <w:rsid w:val="00A777D8"/>
    <w:rsid w:val="00A8310C"/>
    <w:rsid w:val="00A848D0"/>
    <w:rsid w:val="00A86270"/>
    <w:rsid w:val="00A87084"/>
    <w:rsid w:val="00A91F9C"/>
    <w:rsid w:val="00A92772"/>
    <w:rsid w:val="00A93E0D"/>
    <w:rsid w:val="00A946E4"/>
    <w:rsid w:val="00AA17A8"/>
    <w:rsid w:val="00AA31F0"/>
    <w:rsid w:val="00AB1128"/>
    <w:rsid w:val="00AB319F"/>
    <w:rsid w:val="00AC2317"/>
    <w:rsid w:val="00AC2A59"/>
    <w:rsid w:val="00AC2C97"/>
    <w:rsid w:val="00AC2CD4"/>
    <w:rsid w:val="00AC5A47"/>
    <w:rsid w:val="00AC7A7B"/>
    <w:rsid w:val="00AC7EBA"/>
    <w:rsid w:val="00AD0679"/>
    <w:rsid w:val="00AD3837"/>
    <w:rsid w:val="00AD3C5D"/>
    <w:rsid w:val="00AD65F4"/>
    <w:rsid w:val="00AD69AA"/>
    <w:rsid w:val="00AE1670"/>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277D5"/>
    <w:rsid w:val="00B343A3"/>
    <w:rsid w:val="00B419DE"/>
    <w:rsid w:val="00B41E6D"/>
    <w:rsid w:val="00B450D5"/>
    <w:rsid w:val="00B46C73"/>
    <w:rsid w:val="00B51F58"/>
    <w:rsid w:val="00B54E66"/>
    <w:rsid w:val="00B55463"/>
    <w:rsid w:val="00B56E67"/>
    <w:rsid w:val="00B57381"/>
    <w:rsid w:val="00B60998"/>
    <w:rsid w:val="00B643A4"/>
    <w:rsid w:val="00B6730C"/>
    <w:rsid w:val="00B71C35"/>
    <w:rsid w:val="00B72BEC"/>
    <w:rsid w:val="00B735F6"/>
    <w:rsid w:val="00B73A82"/>
    <w:rsid w:val="00B76F4D"/>
    <w:rsid w:val="00B77412"/>
    <w:rsid w:val="00B77752"/>
    <w:rsid w:val="00B83BC0"/>
    <w:rsid w:val="00B87A6F"/>
    <w:rsid w:val="00B91712"/>
    <w:rsid w:val="00B92509"/>
    <w:rsid w:val="00BA0FB3"/>
    <w:rsid w:val="00BA367C"/>
    <w:rsid w:val="00BA4C0A"/>
    <w:rsid w:val="00BB2A32"/>
    <w:rsid w:val="00BB6484"/>
    <w:rsid w:val="00BB6D7D"/>
    <w:rsid w:val="00BC24F8"/>
    <w:rsid w:val="00BC3920"/>
    <w:rsid w:val="00BC47AB"/>
    <w:rsid w:val="00BD0D7C"/>
    <w:rsid w:val="00BD2AB1"/>
    <w:rsid w:val="00BD3A7F"/>
    <w:rsid w:val="00BE09C1"/>
    <w:rsid w:val="00BE194F"/>
    <w:rsid w:val="00BE1FD4"/>
    <w:rsid w:val="00BE512F"/>
    <w:rsid w:val="00BE5410"/>
    <w:rsid w:val="00BE60AF"/>
    <w:rsid w:val="00BE677A"/>
    <w:rsid w:val="00BE6A2E"/>
    <w:rsid w:val="00BF00A7"/>
    <w:rsid w:val="00BF0C46"/>
    <w:rsid w:val="00BF136F"/>
    <w:rsid w:val="00BF33D9"/>
    <w:rsid w:val="00C00BE2"/>
    <w:rsid w:val="00C015C5"/>
    <w:rsid w:val="00C075BD"/>
    <w:rsid w:val="00C105AD"/>
    <w:rsid w:val="00C11B10"/>
    <w:rsid w:val="00C12EA5"/>
    <w:rsid w:val="00C15E40"/>
    <w:rsid w:val="00C161BE"/>
    <w:rsid w:val="00C308C1"/>
    <w:rsid w:val="00C338CA"/>
    <w:rsid w:val="00C35CB3"/>
    <w:rsid w:val="00C41E6E"/>
    <w:rsid w:val="00C43B62"/>
    <w:rsid w:val="00C50A0A"/>
    <w:rsid w:val="00C51B61"/>
    <w:rsid w:val="00C572D7"/>
    <w:rsid w:val="00C60016"/>
    <w:rsid w:val="00C6099D"/>
    <w:rsid w:val="00C638D8"/>
    <w:rsid w:val="00C63D6B"/>
    <w:rsid w:val="00C64128"/>
    <w:rsid w:val="00C710B7"/>
    <w:rsid w:val="00C71798"/>
    <w:rsid w:val="00C73515"/>
    <w:rsid w:val="00C74442"/>
    <w:rsid w:val="00C754BC"/>
    <w:rsid w:val="00C76E52"/>
    <w:rsid w:val="00C83525"/>
    <w:rsid w:val="00C943F5"/>
    <w:rsid w:val="00C95356"/>
    <w:rsid w:val="00CA1729"/>
    <w:rsid w:val="00CA1984"/>
    <w:rsid w:val="00CA1DAE"/>
    <w:rsid w:val="00CA234E"/>
    <w:rsid w:val="00CA7429"/>
    <w:rsid w:val="00CB3A23"/>
    <w:rsid w:val="00CB441D"/>
    <w:rsid w:val="00CB6216"/>
    <w:rsid w:val="00CC09A6"/>
    <w:rsid w:val="00CC150E"/>
    <w:rsid w:val="00CC3973"/>
    <w:rsid w:val="00CC4578"/>
    <w:rsid w:val="00CC5C60"/>
    <w:rsid w:val="00CD0284"/>
    <w:rsid w:val="00CD0A91"/>
    <w:rsid w:val="00CD160F"/>
    <w:rsid w:val="00CD1A9E"/>
    <w:rsid w:val="00CD3B4C"/>
    <w:rsid w:val="00CD4A65"/>
    <w:rsid w:val="00CD58CB"/>
    <w:rsid w:val="00CE0DA0"/>
    <w:rsid w:val="00CE477D"/>
    <w:rsid w:val="00CE4C08"/>
    <w:rsid w:val="00CF030B"/>
    <w:rsid w:val="00CF1B90"/>
    <w:rsid w:val="00CF1DFC"/>
    <w:rsid w:val="00CF2856"/>
    <w:rsid w:val="00CF4C8F"/>
    <w:rsid w:val="00CF5CE7"/>
    <w:rsid w:val="00CF5EF5"/>
    <w:rsid w:val="00CF7481"/>
    <w:rsid w:val="00CF7B16"/>
    <w:rsid w:val="00CF7EE3"/>
    <w:rsid w:val="00D0400B"/>
    <w:rsid w:val="00D0739E"/>
    <w:rsid w:val="00D13FC8"/>
    <w:rsid w:val="00D14E7C"/>
    <w:rsid w:val="00D223DC"/>
    <w:rsid w:val="00D26163"/>
    <w:rsid w:val="00D3442D"/>
    <w:rsid w:val="00D34F1B"/>
    <w:rsid w:val="00D35ED3"/>
    <w:rsid w:val="00D41D2D"/>
    <w:rsid w:val="00D463A3"/>
    <w:rsid w:val="00D46D47"/>
    <w:rsid w:val="00D47C8D"/>
    <w:rsid w:val="00D51833"/>
    <w:rsid w:val="00D55894"/>
    <w:rsid w:val="00D57BE5"/>
    <w:rsid w:val="00D67ABE"/>
    <w:rsid w:val="00D73373"/>
    <w:rsid w:val="00D74CA3"/>
    <w:rsid w:val="00D76666"/>
    <w:rsid w:val="00D828E1"/>
    <w:rsid w:val="00D8441F"/>
    <w:rsid w:val="00D84A46"/>
    <w:rsid w:val="00D850B9"/>
    <w:rsid w:val="00D8753F"/>
    <w:rsid w:val="00D90807"/>
    <w:rsid w:val="00D9196F"/>
    <w:rsid w:val="00D9498D"/>
    <w:rsid w:val="00D94E39"/>
    <w:rsid w:val="00D9789C"/>
    <w:rsid w:val="00DB10D2"/>
    <w:rsid w:val="00DB1DD4"/>
    <w:rsid w:val="00DB61B3"/>
    <w:rsid w:val="00DC49A6"/>
    <w:rsid w:val="00DD0915"/>
    <w:rsid w:val="00DD1DFF"/>
    <w:rsid w:val="00DD33CF"/>
    <w:rsid w:val="00DD5E5C"/>
    <w:rsid w:val="00DE3896"/>
    <w:rsid w:val="00DE4435"/>
    <w:rsid w:val="00DF0231"/>
    <w:rsid w:val="00DF6E96"/>
    <w:rsid w:val="00E035EA"/>
    <w:rsid w:val="00E04C43"/>
    <w:rsid w:val="00E11FA9"/>
    <w:rsid w:val="00E13E91"/>
    <w:rsid w:val="00E16040"/>
    <w:rsid w:val="00E16D37"/>
    <w:rsid w:val="00E17E17"/>
    <w:rsid w:val="00E17F78"/>
    <w:rsid w:val="00E20EBE"/>
    <w:rsid w:val="00E21B03"/>
    <w:rsid w:val="00E222F0"/>
    <w:rsid w:val="00E22D0F"/>
    <w:rsid w:val="00E26722"/>
    <w:rsid w:val="00E31284"/>
    <w:rsid w:val="00E32D68"/>
    <w:rsid w:val="00E34071"/>
    <w:rsid w:val="00E3534D"/>
    <w:rsid w:val="00E406F2"/>
    <w:rsid w:val="00E41266"/>
    <w:rsid w:val="00E415BA"/>
    <w:rsid w:val="00E42C77"/>
    <w:rsid w:val="00E470EC"/>
    <w:rsid w:val="00E54EE2"/>
    <w:rsid w:val="00E5666B"/>
    <w:rsid w:val="00E56EE6"/>
    <w:rsid w:val="00E577DD"/>
    <w:rsid w:val="00E60952"/>
    <w:rsid w:val="00E6587C"/>
    <w:rsid w:val="00E665DC"/>
    <w:rsid w:val="00E706B8"/>
    <w:rsid w:val="00E72064"/>
    <w:rsid w:val="00E76A71"/>
    <w:rsid w:val="00E82ED7"/>
    <w:rsid w:val="00E83483"/>
    <w:rsid w:val="00E85BF2"/>
    <w:rsid w:val="00E875BB"/>
    <w:rsid w:val="00E87674"/>
    <w:rsid w:val="00E91110"/>
    <w:rsid w:val="00E9184C"/>
    <w:rsid w:val="00E94DD3"/>
    <w:rsid w:val="00EA2254"/>
    <w:rsid w:val="00EA49BA"/>
    <w:rsid w:val="00EA4E79"/>
    <w:rsid w:val="00EA5149"/>
    <w:rsid w:val="00EB02DF"/>
    <w:rsid w:val="00EB2795"/>
    <w:rsid w:val="00EB7895"/>
    <w:rsid w:val="00EC2B9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C7A"/>
    <w:rsid w:val="00F34526"/>
    <w:rsid w:val="00F35BFA"/>
    <w:rsid w:val="00F413E7"/>
    <w:rsid w:val="00F42BFC"/>
    <w:rsid w:val="00F45711"/>
    <w:rsid w:val="00F4766A"/>
    <w:rsid w:val="00F50825"/>
    <w:rsid w:val="00F52FBD"/>
    <w:rsid w:val="00F52FE8"/>
    <w:rsid w:val="00F543C6"/>
    <w:rsid w:val="00F56F3E"/>
    <w:rsid w:val="00F5790A"/>
    <w:rsid w:val="00F609CD"/>
    <w:rsid w:val="00F610B6"/>
    <w:rsid w:val="00F61DAD"/>
    <w:rsid w:val="00F66108"/>
    <w:rsid w:val="00F72D98"/>
    <w:rsid w:val="00F76B81"/>
    <w:rsid w:val="00F778F3"/>
    <w:rsid w:val="00F83F8A"/>
    <w:rsid w:val="00F863C0"/>
    <w:rsid w:val="00F87DA1"/>
    <w:rsid w:val="00F941E7"/>
    <w:rsid w:val="00FA4943"/>
    <w:rsid w:val="00FA4CFA"/>
    <w:rsid w:val="00FB4DC9"/>
    <w:rsid w:val="00FB6BD9"/>
    <w:rsid w:val="00FC0544"/>
    <w:rsid w:val="00FC0F9D"/>
    <w:rsid w:val="00FC3492"/>
    <w:rsid w:val="00FD1CDD"/>
    <w:rsid w:val="00FD518E"/>
    <w:rsid w:val="00FE1A35"/>
    <w:rsid w:val="00FE5D0E"/>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121C3"/>
    <w:pPr>
      <w:keepNext/>
      <w:keepLines/>
      <w:spacing w:before="120" w:after="120"/>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121C3"/>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0376806">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F6A07-E9C3-4D90-AEB3-26473A0F0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16821</TotalTime>
  <Pages>6</Pages>
  <Words>2508</Words>
  <Characters>14296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378</cp:revision>
  <dcterms:created xsi:type="dcterms:W3CDTF">2019-09-18T02:52:00Z</dcterms:created>
  <dcterms:modified xsi:type="dcterms:W3CDTF">2023-05-15T11:54:00Z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(3)f/q3S1rW87HiY3X0Pj4kPGhR6CY4i2TG+OIW/jw+pMmLt+Kot+rvu1W3SJG5mKCEutvWjsVh
Z97sVVvs1Fhk+eSJEVmagaYKcLTLJJ56NqVV/u/czHo0lRVWL3p+H0awS7MS+X6Qq3Zzlggv
kjkBcQTR4ToxNnKP+LU4tH72BfpUssFRIhBr33NGhc/hkVFqVWzB7MjU0D6I/ts1x9rIN0Ag
R4fchvfnAKieU/LPBE</vt:lpwstr>
  </property>
  <property fmtid="{D5CDD505-2E9C-101B-9397-08002B2CF9AE}" pid="3" name="_2015_ms_pID_7253431">
    <vt:lpwstr>/XsSU7kKL8YcrHpPmCiQOx5zFh7n/a/AjqbQsSosN4bGC9mDgEDzwu
I0GasgVakX8w4SFtsgbPZOCS5YDtPbAsPUFehI+8rigDDOVntkw7cA5gGsKmTthgq8zFrB6Z
1ENyHIBdB9xRBZtYucmmFvpta4JmMI13S26akDWXiw+czGlsnzG+HICdrpu1wdgb9M36BOGy
xeBEUYyaWS2smI0L8oTG088Fx3v4VNrmLruc</vt:lpwstr>
  </property>
  <property fmtid="{D5CDD505-2E9C-101B-9397-08002B2CF9AE}" pid="4" name="_2015_ms_pID_7253432">
    <vt:lpwstr>J5TLldtgWUgAFa8JPo99ViU=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