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6C15E4" w14:textId="4AC9744E" w:rsidR="00AA6902" w:rsidRPr="00AA6902" w:rsidRDefault="00AA6902" w:rsidP="00AA6902">
      <w:pPr>
        <w:tabs>
          <w:tab w:val="left" w:pos="1980"/>
        </w:tabs>
        <w:spacing w:after="180"/>
        <w:ind w:left="1980" w:hanging="1980"/>
        <w:rPr>
          <w:rFonts w:ascii="Arial" w:eastAsia="MS Mincho" w:hAnsi="Arial" w:cs="Arial"/>
          <w:b/>
          <w:sz w:val="24"/>
          <w:szCs w:val="24"/>
          <w:lang w:eastAsia="en-US"/>
        </w:rPr>
      </w:pPr>
      <w:r w:rsidRPr="00AA6902">
        <w:rPr>
          <w:rFonts w:ascii="Arial" w:eastAsia="MS Mincho" w:hAnsi="Arial" w:cs="Arial"/>
          <w:b/>
          <w:sz w:val="24"/>
          <w:szCs w:val="24"/>
          <w:lang w:eastAsia="en-US"/>
        </w:rPr>
        <w:t>3GPP TSG-RAN4 Meeting #107</w:t>
      </w:r>
      <w:r w:rsidRPr="00AA6902">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sidRPr="00AA6902">
        <w:rPr>
          <w:rFonts w:ascii="Arial" w:eastAsia="MS Mincho" w:hAnsi="Arial" w:cs="Arial"/>
          <w:b/>
          <w:sz w:val="24"/>
          <w:szCs w:val="24"/>
          <w:lang w:eastAsia="en-US"/>
        </w:rPr>
        <w:t>R4-2308191</w:t>
      </w:r>
    </w:p>
    <w:p w14:paraId="1C4E250C" w14:textId="77777777" w:rsidR="00AA6902" w:rsidRDefault="00AA6902" w:rsidP="00AA6902">
      <w:pPr>
        <w:tabs>
          <w:tab w:val="left" w:pos="1980"/>
        </w:tabs>
        <w:spacing w:after="180"/>
        <w:ind w:left="1980" w:hanging="1980"/>
        <w:rPr>
          <w:rFonts w:ascii="Arial" w:eastAsia="MS Mincho" w:hAnsi="Arial" w:cs="Arial"/>
          <w:b/>
          <w:sz w:val="24"/>
          <w:szCs w:val="24"/>
          <w:lang w:eastAsia="en-US"/>
        </w:rPr>
      </w:pPr>
      <w:r w:rsidRPr="00AA6902">
        <w:rPr>
          <w:rFonts w:ascii="Arial" w:eastAsia="MS Mincho" w:hAnsi="Arial" w:cs="Arial"/>
          <w:b/>
          <w:sz w:val="24"/>
          <w:szCs w:val="24"/>
          <w:lang w:eastAsia="en-US"/>
        </w:rPr>
        <w:t>Incheon, Korea (Republic Of), 22nd May 2023 - 26th May 2023</w:t>
      </w:r>
    </w:p>
    <w:p w14:paraId="28C12A13" w14:textId="743B4154" w:rsidR="00B96AF4" w:rsidRDefault="00E017E1" w:rsidP="00AA6902">
      <w:pPr>
        <w:tabs>
          <w:tab w:val="left" w:pos="1980"/>
        </w:tabs>
        <w:spacing w:after="180"/>
        <w:ind w:left="1980" w:hanging="1980"/>
        <w:rPr>
          <w:rFonts w:ascii="Arial" w:eastAsia="MS Mincho" w:hAnsi="Arial" w:cs="Arial"/>
          <w:b/>
          <w:sz w:val="24"/>
          <w:szCs w:val="24"/>
          <w:lang w:eastAsia="en-US"/>
        </w:rPr>
      </w:pPr>
      <w:r w:rsidRPr="00C41313">
        <w:rPr>
          <w:rFonts w:ascii="Arial" w:eastAsia="MS Mincho" w:hAnsi="Arial" w:cs="Arial"/>
          <w:b/>
          <w:sz w:val="24"/>
          <w:szCs w:val="24"/>
          <w:lang w:eastAsia="en-US"/>
        </w:rPr>
        <w:t>Agenda item:</w:t>
      </w:r>
      <w:r w:rsidRPr="00C41313">
        <w:rPr>
          <w:rFonts w:ascii="Arial" w:eastAsia="MS Mincho" w:hAnsi="Arial" w:cs="Arial"/>
          <w:b/>
          <w:sz w:val="24"/>
          <w:szCs w:val="24"/>
          <w:lang w:eastAsia="en-US"/>
        </w:rPr>
        <w:tab/>
      </w:r>
      <w:r w:rsidR="00A47A0F" w:rsidRPr="00A47A0F">
        <w:rPr>
          <w:rFonts w:ascii="Arial" w:eastAsia="MS Mincho" w:hAnsi="Arial" w:cs="Arial"/>
          <w:b/>
          <w:sz w:val="24"/>
          <w:szCs w:val="24"/>
          <w:lang w:eastAsia="en-US"/>
        </w:rPr>
        <w:t>8.14.1.3</w:t>
      </w:r>
    </w:p>
    <w:p w14:paraId="1577D86C" w14:textId="77777777" w:rsidR="00B96AF4" w:rsidRDefault="00E017E1">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 xml:space="preserve">Source: </w:t>
      </w:r>
      <w:r>
        <w:rPr>
          <w:rFonts w:ascii="Arial" w:eastAsia="MS Mincho" w:hAnsi="Arial" w:cs="Arial"/>
          <w:b/>
          <w:sz w:val="24"/>
          <w:szCs w:val="24"/>
          <w:lang w:eastAsia="en-US"/>
        </w:rPr>
        <w:tab/>
        <w:t>CMCC</w:t>
      </w:r>
    </w:p>
    <w:p w14:paraId="31B65F95" w14:textId="4E9702F1" w:rsidR="00B96AF4" w:rsidRDefault="00E017E1">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 xml:space="preserve">Title: </w:t>
      </w:r>
      <w:r>
        <w:rPr>
          <w:rFonts w:ascii="Arial" w:eastAsia="MS Mincho" w:hAnsi="Arial" w:cs="Arial"/>
          <w:b/>
          <w:sz w:val="24"/>
          <w:szCs w:val="24"/>
          <w:lang w:eastAsia="en-US"/>
        </w:rPr>
        <w:tab/>
      </w:r>
      <w:r w:rsidR="000F448A" w:rsidRPr="000F448A">
        <w:rPr>
          <w:rFonts w:ascii="Arial" w:eastAsia="MS Mincho" w:hAnsi="Arial" w:cs="Arial" w:hint="eastAsia"/>
          <w:b/>
          <w:sz w:val="24"/>
          <w:szCs w:val="24"/>
          <w:lang w:eastAsia="en-US"/>
        </w:rPr>
        <w:t>Dis</w:t>
      </w:r>
      <w:r w:rsidR="000F448A">
        <w:rPr>
          <w:rFonts w:ascii="Arial" w:eastAsia="MS Mincho" w:hAnsi="Arial" w:cs="Arial"/>
          <w:b/>
          <w:sz w:val="24"/>
          <w:szCs w:val="24"/>
          <w:lang w:eastAsia="en-US"/>
        </w:rPr>
        <w:t xml:space="preserve">cussion on </w:t>
      </w:r>
      <w:r w:rsidR="00412D15">
        <w:rPr>
          <w:rFonts w:ascii="Arial" w:eastAsia="MS Mincho" w:hAnsi="Arial" w:cs="Arial"/>
          <w:b/>
          <w:sz w:val="24"/>
          <w:szCs w:val="24"/>
          <w:lang w:eastAsia="en-US"/>
        </w:rPr>
        <w:t>ATG simulation assumption</w:t>
      </w:r>
      <w:r w:rsidR="00971C84">
        <w:rPr>
          <w:rFonts w:asciiTheme="minorEastAsia" w:eastAsiaTheme="minorEastAsia" w:hAnsiTheme="minorEastAsia" w:cs="Arial"/>
          <w:b/>
          <w:sz w:val="24"/>
          <w:szCs w:val="24"/>
        </w:rPr>
        <w:t xml:space="preserve"> </w:t>
      </w:r>
    </w:p>
    <w:p w14:paraId="3C7DA162" w14:textId="77777777" w:rsidR="00B96AF4" w:rsidRDefault="00E017E1">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Document for:</w:t>
      </w:r>
      <w:r>
        <w:rPr>
          <w:rFonts w:ascii="Arial" w:eastAsia="MS Mincho" w:hAnsi="Arial" w:cs="Arial"/>
          <w:b/>
          <w:sz w:val="24"/>
          <w:szCs w:val="24"/>
          <w:lang w:eastAsia="en-US"/>
        </w:rPr>
        <w:tab/>
        <w:t>Discussion</w:t>
      </w:r>
    </w:p>
    <w:p w14:paraId="3AA506AB" w14:textId="77777777" w:rsidR="00B96AF4" w:rsidRDefault="00E017E1">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Pr>
          <w:rFonts w:ascii="Arial" w:eastAsiaTheme="minorEastAsia" w:hAnsi="Arial" w:cstheme="minorBidi"/>
          <w:sz w:val="32"/>
          <w:szCs w:val="36"/>
        </w:rPr>
        <w:t>1. Introduction</w:t>
      </w:r>
    </w:p>
    <w:p w14:paraId="054A4646" w14:textId="58CE6691" w:rsidR="00126631" w:rsidRDefault="000F448A" w:rsidP="00A928CA">
      <w:pPr>
        <w:spacing w:after="180"/>
        <w:rPr>
          <w:rFonts w:ascii="Times New Roman" w:hAnsi="Times New Roman"/>
          <w:sz w:val="20"/>
        </w:rPr>
      </w:pPr>
      <w:r>
        <w:rPr>
          <w:rFonts w:ascii="Times New Roman" w:hAnsi="Times New Roman"/>
          <w:sz w:val="20"/>
        </w:rPr>
        <w:t xml:space="preserve">In last meeting, a </w:t>
      </w:r>
      <w:r w:rsidRPr="000F448A">
        <w:rPr>
          <w:rFonts w:ascii="Times New Roman" w:hAnsi="Times New Roman"/>
          <w:sz w:val="20"/>
        </w:rPr>
        <w:t xml:space="preserve">WF on </w:t>
      </w:r>
      <w:r w:rsidR="003F28B4">
        <w:rPr>
          <w:rFonts w:ascii="Times New Roman" w:hAnsi="Times New Roman"/>
          <w:sz w:val="20"/>
        </w:rPr>
        <w:t>ATG simulation scenario</w:t>
      </w:r>
      <w:r w:rsidR="00D234F7">
        <w:rPr>
          <w:rFonts w:ascii="Times New Roman" w:hAnsi="Times New Roman"/>
          <w:sz w:val="20"/>
        </w:rPr>
        <w:t xml:space="preserve"> has been approved</w:t>
      </w:r>
      <w:r w:rsidR="00770C83">
        <w:rPr>
          <w:rFonts w:ascii="Times New Roman" w:hAnsi="Times New Roman"/>
          <w:sz w:val="20"/>
        </w:rPr>
        <w:t xml:space="preserve"> [1]</w:t>
      </w:r>
      <w:r>
        <w:rPr>
          <w:rFonts w:ascii="Times New Roman" w:hAnsi="Times New Roman"/>
          <w:sz w:val="20"/>
        </w:rPr>
        <w:t xml:space="preserve">. </w:t>
      </w:r>
      <w:r w:rsidR="00DB5388">
        <w:rPr>
          <w:rFonts w:ascii="Times New Roman" w:hAnsi="Times New Roman"/>
          <w:sz w:val="20"/>
        </w:rPr>
        <w:t xml:space="preserve">In this contribution, we focus on the </w:t>
      </w:r>
      <w:r w:rsidR="00D234F7">
        <w:rPr>
          <w:rFonts w:ascii="Times New Roman" w:hAnsi="Times New Roman"/>
          <w:sz w:val="20"/>
        </w:rPr>
        <w:t xml:space="preserve">remaining </w:t>
      </w:r>
      <w:r w:rsidR="003F28B4">
        <w:rPr>
          <w:rFonts w:ascii="Times New Roman" w:hAnsi="Times New Roman"/>
          <w:sz w:val="20"/>
        </w:rPr>
        <w:t>simulation parameter</w:t>
      </w:r>
      <w:r w:rsidR="002B76C8">
        <w:rPr>
          <w:rFonts w:ascii="Times New Roman" w:hAnsi="Times New Roman"/>
          <w:sz w:val="20"/>
        </w:rPr>
        <w:t xml:space="preserve"> </w:t>
      </w:r>
      <w:r w:rsidR="00567932">
        <w:rPr>
          <w:rFonts w:ascii="Times New Roman" w:hAnsi="Times New Roman"/>
          <w:sz w:val="20"/>
        </w:rPr>
        <w:t>discussion</w:t>
      </w:r>
      <w:r w:rsidR="00DB5388">
        <w:rPr>
          <w:rFonts w:ascii="Times New Roman" w:hAnsi="Times New Roman"/>
          <w:sz w:val="20"/>
        </w:rPr>
        <w:t>.</w:t>
      </w:r>
      <w:r w:rsidR="00C623DD">
        <w:rPr>
          <w:rFonts w:ascii="Times New Roman" w:hAnsi="Times New Roman"/>
          <w:sz w:val="20"/>
        </w:rPr>
        <w:t xml:space="preserve"> The remaining issue is how to simulate the worst deployment case for non-synchronized gNB-gNB interference.</w:t>
      </w:r>
    </w:p>
    <w:p w14:paraId="43137D16" w14:textId="09F8CF6E" w:rsidR="00441225" w:rsidRPr="003C0A8E" w:rsidRDefault="00E017E1" w:rsidP="003C0A8E">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Pr>
          <w:rFonts w:ascii="Arial" w:eastAsiaTheme="minorEastAsia" w:hAnsi="Arial" w:cstheme="minorBidi"/>
          <w:sz w:val="32"/>
          <w:szCs w:val="36"/>
        </w:rPr>
        <w:t xml:space="preserve">2. </w:t>
      </w:r>
      <w:r>
        <w:rPr>
          <w:rFonts w:ascii="Arial" w:eastAsiaTheme="minorEastAsia" w:hAnsi="Arial" w:cstheme="minorBidi" w:hint="eastAsia"/>
          <w:sz w:val="32"/>
          <w:szCs w:val="36"/>
        </w:rPr>
        <w:t>Discussion</w:t>
      </w:r>
    </w:p>
    <w:p w14:paraId="4B08DF5B" w14:textId="54B96B1F" w:rsidR="0068336B" w:rsidRDefault="0068336B" w:rsidP="009675A0">
      <w:pPr>
        <w:spacing w:after="120"/>
        <w:rPr>
          <w:rFonts w:ascii="Times New Roman" w:hAnsi="Times New Roman"/>
          <w:sz w:val="20"/>
          <w:szCs w:val="21"/>
        </w:rPr>
      </w:pPr>
      <w:r>
        <w:rPr>
          <w:rFonts w:ascii="Times New Roman" w:hAnsi="Times New Roman"/>
          <w:sz w:val="20"/>
          <w:szCs w:val="21"/>
        </w:rPr>
        <w:t>Last meeting agreement is listed as below:</w:t>
      </w:r>
    </w:p>
    <w:tbl>
      <w:tblPr>
        <w:tblStyle w:val="TableGrid"/>
        <w:tblW w:w="0" w:type="auto"/>
        <w:tblLook w:val="04A0" w:firstRow="1" w:lastRow="0" w:firstColumn="1" w:lastColumn="0" w:noHBand="0" w:noVBand="1"/>
      </w:tblPr>
      <w:tblGrid>
        <w:gridCol w:w="9736"/>
      </w:tblGrid>
      <w:tr w:rsidR="0068336B" w14:paraId="3427166B" w14:textId="77777777" w:rsidTr="0068336B">
        <w:tc>
          <w:tcPr>
            <w:tcW w:w="9736" w:type="dxa"/>
          </w:tcPr>
          <w:p w14:paraId="28D077D9" w14:textId="77777777" w:rsidR="0068336B" w:rsidRDefault="0068336B" w:rsidP="0068336B">
            <w:pPr>
              <w:spacing w:after="120"/>
              <w:rPr>
                <w:rFonts w:ascii="Times New Roman" w:hAnsi="Times New Roman"/>
                <w:sz w:val="20"/>
                <w:szCs w:val="21"/>
              </w:rPr>
            </w:pPr>
            <w:r>
              <w:rPr>
                <w:rFonts w:ascii="Times New Roman" w:hAnsi="Times New Roman"/>
                <w:sz w:val="20"/>
                <w:szCs w:val="21"/>
              </w:rPr>
              <w:t>Following list one example for</w:t>
            </w:r>
            <w:r w:rsidRPr="009675A0">
              <w:rPr>
                <w:rFonts w:ascii="Times New Roman" w:hAnsi="Times New Roman" w:hint="eastAsia"/>
                <w:sz w:val="20"/>
                <w:szCs w:val="21"/>
              </w:rPr>
              <w:t xml:space="preserve"> </w:t>
            </w:r>
            <w:r w:rsidRPr="009675A0">
              <w:rPr>
                <w:rFonts w:ascii="Times New Roman" w:hAnsi="Times New Roman"/>
                <w:sz w:val="20"/>
                <w:szCs w:val="21"/>
              </w:rPr>
              <w:t>illustration of the isolation distance simulation layout</w:t>
            </w:r>
            <w:r>
              <w:rPr>
                <w:rFonts w:ascii="Times New Roman" w:hAnsi="Times New Roman"/>
                <w:sz w:val="20"/>
                <w:szCs w:val="21"/>
              </w:rPr>
              <w:t xml:space="preserve"> for non-synchronization scenarios.</w:t>
            </w:r>
          </w:p>
          <w:p w14:paraId="609291E0" w14:textId="77777777" w:rsidR="0068336B" w:rsidRPr="003A6A9C" w:rsidRDefault="0068336B" w:rsidP="0068336B">
            <w:pPr>
              <w:pStyle w:val="ListParagraph1"/>
              <w:numPr>
                <w:ilvl w:val="1"/>
                <w:numId w:val="24"/>
              </w:numPr>
              <w:spacing w:after="120"/>
              <w:ind w:firstLineChars="0"/>
            </w:pPr>
            <w:r w:rsidRPr="003A6A9C">
              <w:t>if isolation distance between TN cluster and ATG BS is larger than 20/50km, ATG UE is always on top of TN cluster</w:t>
            </w:r>
          </w:p>
          <w:p w14:paraId="433A71A8" w14:textId="2900C28B" w:rsidR="0068336B" w:rsidRPr="0068336B" w:rsidRDefault="0068336B" w:rsidP="009675A0">
            <w:pPr>
              <w:pStyle w:val="ListParagraph1"/>
              <w:numPr>
                <w:ilvl w:val="1"/>
                <w:numId w:val="24"/>
              </w:numPr>
              <w:spacing w:after="120"/>
              <w:ind w:firstLineChars="0"/>
            </w:pPr>
            <w:r w:rsidRPr="003A6A9C">
              <w:t>if isolation distance between TN cluster and ATG BS is less than 20/50km, ATG UE is dropped 20/50km distant from ATG BS</w:t>
            </w:r>
          </w:p>
        </w:tc>
      </w:tr>
    </w:tbl>
    <w:p w14:paraId="29EAD174" w14:textId="2FBC4D47" w:rsidR="003A6A9C" w:rsidRDefault="003A6A9C" w:rsidP="0068336B">
      <w:pPr>
        <w:pStyle w:val="a"/>
      </w:pPr>
      <w:r>
        <w:rPr>
          <w:noProof/>
        </w:rPr>
        <w:drawing>
          <wp:inline distT="0" distB="0" distL="0" distR="0" wp14:anchorId="6555DC21" wp14:editId="4DFD1B59">
            <wp:extent cx="2914650" cy="1595491"/>
            <wp:effectExtent l="0" t="0" r="0" b="5080"/>
            <wp:docPr id="1292221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9852" cy="1620235"/>
                    </a:xfrm>
                    <a:prstGeom prst="rect">
                      <a:avLst/>
                    </a:prstGeom>
                    <a:noFill/>
                    <a:ln>
                      <a:noFill/>
                    </a:ln>
                  </pic:spPr>
                </pic:pic>
              </a:graphicData>
            </a:graphic>
          </wp:inline>
        </w:drawing>
      </w:r>
      <w:r w:rsidR="0068336B">
        <w:rPr>
          <w:noProof/>
        </w:rPr>
        <w:drawing>
          <wp:inline distT="0" distB="0" distL="0" distR="0" wp14:anchorId="65ED6865" wp14:editId="0770C538">
            <wp:extent cx="3234794" cy="1528445"/>
            <wp:effectExtent l="0" t="0" r="3810" b="0"/>
            <wp:docPr id="1129495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00306" cy="1559400"/>
                    </a:xfrm>
                    <a:prstGeom prst="rect">
                      <a:avLst/>
                    </a:prstGeom>
                    <a:noFill/>
                    <a:ln>
                      <a:noFill/>
                    </a:ln>
                  </pic:spPr>
                </pic:pic>
              </a:graphicData>
            </a:graphic>
          </wp:inline>
        </w:drawing>
      </w:r>
    </w:p>
    <w:p w14:paraId="751BDB7D" w14:textId="4D57252A" w:rsidR="0068336B" w:rsidRDefault="0068336B" w:rsidP="0037696C">
      <w:pPr>
        <w:pStyle w:val="ListParagraph1"/>
        <w:spacing w:after="120"/>
        <w:ind w:firstLineChars="0" w:firstLine="0"/>
        <w:rPr>
          <w:rFonts w:eastAsiaTheme="minorEastAsia"/>
        </w:rPr>
      </w:pPr>
      <w:r>
        <w:rPr>
          <w:rFonts w:eastAsiaTheme="minorEastAsia"/>
        </w:rPr>
        <w:t>For non-synchronization ATG-TN operation, isolation distance is the final simulation metric. Following lists the isolation distance definition to make final simulation results aligned.</w:t>
      </w:r>
    </w:p>
    <w:p w14:paraId="09B06F18" w14:textId="49BE76B2" w:rsidR="0037696C" w:rsidRDefault="0068336B" w:rsidP="0037696C">
      <w:pPr>
        <w:pStyle w:val="ListParagraph1"/>
        <w:spacing w:after="120"/>
        <w:ind w:firstLineChars="0" w:firstLine="0"/>
        <w:rPr>
          <w:rFonts w:eastAsiaTheme="minorEastAsia"/>
          <w:b/>
          <w:bCs/>
        </w:rPr>
      </w:pPr>
      <w:r>
        <w:rPr>
          <w:rFonts w:eastAsiaTheme="minorEastAsia"/>
          <w:b/>
          <w:bCs/>
        </w:rPr>
        <w:t>Proposal</w:t>
      </w:r>
      <w:r w:rsidR="0037696C" w:rsidRPr="004C070A">
        <w:rPr>
          <w:rFonts w:eastAsiaTheme="minorEastAsia"/>
          <w:b/>
          <w:bCs/>
        </w:rPr>
        <w:t xml:space="preserve"> 1: </w:t>
      </w:r>
      <w:r>
        <w:rPr>
          <w:rFonts w:eastAsiaTheme="minorEastAsia"/>
          <w:b/>
          <w:bCs/>
        </w:rPr>
        <w:t>for non-synchronization case,</w:t>
      </w:r>
      <w:r w:rsidRPr="004C070A">
        <w:rPr>
          <w:rFonts w:eastAsiaTheme="minorEastAsia"/>
          <w:b/>
          <w:bCs/>
        </w:rPr>
        <w:t xml:space="preserve"> </w:t>
      </w:r>
      <w:r w:rsidR="0037696C" w:rsidRPr="004C070A">
        <w:rPr>
          <w:rFonts w:eastAsiaTheme="minorEastAsia"/>
          <w:b/>
          <w:bCs/>
        </w:rPr>
        <w:t>isolation distance is the distance from ATG BS to the nearest TN BS.</w:t>
      </w:r>
    </w:p>
    <w:p w14:paraId="0F942F32" w14:textId="22E163DB" w:rsidR="0068336B" w:rsidRDefault="00342375" w:rsidP="0037696C">
      <w:pPr>
        <w:pStyle w:val="ListParagraph1"/>
        <w:spacing w:after="120"/>
        <w:ind w:firstLineChars="0" w:firstLine="0"/>
        <w:rPr>
          <w:rFonts w:eastAsiaTheme="minorEastAsia"/>
        </w:rPr>
      </w:pPr>
      <w:r w:rsidRPr="003E3BCF">
        <w:rPr>
          <w:rFonts w:eastAsiaTheme="minorEastAsia"/>
        </w:rPr>
        <w:t>To simulate isolation distance between ATG BS and TN BS, two cases</w:t>
      </w:r>
      <w:r w:rsidR="0068336B">
        <w:rPr>
          <w:rFonts w:eastAsiaTheme="minorEastAsia"/>
        </w:rPr>
        <w:t xml:space="preserve"> need to be considered</w:t>
      </w:r>
    </w:p>
    <w:p w14:paraId="36F521B5" w14:textId="010865ED" w:rsidR="00887C5D" w:rsidRDefault="00342375" w:rsidP="00887C5D">
      <w:pPr>
        <w:pStyle w:val="ListParagraph1"/>
        <w:numPr>
          <w:ilvl w:val="0"/>
          <w:numId w:val="27"/>
        </w:numPr>
        <w:spacing w:after="120"/>
        <w:ind w:firstLineChars="0"/>
        <w:rPr>
          <w:rFonts w:eastAsiaTheme="minorEastAsia"/>
        </w:rPr>
      </w:pPr>
      <w:r w:rsidRPr="003E3BCF">
        <w:rPr>
          <w:rFonts w:eastAsiaTheme="minorEastAsia"/>
        </w:rPr>
        <w:t>one is that ATG cell coverage overlaps with TN</w:t>
      </w:r>
      <w:r w:rsidR="00A00A67">
        <w:rPr>
          <w:rFonts w:eastAsiaTheme="minorEastAsia"/>
        </w:rPr>
        <w:t xml:space="preserve">. </w:t>
      </w:r>
    </w:p>
    <w:p w14:paraId="5643C41E" w14:textId="3A3AE474" w:rsidR="00342375" w:rsidRDefault="00887C5D" w:rsidP="00887C5D">
      <w:pPr>
        <w:pStyle w:val="ListParagraph1"/>
        <w:numPr>
          <w:ilvl w:val="0"/>
          <w:numId w:val="27"/>
        </w:numPr>
        <w:spacing w:after="120"/>
        <w:ind w:firstLineChars="0"/>
        <w:rPr>
          <w:rFonts w:eastAsiaTheme="minorEastAsia"/>
        </w:rPr>
      </w:pPr>
      <w:r>
        <w:rPr>
          <w:rFonts w:eastAsiaTheme="minorEastAsia"/>
        </w:rPr>
        <w:lastRenderedPageBreak/>
        <w:t>the other is</w:t>
      </w:r>
      <w:r w:rsidR="00342375" w:rsidRPr="003E3BCF">
        <w:rPr>
          <w:rFonts w:eastAsiaTheme="minorEastAsia"/>
        </w:rPr>
        <w:t xml:space="preserve"> that ATG cell coverage doesn’t overlaps with TN.</w:t>
      </w:r>
      <w:r w:rsidR="003B3B1D">
        <w:rPr>
          <w:rFonts w:eastAsiaTheme="minorEastAsia"/>
        </w:rPr>
        <w:t xml:space="preserve"> </w:t>
      </w:r>
    </w:p>
    <w:p w14:paraId="3F55FAC5" w14:textId="72279EAF" w:rsidR="00A00A67" w:rsidRPr="00F735FF" w:rsidRDefault="00A00A67" w:rsidP="00E87837">
      <w:pPr>
        <w:pStyle w:val="ListParagraph1"/>
        <w:spacing w:after="120"/>
        <w:ind w:firstLineChars="0" w:firstLine="0"/>
        <w:rPr>
          <w:rFonts w:eastAsiaTheme="minorEastAsia"/>
          <w:b/>
          <w:bCs/>
        </w:rPr>
      </w:pPr>
      <w:r w:rsidRPr="00F735FF">
        <w:rPr>
          <w:rFonts w:eastAsiaTheme="minorEastAsia"/>
          <w:b/>
          <w:bCs/>
        </w:rPr>
        <w:t xml:space="preserve">Observation 1: above list two cases for non-synchronization </w:t>
      </w:r>
      <w:r w:rsidR="00F735FF">
        <w:rPr>
          <w:rFonts w:eastAsiaTheme="minorEastAsia"/>
          <w:b/>
          <w:bCs/>
        </w:rPr>
        <w:t>simulation</w:t>
      </w:r>
      <w:r w:rsidRPr="00F735FF">
        <w:rPr>
          <w:rFonts w:eastAsiaTheme="minorEastAsia"/>
          <w:b/>
          <w:bCs/>
        </w:rPr>
        <w:t>.</w:t>
      </w:r>
    </w:p>
    <w:p w14:paraId="004768AB" w14:textId="68C3B905" w:rsidR="00801FB3" w:rsidRDefault="00801FB3" w:rsidP="00801FB3">
      <w:pPr>
        <w:pStyle w:val="Heading2"/>
      </w:pPr>
      <w:r>
        <w:rPr>
          <w:rFonts w:hint="eastAsia"/>
        </w:rPr>
        <w:t>2</w:t>
      </w:r>
      <w:r>
        <w:t>.1 ATG BS coverage overlaps with TN coverage</w:t>
      </w:r>
    </w:p>
    <w:p w14:paraId="3C86ACF3" w14:textId="77777777" w:rsidR="008B75C7" w:rsidRDefault="003E3BCF" w:rsidP="003E3BCF">
      <w:pPr>
        <w:pStyle w:val="ListParagraph1"/>
        <w:spacing w:after="120"/>
        <w:ind w:firstLineChars="0" w:firstLine="0"/>
        <w:rPr>
          <w:rFonts w:eastAsiaTheme="minorEastAsia"/>
        </w:rPr>
      </w:pPr>
      <w:r>
        <w:rPr>
          <w:rFonts w:eastAsiaTheme="minorEastAsia"/>
        </w:rPr>
        <w:t xml:space="preserve">For ATG cell coverage overlaps with TN, </w:t>
      </w:r>
      <w:r w:rsidR="003B3B1D">
        <w:rPr>
          <w:rFonts w:eastAsiaTheme="minorEastAsia"/>
        </w:rPr>
        <w:t>o</w:t>
      </w:r>
      <w:r w:rsidR="003B3B1D" w:rsidRPr="003B3B1D">
        <w:rPr>
          <w:rFonts w:eastAsiaTheme="minorEastAsia"/>
        </w:rPr>
        <w:t>perators use the same operation band for ATG and TN network in the same area.</w:t>
      </w:r>
      <w:r w:rsidR="003B3B1D">
        <w:rPr>
          <w:rFonts w:eastAsiaTheme="minorEastAsia"/>
        </w:rPr>
        <w:t xml:space="preserve"> </w:t>
      </w:r>
      <w:r w:rsidR="008B75C7">
        <w:rPr>
          <w:rFonts w:eastAsiaTheme="minorEastAsia"/>
        </w:rPr>
        <w:t xml:space="preserve">But the TN coverage is not contiguous so that there is isolation between Tn BS and ATG BS. </w:t>
      </w:r>
    </w:p>
    <w:p w14:paraId="6A20DC77" w14:textId="77777777" w:rsidR="008B75C7" w:rsidRPr="008B75C7" w:rsidRDefault="008B75C7" w:rsidP="003E3BCF">
      <w:pPr>
        <w:pStyle w:val="ListParagraph1"/>
        <w:spacing w:after="120"/>
        <w:ind w:firstLineChars="0" w:firstLine="0"/>
        <w:rPr>
          <w:rFonts w:eastAsiaTheme="minorEastAsia"/>
          <w:b/>
          <w:bCs/>
        </w:rPr>
      </w:pPr>
      <w:r w:rsidRPr="008B75C7">
        <w:rPr>
          <w:rFonts w:eastAsiaTheme="minorEastAsia"/>
          <w:b/>
          <w:bCs/>
        </w:rPr>
        <w:t>Observation 2: For ATG cell coverage overlaps with TN, operators use the same operation band for ATG and TN network in the same area. But the TN coverage is not contiguous so that there is isolation between Tn BS and ATG BS.</w:t>
      </w:r>
    </w:p>
    <w:p w14:paraId="0D39C6EC" w14:textId="56BEA084" w:rsidR="009675A0" w:rsidRDefault="003B3B1D" w:rsidP="003E3BCF">
      <w:pPr>
        <w:pStyle w:val="ListParagraph1"/>
        <w:spacing w:after="120"/>
        <w:ind w:firstLineChars="0" w:firstLine="0"/>
        <w:rPr>
          <w:szCs w:val="21"/>
        </w:rPr>
      </w:pPr>
      <w:r>
        <w:rPr>
          <w:rFonts w:eastAsiaTheme="minorEastAsia"/>
        </w:rPr>
        <w:t>T</w:t>
      </w:r>
      <w:r w:rsidR="00A17ECD">
        <w:rPr>
          <w:szCs w:val="21"/>
        </w:rPr>
        <w:t xml:space="preserve">he worst case for ATG BS and TN BS </w:t>
      </w:r>
      <w:r w:rsidR="00722770">
        <w:rPr>
          <w:szCs w:val="21"/>
        </w:rPr>
        <w:t xml:space="preserve">deployment simulation </w:t>
      </w:r>
      <w:r w:rsidR="00A17ECD">
        <w:rPr>
          <w:szCs w:val="21"/>
        </w:rPr>
        <w:t>is illustrated as below:</w:t>
      </w:r>
    </w:p>
    <w:p w14:paraId="5D3ABE1E" w14:textId="77777777" w:rsidR="001C7B68" w:rsidRPr="001C7B68" w:rsidRDefault="001C7B68" w:rsidP="001C7B68">
      <w:pPr>
        <w:numPr>
          <w:ilvl w:val="0"/>
          <w:numId w:val="26"/>
        </w:numPr>
        <w:spacing w:after="120"/>
        <w:rPr>
          <w:rFonts w:ascii="Times New Roman" w:hAnsi="Times New Roman"/>
          <w:sz w:val="20"/>
          <w:szCs w:val="21"/>
        </w:rPr>
      </w:pPr>
      <w:r w:rsidRPr="001C7B68">
        <w:rPr>
          <w:rFonts w:ascii="Times New Roman" w:hAnsi="Times New Roman"/>
          <w:sz w:val="20"/>
          <w:szCs w:val="21"/>
        </w:rPr>
        <w:t>The ATG BS sector should be pointing towards at nearest TN sector in azimuth</w:t>
      </w:r>
    </w:p>
    <w:p w14:paraId="319C5DEA" w14:textId="77777777" w:rsidR="001C7B68" w:rsidRPr="001C7B68" w:rsidRDefault="001C7B68" w:rsidP="001C7B68">
      <w:pPr>
        <w:numPr>
          <w:ilvl w:val="0"/>
          <w:numId w:val="26"/>
        </w:numPr>
        <w:spacing w:after="120"/>
        <w:rPr>
          <w:rFonts w:ascii="Times New Roman" w:hAnsi="Times New Roman"/>
          <w:sz w:val="20"/>
          <w:szCs w:val="21"/>
        </w:rPr>
      </w:pPr>
      <w:r w:rsidRPr="001C7B68">
        <w:rPr>
          <w:rFonts w:ascii="Times New Roman" w:hAnsi="Times New Roman"/>
          <w:sz w:val="20"/>
          <w:szCs w:val="21"/>
        </w:rPr>
        <w:t xml:space="preserve">Nearest TN sector antenna panel mechanically point at ATG BS in azimuth but electrically point at UE which is random in 120degree horizontal coverage </w:t>
      </w:r>
    </w:p>
    <w:p w14:paraId="56CBABC1" w14:textId="77777777" w:rsidR="001C7B68" w:rsidRPr="001C7B68" w:rsidRDefault="001C7B68" w:rsidP="001C7B68">
      <w:pPr>
        <w:numPr>
          <w:ilvl w:val="0"/>
          <w:numId w:val="26"/>
        </w:numPr>
        <w:spacing w:after="120"/>
        <w:rPr>
          <w:rFonts w:ascii="Times New Roman" w:hAnsi="Times New Roman"/>
          <w:sz w:val="20"/>
          <w:szCs w:val="21"/>
        </w:rPr>
      </w:pPr>
      <w:r w:rsidRPr="001C7B68">
        <w:rPr>
          <w:rFonts w:ascii="Times New Roman" w:hAnsi="Times New Roman"/>
          <w:sz w:val="20"/>
          <w:szCs w:val="21"/>
        </w:rPr>
        <w:t>The ATG BS point at ATG UE while ATG UE fly in horizontal and vertical domain as assumed for synchronized cases.</w:t>
      </w:r>
    </w:p>
    <w:p w14:paraId="1D5FDC5B" w14:textId="699D095E" w:rsidR="00D9067F" w:rsidRDefault="00932BE7" w:rsidP="00C22A10">
      <w:pPr>
        <w:spacing w:after="120"/>
        <w:rPr>
          <w:rFonts w:ascii="Times New Roman" w:hAnsi="Times New Roman"/>
          <w:b/>
          <w:bCs/>
          <w:sz w:val="20"/>
          <w:szCs w:val="21"/>
        </w:rPr>
      </w:pPr>
      <w:r>
        <w:rPr>
          <w:rFonts w:ascii="Times New Roman" w:hAnsi="Times New Roman"/>
          <w:b/>
          <w:bCs/>
          <w:sz w:val="20"/>
          <w:szCs w:val="21"/>
        </w:rPr>
        <w:t>Proposal</w:t>
      </w:r>
      <w:r w:rsidR="00D9067F" w:rsidRPr="00D9067F">
        <w:rPr>
          <w:rFonts w:ascii="Times New Roman" w:hAnsi="Times New Roman"/>
          <w:b/>
          <w:bCs/>
          <w:sz w:val="20"/>
          <w:szCs w:val="21"/>
        </w:rPr>
        <w:t xml:space="preserve"> 2: </w:t>
      </w:r>
      <w:r w:rsidR="006E7796">
        <w:rPr>
          <w:rFonts w:ascii="Times New Roman" w:hAnsi="Times New Roman"/>
          <w:b/>
          <w:bCs/>
          <w:sz w:val="20"/>
          <w:szCs w:val="21"/>
        </w:rPr>
        <w:t xml:space="preserve">for the case when ATG network coverage overlaps with TN, </w:t>
      </w:r>
      <w:r w:rsidR="00D9067F" w:rsidRPr="00D9067F">
        <w:rPr>
          <w:rFonts w:ascii="Times New Roman" w:hAnsi="Times New Roman"/>
          <w:b/>
          <w:bCs/>
          <w:sz w:val="20"/>
          <w:szCs w:val="21"/>
        </w:rPr>
        <w:t xml:space="preserve">the worst deployment </w:t>
      </w:r>
      <w:r w:rsidR="001C7B68">
        <w:rPr>
          <w:rFonts w:ascii="Times New Roman" w:hAnsi="Times New Roman"/>
          <w:b/>
          <w:bCs/>
          <w:sz w:val="20"/>
          <w:szCs w:val="21"/>
        </w:rPr>
        <w:t xml:space="preserve">relationship </w:t>
      </w:r>
      <w:r w:rsidR="00D9067F" w:rsidRPr="00D9067F">
        <w:rPr>
          <w:rFonts w:ascii="Times New Roman" w:hAnsi="Times New Roman"/>
          <w:b/>
          <w:bCs/>
          <w:sz w:val="20"/>
          <w:szCs w:val="21"/>
        </w:rPr>
        <w:t>between ATG BS and TN BS is listed as above</w:t>
      </w:r>
      <w:r w:rsidR="00080451">
        <w:rPr>
          <w:rFonts w:ascii="Times New Roman" w:hAnsi="Times New Roman"/>
          <w:b/>
          <w:bCs/>
          <w:sz w:val="20"/>
          <w:szCs w:val="21"/>
        </w:rPr>
        <w:t xml:space="preserve"> with following illustration</w:t>
      </w:r>
      <w:r w:rsidR="00D9067F" w:rsidRPr="00D9067F">
        <w:rPr>
          <w:rFonts w:ascii="Times New Roman" w:hAnsi="Times New Roman"/>
          <w:b/>
          <w:bCs/>
          <w:sz w:val="20"/>
          <w:szCs w:val="21"/>
        </w:rPr>
        <w:t xml:space="preserve">. </w:t>
      </w:r>
    </w:p>
    <w:p w14:paraId="71C56735" w14:textId="03DE4794" w:rsidR="005B7541" w:rsidRPr="00D9067F" w:rsidRDefault="001C7B68" w:rsidP="00C22A10">
      <w:pPr>
        <w:spacing w:after="120"/>
        <w:rPr>
          <w:rFonts w:ascii="Times New Roman" w:hAnsi="Times New Roman"/>
          <w:b/>
          <w:bCs/>
          <w:sz w:val="20"/>
          <w:szCs w:val="21"/>
        </w:rPr>
      </w:pPr>
      <w:r>
        <w:object w:dxaOrig="18880" w:dyaOrig="8670" w14:anchorId="1D1DE2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85pt;height:223.75pt" o:ole="">
            <v:imagedata r:id="rId11" o:title=""/>
          </v:shape>
          <o:OLEObject Type="Embed" ProgID="Visio.Drawing.15" ShapeID="_x0000_i1025" DrawAspect="Content" ObjectID="_1745689083" r:id="rId12"/>
        </w:object>
      </w:r>
    </w:p>
    <w:p w14:paraId="16F000E3" w14:textId="103B0670" w:rsidR="00053313" w:rsidRDefault="001C7B68" w:rsidP="00053313">
      <w:pPr>
        <w:spacing w:after="120"/>
        <w:rPr>
          <w:rFonts w:ascii="Times New Roman" w:hAnsi="Times New Roman"/>
          <w:b/>
          <w:bCs/>
          <w:sz w:val="20"/>
          <w:szCs w:val="21"/>
        </w:rPr>
      </w:pPr>
      <w:r>
        <w:rPr>
          <w:rFonts w:ascii="Times New Roman" w:hAnsi="Times New Roman"/>
          <w:sz w:val="20"/>
          <w:szCs w:val="21"/>
        </w:rPr>
        <w:t xml:space="preserve">Another issue is the test metric, for this case, it seems 5% and 50% </w:t>
      </w:r>
      <w:r w:rsidR="00F30C57">
        <w:rPr>
          <w:rFonts w:ascii="Times New Roman" w:hAnsi="Times New Roman"/>
          <w:sz w:val="20"/>
          <w:szCs w:val="21"/>
        </w:rPr>
        <w:t>among</w:t>
      </w:r>
      <w:r>
        <w:rPr>
          <w:rFonts w:ascii="Times New Roman" w:hAnsi="Times New Roman"/>
          <w:sz w:val="20"/>
          <w:szCs w:val="21"/>
        </w:rPr>
        <w:t xml:space="preserve"> all victims are not appreciate. Instead, we could only focus on the worst </w:t>
      </w:r>
      <w:r w:rsidR="004C7EEE">
        <w:rPr>
          <w:rFonts w:ascii="Times New Roman" w:hAnsi="Times New Roman"/>
          <w:sz w:val="20"/>
          <w:szCs w:val="21"/>
        </w:rPr>
        <w:t xml:space="preserve">TN sector when TN as victim and 5% worst ATG BS </w:t>
      </w:r>
      <w:r w:rsidR="00932BE7">
        <w:rPr>
          <w:rFonts w:ascii="Times New Roman" w:hAnsi="Times New Roman"/>
          <w:sz w:val="20"/>
          <w:szCs w:val="21"/>
        </w:rPr>
        <w:t xml:space="preserve">among all drops </w:t>
      </w:r>
      <w:r w:rsidR="004C7EEE">
        <w:rPr>
          <w:rFonts w:ascii="Times New Roman" w:hAnsi="Times New Roman"/>
          <w:sz w:val="20"/>
          <w:szCs w:val="21"/>
        </w:rPr>
        <w:t>when ATG BS as victim.</w:t>
      </w:r>
      <w:r w:rsidR="00053313" w:rsidRPr="00053313">
        <w:rPr>
          <w:rFonts w:ascii="Times New Roman" w:hAnsi="Times New Roman"/>
          <w:b/>
          <w:bCs/>
          <w:sz w:val="20"/>
          <w:szCs w:val="21"/>
        </w:rPr>
        <w:t xml:space="preserve">  </w:t>
      </w:r>
    </w:p>
    <w:p w14:paraId="70744BAB" w14:textId="5D18A3B1" w:rsidR="00932BE7" w:rsidRDefault="00932BE7" w:rsidP="00053313">
      <w:pPr>
        <w:spacing w:after="120"/>
        <w:rPr>
          <w:rFonts w:ascii="Times New Roman" w:hAnsi="Times New Roman"/>
          <w:b/>
          <w:bCs/>
          <w:sz w:val="20"/>
          <w:szCs w:val="21"/>
        </w:rPr>
      </w:pPr>
      <w:r>
        <w:rPr>
          <w:rFonts w:ascii="Times New Roman" w:hAnsi="Times New Roman"/>
          <w:b/>
          <w:bCs/>
          <w:sz w:val="20"/>
          <w:szCs w:val="21"/>
        </w:rPr>
        <w:t xml:space="preserve">Proposal </w:t>
      </w:r>
      <w:r w:rsidR="00BA0331">
        <w:rPr>
          <w:rFonts w:ascii="Times New Roman" w:hAnsi="Times New Roman"/>
          <w:b/>
          <w:bCs/>
          <w:sz w:val="20"/>
          <w:szCs w:val="21"/>
        </w:rPr>
        <w:t>3: for non-synchronization case, we can only focus on ATG BS-</w:t>
      </w:r>
      <w:r w:rsidR="00BA0331">
        <w:rPr>
          <w:rFonts w:ascii="Times New Roman" w:hAnsi="Times New Roman" w:hint="eastAsia"/>
          <w:b/>
          <w:bCs/>
          <w:sz w:val="20"/>
          <w:szCs w:val="21"/>
        </w:rPr>
        <w:t>TN</w:t>
      </w:r>
      <w:r w:rsidR="00BA0331">
        <w:rPr>
          <w:rFonts w:ascii="Times New Roman" w:hAnsi="Times New Roman"/>
          <w:b/>
          <w:bCs/>
          <w:sz w:val="20"/>
          <w:szCs w:val="21"/>
        </w:rPr>
        <w:t xml:space="preserve"> </w:t>
      </w:r>
      <w:r w:rsidR="00BA0331">
        <w:rPr>
          <w:rFonts w:ascii="Times New Roman" w:hAnsi="Times New Roman" w:hint="eastAsia"/>
          <w:b/>
          <w:bCs/>
          <w:sz w:val="20"/>
          <w:szCs w:val="21"/>
        </w:rPr>
        <w:t>BS</w:t>
      </w:r>
      <w:r w:rsidR="00BA0331">
        <w:rPr>
          <w:rFonts w:ascii="Times New Roman" w:hAnsi="Times New Roman"/>
          <w:b/>
          <w:bCs/>
          <w:sz w:val="20"/>
          <w:szCs w:val="21"/>
        </w:rPr>
        <w:t xml:space="preserve"> co-existence analysis, the test metric is listed as below:</w:t>
      </w:r>
    </w:p>
    <w:p w14:paraId="375A65B9" w14:textId="2FD801A7" w:rsidR="00BA0331" w:rsidRDefault="00F30C57" w:rsidP="00BA0331">
      <w:pPr>
        <w:pStyle w:val="ListParagraph"/>
        <w:numPr>
          <w:ilvl w:val="0"/>
          <w:numId w:val="28"/>
        </w:numPr>
        <w:spacing w:after="120"/>
        <w:ind w:firstLineChars="0"/>
        <w:rPr>
          <w:rFonts w:ascii="Times New Roman" w:hAnsi="Times New Roman"/>
          <w:b/>
          <w:bCs/>
          <w:sz w:val="20"/>
          <w:szCs w:val="21"/>
        </w:rPr>
      </w:pPr>
      <w:r>
        <w:rPr>
          <w:rFonts w:ascii="Times New Roman" w:hAnsi="Times New Roman"/>
          <w:b/>
          <w:bCs/>
          <w:sz w:val="20"/>
          <w:szCs w:val="21"/>
        </w:rPr>
        <w:t>When TN as victim, only focus on the nearest TN sector, 5% and 50% among all drops of the nearest TN sector</w:t>
      </w:r>
    </w:p>
    <w:p w14:paraId="5B84A36B" w14:textId="41FAEF63" w:rsidR="00F30C57" w:rsidRPr="00BA0331" w:rsidRDefault="00F30C57" w:rsidP="00BA0331">
      <w:pPr>
        <w:pStyle w:val="ListParagraph"/>
        <w:numPr>
          <w:ilvl w:val="0"/>
          <w:numId w:val="28"/>
        </w:numPr>
        <w:spacing w:after="120"/>
        <w:ind w:firstLineChars="0"/>
        <w:rPr>
          <w:rFonts w:ascii="Times New Roman" w:hAnsi="Times New Roman"/>
          <w:b/>
          <w:bCs/>
          <w:sz w:val="20"/>
          <w:szCs w:val="21"/>
        </w:rPr>
      </w:pPr>
      <w:r>
        <w:rPr>
          <w:rFonts w:ascii="Times New Roman" w:hAnsi="Times New Roman"/>
          <w:b/>
          <w:bCs/>
          <w:sz w:val="20"/>
          <w:szCs w:val="21"/>
        </w:rPr>
        <w:t>When ATG as victim, 5% and 50% among all drops.</w:t>
      </w:r>
    </w:p>
    <w:p w14:paraId="029B8356" w14:textId="14EA2CEE" w:rsidR="00A97A28" w:rsidRPr="00A97A28" w:rsidRDefault="00A97A28" w:rsidP="00A97A28">
      <w:pPr>
        <w:keepNext/>
        <w:keepLines/>
        <w:spacing w:before="260" w:after="260" w:line="416" w:lineRule="auto"/>
        <w:outlineLvl w:val="1"/>
        <w:rPr>
          <w:rFonts w:asciiTheme="majorHAnsi" w:eastAsiaTheme="majorEastAsia" w:hAnsiTheme="majorHAnsi" w:cstheme="majorBidi"/>
          <w:b/>
          <w:bCs/>
          <w:sz w:val="32"/>
          <w:szCs w:val="32"/>
        </w:rPr>
      </w:pPr>
      <w:r w:rsidRPr="00A97A28">
        <w:rPr>
          <w:rFonts w:asciiTheme="majorHAnsi" w:eastAsiaTheme="majorEastAsia" w:hAnsiTheme="majorHAnsi" w:cstheme="majorBidi" w:hint="eastAsia"/>
          <w:b/>
          <w:bCs/>
          <w:sz w:val="32"/>
          <w:szCs w:val="32"/>
        </w:rPr>
        <w:lastRenderedPageBreak/>
        <w:t>2</w:t>
      </w:r>
      <w:r w:rsidRPr="00A97A28">
        <w:rPr>
          <w:rFonts w:asciiTheme="majorHAnsi" w:eastAsiaTheme="majorEastAsia" w:hAnsiTheme="majorHAnsi" w:cstheme="majorBidi"/>
          <w:b/>
          <w:bCs/>
          <w:sz w:val="32"/>
          <w:szCs w:val="32"/>
        </w:rPr>
        <w:t>.</w:t>
      </w:r>
      <w:r>
        <w:rPr>
          <w:rFonts w:asciiTheme="majorHAnsi" w:eastAsiaTheme="majorEastAsia" w:hAnsiTheme="majorHAnsi" w:cstheme="majorBidi"/>
          <w:b/>
          <w:bCs/>
          <w:sz w:val="32"/>
          <w:szCs w:val="32"/>
        </w:rPr>
        <w:t>2</w:t>
      </w:r>
      <w:r w:rsidRPr="00A97A28">
        <w:rPr>
          <w:rFonts w:asciiTheme="majorHAnsi" w:eastAsiaTheme="majorEastAsia" w:hAnsiTheme="majorHAnsi" w:cstheme="majorBidi"/>
          <w:b/>
          <w:bCs/>
          <w:sz w:val="32"/>
          <w:szCs w:val="32"/>
        </w:rPr>
        <w:t xml:space="preserve"> ATG BS coverage </w:t>
      </w:r>
      <w:r>
        <w:rPr>
          <w:rFonts w:asciiTheme="majorHAnsi" w:eastAsiaTheme="majorEastAsia" w:hAnsiTheme="majorHAnsi" w:cstheme="majorBidi"/>
          <w:b/>
          <w:bCs/>
          <w:sz w:val="32"/>
          <w:szCs w:val="32"/>
        </w:rPr>
        <w:t xml:space="preserve">doesn’t </w:t>
      </w:r>
      <w:r w:rsidRPr="00A97A28">
        <w:rPr>
          <w:rFonts w:asciiTheme="majorHAnsi" w:eastAsiaTheme="majorEastAsia" w:hAnsiTheme="majorHAnsi" w:cstheme="majorBidi"/>
          <w:b/>
          <w:bCs/>
          <w:sz w:val="32"/>
          <w:szCs w:val="32"/>
        </w:rPr>
        <w:t>overlap with TN coverage</w:t>
      </w:r>
    </w:p>
    <w:p w14:paraId="6C9C5D49" w14:textId="06E8E10C" w:rsidR="003B3B1D" w:rsidRDefault="003B3B1D" w:rsidP="00C22A10">
      <w:pPr>
        <w:spacing w:after="120"/>
        <w:rPr>
          <w:rFonts w:ascii="Times New Roman" w:hAnsi="Times New Roman"/>
          <w:sz w:val="20"/>
          <w:szCs w:val="21"/>
        </w:rPr>
      </w:pPr>
      <w:r>
        <w:rPr>
          <w:rFonts w:ascii="Times New Roman" w:hAnsi="Times New Roman"/>
          <w:sz w:val="20"/>
          <w:szCs w:val="21"/>
        </w:rPr>
        <w:t xml:space="preserve">For the other case when ATG network coverage doesn’t overlap with TN coverage, </w:t>
      </w:r>
      <w:r w:rsidR="00582265">
        <w:rPr>
          <w:rFonts w:ascii="Times New Roman" w:hAnsi="Times New Roman"/>
          <w:sz w:val="20"/>
          <w:szCs w:val="21"/>
        </w:rPr>
        <w:t>t</w:t>
      </w:r>
      <w:r>
        <w:rPr>
          <w:rFonts w:ascii="Times New Roman" w:hAnsi="Times New Roman"/>
          <w:sz w:val="20"/>
          <w:szCs w:val="21"/>
        </w:rPr>
        <w:t>he isolation distance is used to guild under which isolation distance the operator could use the same ATG operation band</w:t>
      </w:r>
      <w:r w:rsidR="00582265">
        <w:rPr>
          <w:rFonts w:ascii="Times New Roman" w:hAnsi="Times New Roman"/>
          <w:sz w:val="20"/>
          <w:szCs w:val="21"/>
        </w:rPr>
        <w:t>s</w:t>
      </w:r>
      <w:r>
        <w:rPr>
          <w:rFonts w:ascii="Times New Roman" w:hAnsi="Times New Roman"/>
          <w:sz w:val="20"/>
          <w:szCs w:val="21"/>
        </w:rPr>
        <w:t xml:space="preserve"> for TN network. </w:t>
      </w:r>
    </w:p>
    <w:p w14:paraId="51B93E79" w14:textId="4A54ECEA" w:rsidR="00582265" w:rsidRDefault="00582265" w:rsidP="00C22A10">
      <w:pPr>
        <w:spacing w:after="120"/>
        <w:rPr>
          <w:rFonts w:ascii="Times New Roman" w:hAnsi="Times New Roman"/>
          <w:b/>
          <w:bCs/>
          <w:sz w:val="20"/>
          <w:szCs w:val="21"/>
        </w:rPr>
      </w:pPr>
      <w:r w:rsidRPr="00582265">
        <w:rPr>
          <w:rFonts w:ascii="Times New Roman" w:hAnsi="Times New Roman"/>
          <w:b/>
          <w:bCs/>
          <w:sz w:val="20"/>
          <w:szCs w:val="21"/>
        </w:rPr>
        <w:t xml:space="preserve">Observation </w:t>
      </w:r>
      <w:r w:rsidR="00631839">
        <w:rPr>
          <w:rFonts w:ascii="Times New Roman" w:hAnsi="Times New Roman"/>
          <w:b/>
          <w:bCs/>
          <w:sz w:val="20"/>
          <w:szCs w:val="21"/>
        </w:rPr>
        <w:t>3</w:t>
      </w:r>
      <w:r w:rsidRPr="00582265">
        <w:rPr>
          <w:rFonts w:ascii="Times New Roman" w:hAnsi="Times New Roman"/>
          <w:b/>
          <w:bCs/>
          <w:sz w:val="20"/>
          <w:szCs w:val="21"/>
        </w:rPr>
        <w:t>: For the other case when ATG network coverage doesn’t overlap with TN coverage, the isolation distance is used to guild under which isolation distance the operator could use the same ATG operation bands for TN network.</w:t>
      </w:r>
    </w:p>
    <w:p w14:paraId="76DAED85" w14:textId="1FCEC562" w:rsidR="00582265" w:rsidRPr="00582265" w:rsidRDefault="00582265" w:rsidP="00C22A10">
      <w:pPr>
        <w:spacing w:after="120"/>
        <w:rPr>
          <w:rFonts w:ascii="Times New Roman" w:hAnsi="Times New Roman"/>
          <w:sz w:val="20"/>
          <w:szCs w:val="21"/>
        </w:rPr>
      </w:pPr>
      <w:r w:rsidRPr="00582265">
        <w:rPr>
          <w:rFonts w:ascii="Times New Roman" w:hAnsi="Times New Roman"/>
          <w:sz w:val="20"/>
          <w:szCs w:val="21"/>
        </w:rPr>
        <w:t>The worst case for ATG BS and TN BS deployment simulation is illustrated as below:</w:t>
      </w:r>
    </w:p>
    <w:p w14:paraId="006850AA" w14:textId="65E630FD" w:rsidR="00260ACF" w:rsidRPr="00260ACF" w:rsidRDefault="00260ACF" w:rsidP="00260ACF">
      <w:pPr>
        <w:pStyle w:val="ListParagraph"/>
        <w:numPr>
          <w:ilvl w:val="0"/>
          <w:numId w:val="26"/>
        </w:numPr>
        <w:ind w:firstLineChars="0"/>
        <w:rPr>
          <w:rFonts w:ascii="Times New Roman" w:hAnsi="Times New Roman"/>
          <w:sz w:val="20"/>
          <w:szCs w:val="21"/>
        </w:rPr>
      </w:pPr>
      <w:r w:rsidRPr="00260ACF">
        <w:rPr>
          <w:rFonts w:ascii="Times New Roman" w:hAnsi="Times New Roman"/>
          <w:sz w:val="20"/>
          <w:szCs w:val="21"/>
        </w:rPr>
        <w:t xml:space="preserve">Nearest TN sector antenna panel mechanically point at ATG BS in azimuth but electrically point at UE which is random in 120degree horizontal coverage </w:t>
      </w:r>
    </w:p>
    <w:p w14:paraId="1600FBD3" w14:textId="77777777" w:rsidR="00582265" w:rsidRPr="002645F9" w:rsidRDefault="00582265" w:rsidP="00582265">
      <w:pPr>
        <w:numPr>
          <w:ilvl w:val="0"/>
          <w:numId w:val="26"/>
        </w:numPr>
        <w:spacing w:after="120"/>
        <w:rPr>
          <w:rFonts w:ascii="Times New Roman" w:hAnsi="Times New Roman"/>
          <w:sz w:val="20"/>
          <w:szCs w:val="21"/>
        </w:rPr>
      </w:pPr>
      <w:r w:rsidRPr="002645F9">
        <w:rPr>
          <w:rFonts w:ascii="Times New Roman" w:hAnsi="Times New Roman"/>
          <w:sz w:val="20"/>
          <w:szCs w:val="21"/>
        </w:rPr>
        <w:t xml:space="preserve">The ATG BS point at ATG UE but perpendicular to the line towards </w:t>
      </w:r>
      <w:r>
        <w:rPr>
          <w:rFonts w:ascii="Times New Roman" w:hAnsi="Times New Roman"/>
          <w:sz w:val="20"/>
          <w:szCs w:val="21"/>
        </w:rPr>
        <w:t xml:space="preserve">nearest </w:t>
      </w:r>
      <w:r w:rsidRPr="002645F9">
        <w:rPr>
          <w:rFonts w:ascii="Times New Roman" w:hAnsi="Times New Roman"/>
          <w:sz w:val="20"/>
          <w:szCs w:val="21"/>
        </w:rPr>
        <w:t>TN BS in azimuth</w:t>
      </w:r>
    </w:p>
    <w:p w14:paraId="3EC99702" w14:textId="77777777" w:rsidR="00582265" w:rsidRPr="002645F9" w:rsidRDefault="00582265" w:rsidP="00582265">
      <w:pPr>
        <w:numPr>
          <w:ilvl w:val="0"/>
          <w:numId w:val="26"/>
        </w:numPr>
        <w:spacing w:after="120"/>
        <w:rPr>
          <w:rFonts w:ascii="Times New Roman" w:hAnsi="Times New Roman"/>
          <w:sz w:val="20"/>
          <w:szCs w:val="21"/>
        </w:rPr>
      </w:pPr>
      <w:r w:rsidRPr="002645F9">
        <w:rPr>
          <w:rFonts w:ascii="Times New Roman" w:hAnsi="Times New Roman"/>
          <w:sz w:val="20"/>
          <w:szCs w:val="21"/>
        </w:rPr>
        <w:t>The ATG BS point at ATG UE while ATG UE fly in horizontal and vertical domain as assumed for synchronized cases.</w:t>
      </w:r>
    </w:p>
    <w:p w14:paraId="56B2FAE5" w14:textId="17874FEA" w:rsidR="00582265" w:rsidRDefault="00E765D5" w:rsidP="00582265">
      <w:pPr>
        <w:spacing w:after="120"/>
        <w:rPr>
          <w:rFonts w:ascii="Times New Roman" w:hAnsi="Times New Roman"/>
          <w:b/>
          <w:bCs/>
          <w:sz w:val="20"/>
          <w:szCs w:val="21"/>
        </w:rPr>
      </w:pPr>
      <w:r>
        <w:rPr>
          <w:rFonts w:ascii="Times New Roman" w:hAnsi="Times New Roman"/>
          <w:b/>
          <w:bCs/>
          <w:sz w:val="20"/>
          <w:szCs w:val="21"/>
        </w:rPr>
        <w:t>Proposal 4</w:t>
      </w:r>
      <w:r w:rsidR="00582265" w:rsidRPr="002645F9">
        <w:rPr>
          <w:rFonts w:ascii="Times New Roman" w:hAnsi="Times New Roman"/>
          <w:b/>
          <w:bCs/>
          <w:sz w:val="20"/>
          <w:szCs w:val="21"/>
        </w:rPr>
        <w:t>: for the case when ATG network coverage overlaps with TN, the deployment between ATG BS and TN BS is listed as above</w:t>
      </w:r>
      <w:r w:rsidR="006E29C1">
        <w:rPr>
          <w:rFonts w:ascii="Times New Roman" w:hAnsi="Times New Roman"/>
          <w:b/>
          <w:bCs/>
          <w:sz w:val="20"/>
          <w:szCs w:val="21"/>
        </w:rPr>
        <w:t xml:space="preserve"> with following illustration</w:t>
      </w:r>
      <w:r w:rsidR="00582265" w:rsidRPr="002645F9">
        <w:rPr>
          <w:rFonts w:ascii="Times New Roman" w:hAnsi="Times New Roman"/>
          <w:b/>
          <w:bCs/>
          <w:sz w:val="20"/>
          <w:szCs w:val="21"/>
        </w:rPr>
        <w:t>.</w:t>
      </w:r>
    </w:p>
    <w:p w14:paraId="145B940E" w14:textId="12E86EEA" w:rsidR="00A53948" w:rsidRDefault="00E418BD" w:rsidP="00C22A10">
      <w:pPr>
        <w:spacing w:after="120"/>
        <w:rPr>
          <w:rFonts w:ascii="Times New Roman" w:hAnsi="Times New Roman"/>
          <w:sz w:val="20"/>
          <w:szCs w:val="21"/>
        </w:rPr>
      </w:pPr>
      <w:r>
        <w:rPr>
          <w:rFonts w:ascii="Times New Roman" w:hAnsi="Times New Roman"/>
          <w:sz w:val="20"/>
          <w:szCs w:val="21"/>
        </w:rPr>
        <w:t xml:space="preserve">. </w:t>
      </w:r>
    </w:p>
    <w:p w14:paraId="6BA163F5" w14:textId="0CF346B2" w:rsidR="00A53948" w:rsidRDefault="00E418BD" w:rsidP="00E418BD">
      <w:pPr>
        <w:spacing w:after="120"/>
        <w:jc w:val="center"/>
      </w:pPr>
      <w:r>
        <w:object w:dxaOrig="21900" w:dyaOrig="9981" w14:anchorId="181052B6">
          <v:shape id="_x0000_i1026" type="#_x0000_t75" style="width:487.4pt;height:222.1pt" o:ole="">
            <v:imagedata r:id="rId13" o:title=""/>
          </v:shape>
          <o:OLEObject Type="Embed" ProgID="Visio.Drawing.15" ShapeID="_x0000_i1026" DrawAspect="Content" ObjectID="_1745689084" r:id="rId14"/>
        </w:object>
      </w:r>
    </w:p>
    <w:p w14:paraId="6D78D098" w14:textId="60614606" w:rsidR="00DC412C" w:rsidRPr="00DC412C" w:rsidRDefault="00DC412C" w:rsidP="00DC412C">
      <w:pPr>
        <w:spacing w:after="120"/>
        <w:jc w:val="left"/>
        <w:rPr>
          <w:rFonts w:ascii="Times New Roman" w:hAnsi="Times New Roman"/>
          <w:sz w:val="20"/>
          <w:szCs w:val="20"/>
        </w:rPr>
      </w:pPr>
      <w:r w:rsidRPr="00DC412C">
        <w:rPr>
          <w:rFonts w:ascii="Times New Roman" w:hAnsi="Times New Roman"/>
          <w:sz w:val="20"/>
          <w:szCs w:val="20"/>
        </w:rPr>
        <w:t>The same as overlapping case, the test metric is listed as below</w:t>
      </w:r>
      <w:r>
        <w:rPr>
          <w:rFonts w:ascii="Times New Roman" w:hAnsi="Times New Roman"/>
          <w:sz w:val="20"/>
          <w:szCs w:val="20"/>
        </w:rPr>
        <w:t xml:space="preserve">, </w:t>
      </w:r>
      <w:r w:rsidRPr="00DC412C">
        <w:rPr>
          <w:rFonts w:ascii="Times New Roman" w:hAnsi="Times New Roman"/>
          <w:sz w:val="20"/>
          <w:szCs w:val="20"/>
        </w:rPr>
        <w:t>we can only focus on ATG BS-TN BS co-existence analysis, the test metric is listed as below:</w:t>
      </w:r>
    </w:p>
    <w:p w14:paraId="4EE73F72" w14:textId="0DD8196A" w:rsidR="00DC412C" w:rsidRPr="00DC412C" w:rsidRDefault="00DC412C" w:rsidP="00DC412C">
      <w:pPr>
        <w:pStyle w:val="ListParagraph"/>
        <w:numPr>
          <w:ilvl w:val="0"/>
          <w:numId w:val="29"/>
        </w:numPr>
        <w:spacing w:after="120"/>
        <w:ind w:firstLineChars="0"/>
        <w:jc w:val="left"/>
        <w:rPr>
          <w:rFonts w:ascii="Times New Roman" w:hAnsi="Times New Roman"/>
          <w:sz w:val="20"/>
          <w:szCs w:val="20"/>
        </w:rPr>
      </w:pPr>
      <w:r w:rsidRPr="00DC412C">
        <w:rPr>
          <w:rFonts w:ascii="Times New Roman" w:hAnsi="Times New Roman"/>
          <w:sz w:val="20"/>
          <w:szCs w:val="20"/>
        </w:rPr>
        <w:t>When TN as victim, only focus on the nearest TN sector, 5% and 50% among all drops of the nearest TN sector</w:t>
      </w:r>
    </w:p>
    <w:p w14:paraId="700DC8DF" w14:textId="36539F5F" w:rsidR="00DC412C" w:rsidRPr="00DC412C" w:rsidRDefault="00DC412C" w:rsidP="00DC412C">
      <w:pPr>
        <w:pStyle w:val="ListParagraph"/>
        <w:numPr>
          <w:ilvl w:val="0"/>
          <w:numId w:val="29"/>
        </w:numPr>
        <w:spacing w:after="120"/>
        <w:ind w:firstLineChars="0"/>
        <w:jc w:val="left"/>
        <w:rPr>
          <w:rFonts w:ascii="Times New Roman" w:hAnsi="Times New Roman"/>
          <w:sz w:val="20"/>
          <w:szCs w:val="20"/>
        </w:rPr>
      </w:pPr>
      <w:r w:rsidRPr="00DC412C">
        <w:rPr>
          <w:rFonts w:ascii="Times New Roman" w:hAnsi="Times New Roman"/>
          <w:sz w:val="20"/>
          <w:szCs w:val="20"/>
        </w:rPr>
        <w:t>When ATG as victim, 5% and 50% among all drops.</w:t>
      </w:r>
    </w:p>
    <w:p w14:paraId="0EA8200F" w14:textId="77777777" w:rsidR="00B96AF4" w:rsidRPr="00281BFF" w:rsidRDefault="00E017E1" w:rsidP="00281BFF">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sidRPr="00281BFF">
        <w:rPr>
          <w:rFonts w:ascii="Arial" w:eastAsiaTheme="minorEastAsia" w:hAnsi="Arial" w:cstheme="minorBidi"/>
          <w:sz w:val="32"/>
          <w:szCs w:val="36"/>
        </w:rPr>
        <w:t>3. Conclusions</w:t>
      </w:r>
    </w:p>
    <w:p w14:paraId="62E299F7" w14:textId="7A55773D" w:rsidR="00B96AF4" w:rsidRDefault="00E017E1" w:rsidP="00530439">
      <w:pPr>
        <w:spacing w:afterLines="50" w:after="156"/>
        <w:rPr>
          <w:rFonts w:ascii="Times New Roman" w:hAnsi="Times New Roman"/>
          <w:sz w:val="20"/>
          <w:szCs w:val="20"/>
        </w:rPr>
      </w:pPr>
      <w:r>
        <w:rPr>
          <w:rFonts w:ascii="Times New Roman" w:hAnsi="Times New Roman"/>
          <w:sz w:val="20"/>
          <w:szCs w:val="20"/>
        </w:rPr>
        <w:t xml:space="preserve">In this contribution, </w:t>
      </w:r>
      <w:r w:rsidR="00B94F77">
        <w:rPr>
          <w:rFonts w:ascii="Times New Roman" w:hAnsi="Times New Roman"/>
          <w:sz w:val="20"/>
          <w:szCs w:val="20"/>
        </w:rPr>
        <w:t>ATG simulation parameters</w:t>
      </w:r>
      <w:r>
        <w:rPr>
          <w:rFonts w:ascii="Times New Roman" w:hAnsi="Times New Roman"/>
          <w:sz w:val="20"/>
          <w:szCs w:val="20"/>
        </w:rPr>
        <w:t xml:space="preserve"> are</w:t>
      </w:r>
      <w:r>
        <w:rPr>
          <w:rFonts w:ascii="Times New Roman" w:hAnsi="Times New Roman" w:hint="eastAsia"/>
          <w:sz w:val="20"/>
          <w:szCs w:val="20"/>
        </w:rPr>
        <w:t xml:space="preserve"> discussed </w:t>
      </w:r>
      <w:r>
        <w:rPr>
          <w:rFonts w:ascii="Times New Roman" w:hAnsi="Times New Roman"/>
          <w:sz w:val="20"/>
          <w:szCs w:val="20"/>
        </w:rPr>
        <w:t xml:space="preserve">with following </w:t>
      </w:r>
      <w:r w:rsidR="00F523C9">
        <w:rPr>
          <w:rFonts w:ascii="Times New Roman" w:hAnsi="Times New Roman"/>
          <w:sz w:val="20"/>
          <w:szCs w:val="20"/>
        </w:rPr>
        <w:t xml:space="preserve">observations and </w:t>
      </w:r>
      <w:r>
        <w:rPr>
          <w:rFonts w:ascii="Times New Roman" w:hAnsi="Times New Roman"/>
          <w:sz w:val="20"/>
          <w:szCs w:val="20"/>
        </w:rPr>
        <w:t>proposals:</w:t>
      </w:r>
    </w:p>
    <w:p w14:paraId="3F4F13C4" w14:textId="77777777" w:rsidR="00C23E60" w:rsidRPr="00C23E60" w:rsidRDefault="00C23E60" w:rsidP="00C23E60">
      <w:pPr>
        <w:spacing w:after="120"/>
        <w:rPr>
          <w:rFonts w:ascii="Times New Roman" w:hAnsi="Times New Roman"/>
          <w:b/>
          <w:bCs/>
          <w:sz w:val="20"/>
          <w:szCs w:val="21"/>
        </w:rPr>
      </w:pPr>
      <w:r w:rsidRPr="00C23E60">
        <w:rPr>
          <w:rFonts w:ascii="Times New Roman" w:hAnsi="Times New Roman"/>
          <w:b/>
          <w:bCs/>
          <w:sz w:val="20"/>
          <w:szCs w:val="21"/>
        </w:rPr>
        <w:lastRenderedPageBreak/>
        <w:t>Proposal 1: for non-synchronization case, isolation distance is the distance from ATG BS to the nearest TN BS.</w:t>
      </w:r>
    </w:p>
    <w:p w14:paraId="5A09AED7" w14:textId="5DFEA3BB" w:rsidR="00F958FC" w:rsidRDefault="00C23E60" w:rsidP="00C23E60">
      <w:pPr>
        <w:spacing w:after="120"/>
        <w:rPr>
          <w:rFonts w:ascii="Times New Roman" w:hAnsi="Times New Roman"/>
          <w:b/>
          <w:bCs/>
          <w:sz w:val="20"/>
          <w:szCs w:val="21"/>
        </w:rPr>
      </w:pPr>
      <w:r w:rsidRPr="00C23E60">
        <w:rPr>
          <w:rFonts w:ascii="Times New Roman" w:hAnsi="Times New Roman"/>
          <w:b/>
          <w:bCs/>
          <w:sz w:val="20"/>
          <w:szCs w:val="21"/>
        </w:rPr>
        <w:t xml:space="preserve">Observation 1: </w:t>
      </w:r>
      <w:r>
        <w:rPr>
          <w:rFonts w:ascii="Times New Roman" w:hAnsi="Times New Roman"/>
          <w:b/>
          <w:bCs/>
          <w:sz w:val="20"/>
          <w:szCs w:val="21"/>
        </w:rPr>
        <w:t>following</w:t>
      </w:r>
      <w:r w:rsidRPr="00C23E60">
        <w:rPr>
          <w:rFonts w:ascii="Times New Roman" w:hAnsi="Times New Roman"/>
          <w:b/>
          <w:bCs/>
          <w:sz w:val="20"/>
          <w:szCs w:val="21"/>
        </w:rPr>
        <w:t xml:space="preserve"> list two cases for non-synchronization simulation.</w:t>
      </w:r>
    </w:p>
    <w:p w14:paraId="4F549AF7" w14:textId="65F5FCFC" w:rsidR="0074285F" w:rsidRPr="0074285F" w:rsidRDefault="0074285F" w:rsidP="0074285F">
      <w:pPr>
        <w:pStyle w:val="ListParagraph"/>
        <w:numPr>
          <w:ilvl w:val="0"/>
          <w:numId w:val="30"/>
        </w:numPr>
        <w:spacing w:after="120"/>
        <w:ind w:firstLineChars="0"/>
        <w:rPr>
          <w:rFonts w:ascii="Times New Roman" w:hAnsi="Times New Roman"/>
          <w:b/>
          <w:bCs/>
          <w:sz w:val="20"/>
          <w:szCs w:val="21"/>
        </w:rPr>
      </w:pPr>
      <w:r w:rsidRPr="0074285F">
        <w:rPr>
          <w:rFonts w:ascii="Times New Roman" w:hAnsi="Times New Roman"/>
          <w:b/>
          <w:bCs/>
          <w:sz w:val="20"/>
          <w:szCs w:val="21"/>
        </w:rPr>
        <w:t xml:space="preserve">one is that ATG cell coverage overlaps with TN. </w:t>
      </w:r>
    </w:p>
    <w:p w14:paraId="32AC6546" w14:textId="309C02DE" w:rsidR="00C23E60" w:rsidRPr="0074285F" w:rsidRDefault="0074285F" w:rsidP="0074285F">
      <w:pPr>
        <w:pStyle w:val="ListParagraph"/>
        <w:numPr>
          <w:ilvl w:val="0"/>
          <w:numId w:val="30"/>
        </w:numPr>
        <w:spacing w:after="120"/>
        <w:ind w:firstLineChars="0"/>
        <w:rPr>
          <w:rFonts w:ascii="Times New Roman" w:hAnsi="Times New Roman"/>
          <w:b/>
          <w:bCs/>
          <w:sz w:val="20"/>
          <w:szCs w:val="21"/>
        </w:rPr>
      </w:pPr>
      <w:r w:rsidRPr="0074285F">
        <w:rPr>
          <w:rFonts w:ascii="Times New Roman" w:hAnsi="Times New Roman"/>
          <w:b/>
          <w:bCs/>
          <w:sz w:val="20"/>
          <w:szCs w:val="21"/>
        </w:rPr>
        <w:t>the other is that ATG cell coverage doesn’t overlaps with TN.</w:t>
      </w:r>
    </w:p>
    <w:p w14:paraId="0BA6915F" w14:textId="77777777" w:rsidR="004D06E7" w:rsidRPr="008B75C7" w:rsidRDefault="004D06E7" w:rsidP="004D06E7">
      <w:pPr>
        <w:pStyle w:val="ListParagraph1"/>
        <w:spacing w:after="120"/>
        <w:ind w:firstLineChars="0" w:firstLine="0"/>
        <w:rPr>
          <w:rFonts w:eastAsiaTheme="minorEastAsia"/>
          <w:b/>
          <w:bCs/>
        </w:rPr>
      </w:pPr>
      <w:r w:rsidRPr="008B75C7">
        <w:rPr>
          <w:rFonts w:eastAsiaTheme="minorEastAsia"/>
          <w:b/>
          <w:bCs/>
        </w:rPr>
        <w:t>Observation 2: For ATG cell coverage overlaps with TN, operators use the same operation band for ATG and TN network in the same area. But the TN coverage is not contiguous so that there is isolation between Tn BS and ATG BS.</w:t>
      </w:r>
    </w:p>
    <w:p w14:paraId="2B659CFF" w14:textId="118B183B" w:rsidR="004D06E7" w:rsidRDefault="004D06E7" w:rsidP="004D06E7">
      <w:pPr>
        <w:spacing w:after="120"/>
        <w:rPr>
          <w:rFonts w:ascii="Times New Roman" w:hAnsi="Times New Roman"/>
          <w:b/>
          <w:bCs/>
          <w:sz w:val="20"/>
          <w:szCs w:val="21"/>
        </w:rPr>
      </w:pPr>
      <w:r>
        <w:rPr>
          <w:rFonts w:ascii="Times New Roman" w:hAnsi="Times New Roman"/>
          <w:b/>
          <w:bCs/>
          <w:sz w:val="20"/>
          <w:szCs w:val="21"/>
        </w:rPr>
        <w:t>Proposal</w:t>
      </w:r>
      <w:r w:rsidRPr="00D9067F">
        <w:rPr>
          <w:rFonts w:ascii="Times New Roman" w:hAnsi="Times New Roman"/>
          <w:b/>
          <w:bCs/>
          <w:sz w:val="20"/>
          <w:szCs w:val="21"/>
        </w:rPr>
        <w:t xml:space="preserve"> 2: </w:t>
      </w:r>
      <w:r>
        <w:rPr>
          <w:rFonts w:ascii="Times New Roman" w:hAnsi="Times New Roman"/>
          <w:b/>
          <w:bCs/>
          <w:sz w:val="20"/>
          <w:szCs w:val="21"/>
        </w:rPr>
        <w:t xml:space="preserve">for the case when ATG network coverage overlaps with TN, </w:t>
      </w:r>
      <w:r w:rsidRPr="00D9067F">
        <w:rPr>
          <w:rFonts w:ascii="Times New Roman" w:hAnsi="Times New Roman"/>
          <w:b/>
          <w:bCs/>
          <w:sz w:val="20"/>
          <w:szCs w:val="21"/>
        </w:rPr>
        <w:t xml:space="preserve">the worst deployment </w:t>
      </w:r>
      <w:r>
        <w:rPr>
          <w:rFonts w:ascii="Times New Roman" w:hAnsi="Times New Roman"/>
          <w:b/>
          <w:bCs/>
          <w:sz w:val="20"/>
          <w:szCs w:val="21"/>
        </w:rPr>
        <w:t xml:space="preserve">relationship </w:t>
      </w:r>
      <w:r w:rsidRPr="00D9067F">
        <w:rPr>
          <w:rFonts w:ascii="Times New Roman" w:hAnsi="Times New Roman"/>
          <w:b/>
          <w:bCs/>
          <w:sz w:val="20"/>
          <w:szCs w:val="21"/>
        </w:rPr>
        <w:t xml:space="preserve">between ATG BS and TN BS is listed as </w:t>
      </w:r>
      <w:r w:rsidR="00F94CBF">
        <w:rPr>
          <w:rFonts w:ascii="Times New Roman" w:hAnsi="Times New Roman"/>
          <w:b/>
          <w:bCs/>
          <w:sz w:val="20"/>
          <w:szCs w:val="21"/>
        </w:rPr>
        <w:t>below</w:t>
      </w:r>
      <w:r>
        <w:rPr>
          <w:rFonts w:ascii="Times New Roman" w:hAnsi="Times New Roman"/>
          <w:b/>
          <w:bCs/>
          <w:sz w:val="20"/>
          <w:szCs w:val="21"/>
        </w:rPr>
        <w:t xml:space="preserve"> with following illustration</w:t>
      </w:r>
      <w:r w:rsidRPr="00D9067F">
        <w:rPr>
          <w:rFonts w:ascii="Times New Roman" w:hAnsi="Times New Roman"/>
          <w:b/>
          <w:bCs/>
          <w:sz w:val="20"/>
          <w:szCs w:val="21"/>
        </w:rPr>
        <w:t xml:space="preserve">. </w:t>
      </w:r>
    </w:p>
    <w:p w14:paraId="4A4D2836" w14:textId="77777777" w:rsidR="004D06E7" w:rsidRPr="001C7B68" w:rsidRDefault="004D06E7" w:rsidP="004D06E7">
      <w:pPr>
        <w:numPr>
          <w:ilvl w:val="0"/>
          <w:numId w:val="26"/>
        </w:numPr>
        <w:spacing w:after="120"/>
        <w:rPr>
          <w:rFonts w:ascii="Times New Roman" w:hAnsi="Times New Roman"/>
          <w:sz w:val="20"/>
          <w:szCs w:val="21"/>
        </w:rPr>
      </w:pPr>
      <w:r w:rsidRPr="001C7B68">
        <w:rPr>
          <w:rFonts w:ascii="Times New Roman" w:hAnsi="Times New Roman"/>
          <w:sz w:val="20"/>
          <w:szCs w:val="21"/>
        </w:rPr>
        <w:t>The ATG BS sector should be pointing towards at nearest TN sector in azimuth</w:t>
      </w:r>
    </w:p>
    <w:p w14:paraId="0D0C73FD" w14:textId="77777777" w:rsidR="004D06E7" w:rsidRPr="001C7B68" w:rsidRDefault="004D06E7" w:rsidP="004D06E7">
      <w:pPr>
        <w:numPr>
          <w:ilvl w:val="0"/>
          <w:numId w:val="26"/>
        </w:numPr>
        <w:spacing w:after="120"/>
        <w:rPr>
          <w:rFonts w:ascii="Times New Roman" w:hAnsi="Times New Roman"/>
          <w:sz w:val="20"/>
          <w:szCs w:val="21"/>
        </w:rPr>
      </w:pPr>
      <w:r w:rsidRPr="001C7B68">
        <w:rPr>
          <w:rFonts w:ascii="Times New Roman" w:hAnsi="Times New Roman"/>
          <w:sz w:val="20"/>
          <w:szCs w:val="21"/>
        </w:rPr>
        <w:t xml:space="preserve">Nearest TN sector antenna panel mechanically point at ATG BS in azimuth but electrically point at UE which is random in 120degree horizontal coverage </w:t>
      </w:r>
    </w:p>
    <w:p w14:paraId="31CA789E" w14:textId="77777777" w:rsidR="004D06E7" w:rsidRPr="001C7B68" w:rsidRDefault="004D06E7" w:rsidP="004D06E7">
      <w:pPr>
        <w:numPr>
          <w:ilvl w:val="0"/>
          <w:numId w:val="26"/>
        </w:numPr>
        <w:spacing w:after="120"/>
        <w:rPr>
          <w:rFonts w:ascii="Times New Roman" w:hAnsi="Times New Roman"/>
          <w:sz w:val="20"/>
          <w:szCs w:val="21"/>
        </w:rPr>
      </w:pPr>
      <w:r w:rsidRPr="001C7B68">
        <w:rPr>
          <w:rFonts w:ascii="Times New Roman" w:hAnsi="Times New Roman"/>
          <w:sz w:val="20"/>
          <w:szCs w:val="21"/>
        </w:rPr>
        <w:t>The ATG BS point at ATG UE while ATG UE fly in horizontal and vertical domain as assumed for synchronized cases.</w:t>
      </w:r>
    </w:p>
    <w:p w14:paraId="2B5B167D" w14:textId="38B4A368" w:rsidR="004D06E7" w:rsidRPr="004D06E7" w:rsidRDefault="00F94CBF" w:rsidP="004D06E7">
      <w:pPr>
        <w:spacing w:after="120"/>
        <w:rPr>
          <w:rFonts w:ascii="Times New Roman" w:hAnsi="Times New Roman"/>
          <w:b/>
          <w:bCs/>
          <w:sz w:val="20"/>
          <w:szCs w:val="21"/>
        </w:rPr>
      </w:pPr>
      <w:r>
        <w:object w:dxaOrig="18880" w:dyaOrig="8670" w14:anchorId="7F855256">
          <v:shape id="_x0000_i1027" type="#_x0000_t75" style="width:486.85pt;height:223.75pt" o:ole="">
            <v:imagedata r:id="rId11" o:title=""/>
          </v:shape>
          <o:OLEObject Type="Embed" ProgID="Visio.Drawing.15" ShapeID="_x0000_i1027" DrawAspect="Content" ObjectID="_1745689085" r:id="rId15"/>
        </w:object>
      </w:r>
    </w:p>
    <w:p w14:paraId="4A3ADE29" w14:textId="77777777" w:rsidR="00F94CBF" w:rsidRPr="00F94CBF" w:rsidRDefault="00F94CBF" w:rsidP="00F94CBF">
      <w:pPr>
        <w:spacing w:after="120"/>
        <w:rPr>
          <w:rFonts w:ascii="Times New Roman" w:hAnsi="Times New Roman"/>
          <w:b/>
          <w:bCs/>
          <w:sz w:val="20"/>
          <w:szCs w:val="21"/>
        </w:rPr>
      </w:pPr>
      <w:r w:rsidRPr="00F94CBF">
        <w:rPr>
          <w:rFonts w:ascii="Times New Roman" w:hAnsi="Times New Roman"/>
          <w:b/>
          <w:bCs/>
          <w:sz w:val="20"/>
          <w:szCs w:val="21"/>
        </w:rPr>
        <w:t>Proposal 3: for non-synchronization case, we can only focus on ATG BS-TN BS co-existence analysis, the test metric is listed as below:</w:t>
      </w:r>
    </w:p>
    <w:p w14:paraId="4F69B9F0" w14:textId="77777777" w:rsidR="00F94CBF" w:rsidRPr="00F94CBF" w:rsidRDefault="00F94CBF" w:rsidP="00F94CBF">
      <w:pPr>
        <w:spacing w:after="120"/>
        <w:rPr>
          <w:rFonts w:ascii="Times New Roman" w:hAnsi="Times New Roman"/>
          <w:b/>
          <w:bCs/>
          <w:sz w:val="20"/>
          <w:szCs w:val="21"/>
        </w:rPr>
      </w:pPr>
      <w:r w:rsidRPr="00F94CBF">
        <w:rPr>
          <w:rFonts w:ascii="Times New Roman" w:hAnsi="Times New Roman"/>
          <w:b/>
          <w:bCs/>
          <w:sz w:val="20"/>
          <w:szCs w:val="21"/>
        </w:rPr>
        <w:t></w:t>
      </w:r>
      <w:r w:rsidRPr="00F94CBF">
        <w:rPr>
          <w:rFonts w:ascii="Times New Roman" w:hAnsi="Times New Roman"/>
          <w:b/>
          <w:bCs/>
          <w:sz w:val="20"/>
          <w:szCs w:val="21"/>
        </w:rPr>
        <w:tab/>
        <w:t>When TN as victim, only focus on the nearest TN sector, 5% and 50% among all drops of the nearest TN sector</w:t>
      </w:r>
    </w:p>
    <w:p w14:paraId="23E1F001" w14:textId="260F0D5F" w:rsidR="0074285F" w:rsidRDefault="00F94CBF" w:rsidP="00F94CBF">
      <w:pPr>
        <w:spacing w:after="120"/>
        <w:rPr>
          <w:rFonts w:ascii="Times New Roman" w:hAnsi="Times New Roman"/>
          <w:b/>
          <w:bCs/>
          <w:sz w:val="20"/>
          <w:szCs w:val="21"/>
        </w:rPr>
      </w:pPr>
      <w:r w:rsidRPr="00F94CBF">
        <w:rPr>
          <w:rFonts w:ascii="Times New Roman" w:hAnsi="Times New Roman"/>
          <w:b/>
          <w:bCs/>
          <w:sz w:val="20"/>
          <w:szCs w:val="21"/>
        </w:rPr>
        <w:t></w:t>
      </w:r>
      <w:r w:rsidRPr="00F94CBF">
        <w:rPr>
          <w:rFonts w:ascii="Times New Roman" w:hAnsi="Times New Roman"/>
          <w:b/>
          <w:bCs/>
          <w:sz w:val="20"/>
          <w:szCs w:val="21"/>
        </w:rPr>
        <w:tab/>
        <w:t>When ATG as victim, 5% and 50% among all drops.</w:t>
      </w:r>
    </w:p>
    <w:p w14:paraId="7155CF37" w14:textId="77777777" w:rsidR="00F94CBF" w:rsidRPr="00F94CBF" w:rsidRDefault="00F94CBF" w:rsidP="00F94CBF">
      <w:pPr>
        <w:spacing w:after="120"/>
        <w:rPr>
          <w:rFonts w:ascii="Times New Roman" w:hAnsi="Times New Roman"/>
          <w:b/>
          <w:bCs/>
          <w:sz w:val="20"/>
          <w:szCs w:val="21"/>
        </w:rPr>
      </w:pPr>
      <w:r w:rsidRPr="00F94CBF">
        <w:rPr>
          <w:rFonts w:ascii="Times New Roman" w:hAnsi="Times New Roman"/>
          <w:b/>
          <w:bCs/>
          <w:sz w:val="20"/>
          <w:szCs w:val="21"/>
        </w:rPr>
        <w:t>Observation 3: For the other case when ATG network coverage doesn’t overlap with TN coverage, the isolation distance is used to guild under which isolation distance the operator could use the same ATG operation bands for TN network.</w:t>
      </w:r>
    </w:p>
    <w:p w14:paraId="2840FCA8" w14:textId="5A9F4EB0" w:rsidR="00F94CBF" w:rsidRDefault="00F94CBF" w:rsidP="00F94CBF">
      <w:pPr>
        <w:spacing w:after="120"/>
        <w:rPr>
          <w:rFonts w:ascii="Times New Roman" w:hAnsi="Times New Roman"/>
          <w:b/>
          <w:bCs/>
          <w:sz w:val="20"/>
          <w:szCs w:val="21"/>
        </w:rPr>
      </w:pPr>
      <w:r w:rsidRPr="00F94CBF">
        <w:rPr>
          <w:rFonts w:ascii="Times New Roman" w:hAnsi="Times New Roman"/>
          <w:b/>
          <w:bCs/>
          <w:sz w:val="20"/>
          <w:szCs w:val="21"/>
        </w:rPr>
        <w:t>Proposal 4: for the case when ATG network coverage overlaps with TN, the deployment between ATG BS and TN BS is listed as above with following illustration.</w:t>
      </w:r>
    </w:p>
    <w:p w14:paraId="71D24108" w14:textId="6CADB54A" w:rsidR="00F94CBF" w:rsidRPr="00546FAE" w:rsidRDefault="00F94CBF" w:rsidP="00546FAE">
      <w:pPr>
        <w:pStyle w:val="ListParagraph"/>
        <w:numPr>
          <w:ilvl w:val="0"/>
          <w:numId w:val="31"/>
        </w:numPr>
        <w:spacing w:after="120"/>
        <w:ind w:firstLineChars="0"/>
        <w:rPr>
          <w:rFonts w:ascii="Times New Roman" w:hAnsi="Times New Roman"/>
          <w:b/>
          <w:bCs/>
          <w:sz w:val="20"/>
          <w:szCs w:val="21"/>
        </w:rPr>
      </w:pPr>
      <w:r w:rsidRPr="00546FAE">
        <w:rPr>
          <w:rFonts w:ascii="Times New Roman" w:hAnsi="Times New Roman"/>
          <w:b/>
          <w:bCs/>
          <w:sz w:val="20"/>
          <w:szCs w:val="21"/>
        </w:rPr>
        <w:t xml:space="preserve">Nearest TN sector antenna panel mechanically point at ATG BS in azimuth but electrically point at UE which </w:t>
      </w:r>
      <w:r w:rsidRPr="00546FAE">
        <w:rPr>
          <w:rFonts w:ascii="Times New Roman" w:hAnsi="Times New Roman"/>
          <w:b/>
          <w:bCs/>
          <w:sz w:val="20"/>
          <w:szCs w:val="21"/>
        </w:rPr>
        <w:lastRenderedPageBreak/>
        <w:t xml:space="preserve">is random in 120degree horizontal coverage </w:t>
      </w:r>
    </w:p>
    <w:p w14:paraId="2A15CCAA" w14:textId="5F10D4A3" w:rsidR="00F94CBF" w:rsidRPr="00546FAE" w:rsidRDefault="00F94CBF" w:rsidP="00546FAE">
      <w:pPr>
        <w:pStyle w:val="ListParagraph"/>
        <w:numPr>
          <w:ilvl w:val="0"/>
          <w:numId w:val="31"/>
        </w:numPr>
        <w:spacing w:after="120"/>
        <w:ind w:firstLineChars="0"/>
        <w:rPr>
          <w:rFonts w:ascii="Times New Roman" w:hAnsi="Times New Roman"/>
          <w:b/>
          <w:bCs/>
          <w:sz w:val="20"/>
          <w:szCs w:val="21"/>
        </w:rPr>
      </w:pPr>
      <w:r w:rsidRPr="00546FAE">
        <w:rPr>
          <w:rFonts w:ascii="Times New Roman" w:hAnsi="Times New Roman"/>
          <w:b/>
          <w:bCs/>
          <w:sz w:val="20"/>
          <w:szCs w:val="21"/>
        </w:rPr>
        <w:t>The ATG BS point at ATG UE but perpendicular to the line towards nearest TN BS in azimuth</w:t>
      </w:r>
    </w:p>
    <w:p w14:paraId="215959DF" w14:textId="23BA5BB1" w:rsidR="00F94CBF" w:rsidRPr="00546FAE" w:rsidRDefault="00F94CBF" w:rsidP="00546FAE">
      <w:pPr>
        <w:pStyle w:val="ListParagraph"/>
        <w:numPr>
          <w:ilvl w:val="0"/>
          <w:numId w:val="31"/>
        </w:numPr>
        <w:spacing w:after="120"/>
        <w:ind w:firstLineChars="0"/>
        <w:rPr>
          <w:rFonts w:ascii="Times New Roman" w:hAnsi="Times New Roman"/>
          <w:b/>
          <w:bCs/>
          <w:sz w:val="20"/>
          <w:szCs w:val="21"/>
        </w:rPr>
      </w:pPr>
      <w:r w:rsidRPr="00546FAE">
        <w:rPr>
          <w:rFonts w:ascii="Times New Roman" w:hAnsi="Times New Roman"/>
          <w:b/>
          <w:bCs/>
          <w:sz w:val="20"/>
          <w:szCs w:val="21"/>
        </w:rPr>
        <w:t>The ATG BS point at ATG UE while ATG UE fly in horizontal and vertical domain as assumed for synchronized cases.</w:t>
      </w:r>
    </w:p>
    <w:p w14:paraId="3490A23D" w14:textId="4169FA05" w:rsidR="00F94CBF" w:rsidRPr="00F94CBF" w:rsidRDefault="00F94CBF" w:rsidP="00F94CBF">
      <w:pPr>
        <w:spacing w:after="120"/>
        <w:rPr>
          <w:rFonts w:ascii="Times New Roman" w:hAnsi="Times New Roman"/>
          <w:b/>
          <w:bCs/>
          <w:sz w:val="20"/>
          <w:szCs w:val="21"/>
        </w:rPr>
      </w:pPr>
      <w:r>
        <w:object w:dxaOrig="21900" w:dyaOrig="9981" w14:anchorId="500DEDD6">
          <v:shape id="_x0000_i1028" type="#_x0000_t75" style="width:487.4pt;height:222.1pt" o:ole="">
            <v:imagedata r:id="rId13" o:title=""/>
          </v:shape>
          <o:OLEObject Type="Embed" ProgID="Visio.Drawing.15" ShapeID="_x0000_i1028" DrawAspect="Content" ObjectID="_1745689086" r:id="rId16"/>
        </w:object>
      </w:r>
    </w:p>
    <w:p w14:paraId="6CAC575C" w14:textId="77777777" w:rsidR="00B96AF4" w:rsidRDefault="00E017E1">
      <w:pPr>
        <w:keepNext/>
        <w:keepLines/>
        <w:widowControl/>
        <w:pBdr>
          <w:top w:val="single" w:sz="12" w:space="1" w:color="auto"/>
        </w:pBdr>
        <w:tabs>
          <w:tab w:val="left" w:pos="567"/>
        </w:tabs>
        <w:adjustRightInd w:val="0"/>
        <w:spacing w:before="240" w:after="180"/>
        <w:ind w:left="510" w:hanging="510"/>
        <w:outlineLvl w:val="0"/>
        <w:rPr>
          <w:rFonts w:ascii="Calibri" w:eastAsiaTheme="minorEastAsia" w:hAnsi="Calibri" w:cstheme="minorBidi"/>
          <w:sz w:val="32"/>
          <w:szCs w:val="36"/>
        </w:rPr>
      </w:pPr>
      <w:r>
        <w:rPr>
          <w:rFonts w:ascii="Arial" w:eastAsiaTheme="minorEastAsia" w:hAnsi="Arial" w:cstheme="minorBidi"/>
          <w:sz w:val="32"/>
          <w:szCs w:val="36"/>
        </w:rPr>
        <w:t>4. Reference</w:t>
      </w:r>
    </w:p>
    <w:p w14:paraId="4395776A" w14:textId="3156819C" w:rsidR="004359A1" w:rsidRDefault="000F57C5">
      <w:pPr>
        <w:widowControl/>
        <w:overflowPunct w:val="0"/>
        <w:autoSpaceDE w:val="0"/>
        <w:autoSpaceDN w:val="0"/>
        <w:adjustRightInd w:val="0"/>
        <w:spacing w:after="180"/>
        <w:jc w:val="left"/>
        <w:textAlignment w:val="baseline"/>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 xml:space="preserve">1] </w:t>
      </w:r>
      <w:r w:rsidR="006124C6" w:rsidRPr="006124C6">
        <w:rPr>
          <w:rFonts w:ascii="Times New Roman" w:hAnsi="Times New Roman"/>
          <w:sz w:val="20"/>
          <w:szCs w:val="20"/>
        </w:rPr>
        <w:t>R4-230</w:t>
      </w:r>
      <w:r w:rsidR="00242D02">
        <w:rPr>
          <w:rFonts w:ascii="Times New Roman" w:hAnsi="Times New Roman"/>
          <w:sz w:val="20"/>
          <w:szCs w:val="20"/>
        </w:rPr>
        <w:t>6607</w:t>
      </w:r>
      <w:r>
        <w:rPr>
          <w:rFonts w:ascii="Times New Roman" w:hAnsi="Times New Roman"/>
          <w:sz w:val="20"/>
          <w:szCs w:val="20"/>
        </w:rPr>
        <w:t xml:space="preserve">, </w:t>
      </w:r>
      <w:r w:rsidR="006124C6" w:rsidRPr="006124C6">
        <w:rPr>
          <w:rFonts w:ascii="Times New Roman" w:hAnsi="Times New Roman"/>
          <w:sz w:val="20"/>
          <w:szCs w:val="20"/>
        </w:rPr>
        <w:t>WF on ATG co-existence evaluation</w:t>
      </w:r>
      <w:r w:rsidR="006124C6">
        <w:rPr>
          <w:rFonts w:ascii="Times New Roman" w:hAnsi="Times New Roman"/>
          <w:sz w:val="20"/>
          <w:szCs w:val="20"/>
        </w:rPr>
        <w:t>, CMCC</w:t>
      </w:r>
    </w:p>
    <w:sectPr w:rsidR="004359A1" w:rsidSect="007F721E">
      <w:headerReference w:type="default" r:id="rId17"/>
      <w:pgSz w:w="11906" w:h="16838"/>
      <w:pgMar w:top="144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249F4" w14:textId="77777777" w:rsidR="00D7369F" w:rsidRDefault="00D7369F">
      <w:r>
        <w:separator/>
      </w:r>
    </w:p>
  </w:endnote>
  <w:endnote w:type="continuationSeparator" w:id="0">
    <w:p w14:paraId="27BC801B" w14:textId="77777777" w:rsidR="00D7369F" w:rsidRDefault="00D73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New York">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DE1D69" w14:textId="77777777" w:rsidR="00D7369F" w:rsidRDefault="00D7369F">
      <w:r>
        <w:separator/>
      </w:r>
    </w:p>
  </w:footnote>
  <w:footnote w:type="continuationSeparator" w:id="0">
    <w:p w14:paraId="2ECE433D" w14:textId="77777777" w:rsidR="00D7369F" w:rsidRDefault="00D736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038E7" w14:textId="77777777" w:rsidR="00B96AF4" w:rsidRDefault="00B96AF4">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E50B6E"/>
    <w:multiLevelType w:val="singleLevel"/>
    <w:tmpl w:val="D2E50B6E"/>
    <w:lvl w:ilvl="0">
      <w:start w:val="1"/>
      <w:numFmt w:val="bullet"/>
      <w:lvlText w:val=""/>
      <w:lvlJc w:val="left"/>
      <w:pPr>
        <w:ind w:left="420" w:hanging="420"/>
      </w:pPr>
      <w:rPr>
        <w:rFonts w:ascii="Wingdings" w:hAnsi="Wingdings" w:hint="default"/>
      </w:rPr>
    </w:lvl>
  </w:abstractNum>
  <w:abstractNum w:abstractNumId="1" w15:restartNumberingAfterBreak="0">
    <w:nsid w:val="01E8496E"/>
    <w:multiLevelType w:val="hybridMultilevel"/>
    <w:tmpl w:val="A646444E"/>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2E65194"/>
    <w:multiLevelType w:val="multilevel"/>
    <w:tmpl w:val="BC6E790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8530991"/>
    <w:multiLevelType w:val="hybridMultilevel"/>
    <w:tmpl w:val="47F85168"/>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DE82727"/>
    <w:multiLevelType w:val="hybridMultilevel"/>
    <w:tmpl w:val="7248AB7C"/>
    <w:lvl w:ilvl="0" w:tplc="63CC18B0">
      <w:start w:val="1"/>
      <w:numFmt w:val="bullet"/>
      <w:lvlText w:val=""/>
      <w:lvlJc w:val="left"/>
      <w:pPr>
        <w:tabs>
          <w:tab w:val="num" w:pos="720"/>
        </w:tabs>
        <w:ind w:left="720" w:hanging="360"/>
      </w:pPr>
      <w:rPr>
        <w:rFonts w:ascii="Wingdings" w:hAnsi="Wingdings" w:hint="default"/>
      </w:rPr>
    </w:lvl>
    <w:lvl w:ilvl="1" w:tplc="9150120A" w:tentative="1">
      <w:start w:val="1"/>
      <w:numFmt w:val="bullet"/>
      <w:lvlText w:val=""/>
      <w:lvlJc w:val="left"/>
      <w:pPr>
        <w:tabs>
          <w:tab w:val="num" w:pos="1440"/>
        </w:tabs>
        <w:ind w:left="1440" w:hanging="360"/>
      </w:pPr>
      <w:rPr>
        <w:rFonts w:ascii="Wingdings" w:hAnsi="Wingdings" w:hint="default"/>
      </w:rPr>
    </w:lvl>
    <w:lvl w:ilvl="2" w:tplc="61E2AE72" w:tentative="1">
      <w:start w:val="1"/>
      <w:numFmt w:val="bullet"/>
      <w:lvlText w:val=""/>
      <w:lvlJc w:val="left"/>
      <w:pPr>
        <w:tabs>
          <w:tab w:val="num" w:pos="2160"/>
        </w:tabs>
        <w:ind w:left="2160" w:hanging="360"/>
      </w:pPr>
      <w:rPr>
        <w:rFonts w:ascii="Wingdings" w:hAnsi="Wingdings" w:hint="default"/>
      </w:rPr>
    </w:lvl>
    <w:lvl w:ilvl="3" w:tplc="EFF6464C" w:tentative="1">
      <w:start w:val="1"/>
      <w:numFmt w:val="bullet"/>
      <w:lvlText w:val=""/>
      <w:lvlJc w:val="left"/>
      <w:pPr>
        <w:tabs>
          <w:tab w:val="num" w:pos="2880"/>
        </w:tabs>
        <w:ind w:left="2880" w:hanging="360"/>
      </w:pPr>
      <w:rPr>
        <w:rFonts w:ascii="Wingdings" w:hAnsi="Wingdings" w:hint="default"/>
      </w:rPr>
    </w:lvl>
    <w:lvl w:ilvl="4" w:tplc="5922BE2A" w:tentative="1">
      <w:start w:val="1"/>
      <w:numFmt w:val="bullet"/>
      <w:lvlText w:val=""/>
      <w:lvlJc w:val="left"/>
      <w:pPr>
        <w:tabs>
          <w:tab w:val="num" w:pos="3600"/>
        </w:tabs>
        <w:ind w:left="3600" w:hanging="360"/>
      </w:pPr>
      <w:rPr>
        <w:rFonts w:ascii="Wingdings" w:hAnsi="Wingdings" w:hint="default"/>
      </w:rPr>
    </w:lvl>
    <w:lvl w:ilvl="5" w:tplc="E28CBEAE" w:tentative="1">
      <w:start w:val="1"/>
      <w:numFmt w:val="bullet"/>
      <w:lvlText w:val=""/>
      <w:lvlJc w:val="left"/>
      <w:pPr>
        <w:tabs>
          <w:tab w:val="num" w:pos="4320"/>
        </w:tabs>
        <w:ind w:left="4320" w:hanging="360"/>
      </w:pPr>
      <w:rPr>
        <w:rFonts w:ascii="Wingdings" w:hAnsi="Wingdings" w:hint="default"/>
      </w:rPr>
    </w:lvl>
    <w:lvl w:ilvl="6" w:tplc="BDF4E720" w:tentative="1">
      <w:start w:val="1"/>
      <w:numFmt w:val="bullet"/>
      <w:lvlText w:val=""/>
      <w:lvlJc w:val="left"/>
      <w:pPr>
        <w:tabs>
          <w:tab w:val="num" w:pos="5040"/>
        </w:tabs>
        <w:ind w:left="5040" w:hanging="360"/>
      </w:pPr>
      <w:rPr>
        <w:rFonts w:ascii="Wingdings" w:hAnsi="Wingdings" w:hint="default"/>
      </w:rPr>
    </w:lvl>
    <w:lvl w:ilvl="7" w:tplc="56B600BC" w:tentative="1">
      <w:start w:val="1"/>
      <w:numFmt w:val="bullet"/>
      <w:lvlText w:val=""/>
      <w:lvlJc w:val="left"/>
      <w:pPr>
        <w:tabs>
          <w:tab w:val="num" w:pos="5760"/>
        </w:tabs>
        <w:ind w:left="5760" w:hanging="360"/>
      </w:pPr>
      <w:rPr>
        <w:rFonts w:ascii="Wingdings" w:hAnsi="Wingdings" w:hint="default"/>
      </w:rPr>
    </w:lvl>
    <w:lvl w:ilvl="8" w:tplc="A94EB97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7E54B3"/>
    <w:multiLevelType w:val="hybridMultilevel"/>
    <w:tmpl w:val="3A763670"/>
    <w:lvl w:ilvl="0" w:tplc="2A1CE0B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0A109FA"/>
    <w:multiLevelType w:val="hybridMultilevel"/>
    <w:tmpl w:val="B3EC14EC"/>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1531425"/>
    <w:multiLevelType w:val="hybridMultilevel"/>
    <w:tmpl w:val="06B0E0F6"/>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5C777D2"/>
    <w:multiLevelType w:val="hybridMultilevel"/>
    <w:tmpl w:val="F92CBD1C"/>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5ED362C"/>
    <w:multiLevelType w:val="hybridMultilevel"/>
    <w:tmpl w:val="E9B2EA94"/>
    <w:lvl w:ilvl="0" w:tplc="2A1CE0B6">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6676F3A"/>
    <w:multiLevelType w:val="hybridMultilevel"/>
    <w:tmpl w:val="4B04458A"/>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C492886"/>
    <w:multiLevelType w:val="hybridMultilevel"/>
    <w:tmpl w:val="CB6468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DA368D0"/>
    <w:multiLevelType w:val="hybridMultilevel"/>
    <w:tmpl w:val="8B245C4C"/>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40180BC4"/>
    <w:multiLevelType w:val="hybridMultilevel"/>
    <w:tmpl w:val="040A377C"/>
    <w:lvl w:ilvl="0" w:tplc="EFF406BA">
      <w:start w:val="1"/>
      <w:numFmt w:val="bullet"/>
      <w:lvlText w:val=""/>
      <w:lvlJc w:val="left"/>
      <w:pPr>
        <w:tabs>
          <w:tab w:val="num" w:pos="720"/>
        </w:tabs>
        <w:ind w:left="720" w:hanging="360"/>
      </w:pPr>
      <w:rPr>
        <w:rFonts w:ascii="Wingdings" w:hAnsi="Wingdings" w:hint="default"/>
      </w:rPr>
    </w:lvl>
    <w:lvl w:ilvl="1" w:tplc="6FCA1084">
      <w:start w:val="1"/>
      <w:numFmt w:val="bullet"/>
      <w:lvlText w:val=""/>
      <w:lvlJc w:val="left"/>
      <w:pPr>
        <w:tabs>
          <w:tab w:val="num" w:pos="1440"/>
        </w:tabs>
        <w:ind w:left="1440" w:hanging="360"/>
      </w:pPr>
      <w:rPr>
        <w:rFonts w:ascii="Wingdings" w:hAnsi="Wingdings" w:hint="default"/>
      </w:rPr>
    </w:lvl>
    <w:lvl w:ilvl="2" w:tplc="EF2E57B2">
      <w:numFmt w:val="bullet"/>
      <w:lvlText w:val=""/>
      <w:lvlJc w:val="left"/>
      <w:pPr>
        <w:tabs>
          <w:tab w:val="num" w:pos="2160"/>
        </w:tabs>
        <w:ind w:left="2160" w:hanging="360"/>
      </w:pPr>
      <w:rPr>
        <w:rFonts w:ascii="Wingdings" w:hAnsi="Wingdings" w:hint="default"/>
      </w:rPr>
    </w:lvl>
    <w:lvl w:ilvl="3" w:tplc="B8203A6C">
      <w:numFmt w:val="bullet"/>
      <w:lvlText w:val=""/>
      <w:lvlJc w:val="left"/>
      <w:pPr>
        <w:tabs>
          <w:tab w:val="num" w:pos="2880"/>
        </w:tabs>
        <w:ind w:left="2880" w:hanging="360"/>
      </w:pPr>
      <w:rPr>
        <w:rFonts w:ascii="Wingdings" w:hAnsi="Wingdings" w:hint="default"/>
      </w:rPr>
    </w:lvl>
    <w:lvl w:ilvl="4" w:tplc="B11272A0" w:tentative="1">
      <w:start w:val="1"/>
      <w:numFmt w:val="bullet"/>
      <w:lvlText w:val=""/>
      <w:lvlJc w:val="left"/>
      <w:pPr>
        <w:tabs>
          <w:tab w:val="num" w:pos="3600"/>
        </w:tabs>
        <w:ind w:left="3600" w:hanging="360"/>
      </w:pPr>
      <w:rPr>
        <w:rFonts w:ascii="Wingdings" w:hAnsi="Wingdings" w:hint="default"/>
      </w:rPr>
    </w:lvl>
    <w:lvl w:ilvl="5" w:tplc="0484BD08" w:tentative="1">
      <w:start w:val="1"/>
      <w:numFmt w:val="bullet"/>
      <w:lvlText w:val=""/>
      <w:lvlJc w:val="left"/>
      <w:pPr>
        <w:tabs>
          <w:tab w:val="num" w:pos="4320"/>
        </w:tabs>
        <w:ind w:left="4320" w:hanging="360"/>
      </w:pPr>
      <w:rPr>
        <w:rFonts w:ascii="Wingdings" w:hAnsi="Wingdings" w:hint="default"/>
      </w:rPr>
    </w:lvl>
    <w:lvl w:ilvl="6" w:tplc="4C4EAC94" w:tentative="1">
      <w:start w:val="1"/>
      <w:numFmt w:val="bullet"/>
      <w:lvlText w:val=""/>
      <w:lvlJc w:val="left"/>
      <w:pPr>
        <w:tabs>
          <w:tab w:val="num" w:pos="5040"/>
        </w:tabs>
        <w:ind w:left="5040" w:hanging="360"/>
      </w:pPr>
      <w:rPr>
        <w:rFonts w:ascii="Wingdings" w:hAnsi="Wingdings" w:hint="default"/>
      </w:rPr>
    </w:lvl>
    <w:lvl w:ilvl="7" w:tplc="366068B0" w:tentative="1">
      <w:start w:val="1"/>
      <w:numFmt w:val="bullet"/>
      <w:lvlText w:val=""/>
      <w:lvlJc w:val="left"/>
      <w:pPr>
        <w:tabs>
          <w:tab w:val="num" w:pos="5760"/>
        </w:tabs>
        <w:ind w:left="5760" w:hanging="360"/>
      </w:pPr>
      <w:rPr>
        <w:rFonts w:ascii="Wingdings" w:hAnsi="Wingdings" w:hint="default"/>
      </w:rPr>
    </w:lvl>
    <w:lvl w:ilvl="8" w:tplc="B80E66D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BBA741F"/>
    <w:multiLevelType w:val="hybridMultilevel"/>
    <w:tmpl w:val="313E9104"/>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721448"/>
    <w:multiLevelType w:val="multilevel"/>
    <w:tmpl w:val="76563376"/>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54CD75B1"/>
    <w:multiLevelType w:val="hybridMultilevel"/>
    <w:tmpl w:val="8BDE38A6"/>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9B545B6"/>
    <w:multiLevelType w:val="hybridMultilevel"/>
    <w:tmpl w:val="4D90EA90"/>
    <w:lvl w:ilvl="0" w:tplc="2A1CE0B6">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61AC4007"/>
    <w:multiLevelType w:val="hybridMultilevel"/>
    <w:tmpl w:val="0390EB0E"/>
    <w:lvl w:ilvl="0" w:tplc="2A1CE0B6">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 w15:restartNumberingAfterBreak="0">
    <w:nsid w:val="6885110C"/>
    <w:multiLevelType w:val="hybridMultilevel"/>
    <w:tmpl w:val="6D4EB10A"/>
    <w:lvl w:ilvl="0" w:tplc="2A1CE0B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952433C"/>
    <w:multiLevelType w:val="hybridMultilevel"/>
    <w:tmpl w:val="1722CB52"/>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6E8835C8"/>
    <w:multiLevelType w:val="hybridMultilevel"/>
    <w:tmpl w:val="DABCFBE2"/>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3CA67A4"/>
    <w:multiLevelType w:val="hybridMultilevel"/>
    <w:tmpl w:val="98403AC0"/>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48D0DCF"/>
    <w:multiLevelType w:val="hybridMultilevel"/>
    <w:tmpl w:val="D052841A"/>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78BC152D"/>
    <w:multiLevelType w:val="hybridMultilevel"/>
    <w:tmpl w:val="4A54DC8E"/>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796736BE"/>
    <w:multiLevelType w:val="hybridMultilevel"/>
    <w:tmpl w:val="870EB010"/>
    <w:lvl w:ilvl="0" w:tplc="2A1CE0B6">
      <w:start w:val="1"/>
      <w:numFmt w:val="bullet"/>
      <w:lvlText w:val=""/>
      <w:lvlJc w:val="left"/>
      <w:pPr>
        <w:ind w:left="540" w:hanging="440"/>
      </w:pPr>
      <w:rPr>
        <w:rFonts w:ascii="Wingdings" w:hAnsi="Wingdings"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28" w15:restartNumberingAfterBreak="0">
    <w:nsid w:val="7A432252"/>
    <w:multiLevelType w:val="hybridMultilevel"/>
    <w:tmpl w:val="9C9204B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F5653CB"/>
    <w:multiLevelType w:val="hybridMultilevel"/>
    <w:tmpl w:val="A88ECFAA"/>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FD1378E"/>
    <w:multiLevelType w:val="hybridMultilevel"/>
    <w:tmpl w:val="E25C7F18"/>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693217546">
    <w:abstractNumId w:val="0"/>
  </w:num>
  <w:num w:numId="2" w16cid:durableId="1568764449">
    <w:abstractNumId w:val="23"/>
  </w:num>
  <w:num w:numId="3" w16cid:durableId="2023312132">
    <w:abstractNumId w:val="15"/>
  </w:num>
  <w:num w:numId="4" w16cid:durableId="789713828">
    <w:abstractNumId w:val="6"/>
  </w:num>
  <w:num w:numId="5" w16cid:durableId="42947514">
    <w:abstractNumId w:val="13"/>
  </w:num>
  <w:num w:numId="6" w16cid:durableId="2085447369">
    <w:abstractNumId w:val="4"/>
  </w:num>
  <w:num w:numId="7" w16cid:durableId="944963702">
    <w:abstractNumId w:val="29"/>
  </w:num>
  <w:num w:numId="8" w16cid:durableId="1769154050">
    <w:abstractNumId w:val="28"/>
  </w:num>
  <w:num w:numId="9" w16cid:durableId="1080445858">
    <w:abstractNumId w:val="19"/>
  </w:num>
  <w:num w:numId="10" w16cid:durableId="1012880698">
    <w:abstractNumId w:val="14"/>
  </w:num>
  <w:num w:numId="11" w16cid:durableId="1734155629">
    <w:abstractNumId w:val="17"/>
  </w:num>
  <w:num w:numId="12" w16cid:durableId="739525754">
    <w:abstractNumId w:val="20"/>
  </w:num>
  <w:num w:numId="13" w16cid:durableId="291833882">
    <w:abstractNumId w:val="21"/>
  </w:num>
  <w:num w:numId="14" w16cid:durableId="385035264">
    <w:abstractNumId w:val="5"/>
  </w:num>
  <w:num w:numId="15" w16cid:durableId="2087068380">
    <w:abstractNumId w:val="11"/>
  </w:num>
  <w:num w:numId="16" w16cid:durableId="1074088451">
    <w:abstractNumId w:val="18"/>
  </w:num>
  <w:num w:numId="17" w16cid:durableId="1123770226">
    <w:abstractNumId w:val="24"/>
  </w:num>
  <w:num w:numId="18" w16cid:durableId="265775997">
    <w:abstractNumId w:val="25"/>
  </w:num>
  <w:num w:numId="19" w16cid:durableId="1809857398">
    <w:abstractNumId w:val="22"/>
  </w:num>
  <w:num w:numId="20" w16cid:durableId="172841039">
    <w:abstractNumId w:val="3"/>
  </w:num>
  <w:num w:numId="21" w16cid:durableId="647051392">
    <w:abstractNumId w:val="2"/>
  </w:num>
  <w:num w:numId="22" w16cid:durableId="1178471051">
    <w:abstractNumId w:val="10"/>
  </w:num>
  <w:num w:numId="23" w16cid:durableId="1723014673">
    <w:abstractNumId w:val="9"/>
  </w:num>
  <w:num w:numId="24" w16cid:durableId="1805152912">
    <w:abstractNumId w:val="16"/>
  </w:num>
  <w:num w:numId="25" w16cid:durableId="1793018520">
    <w:abstractNumId w:val="30"/>
  </w:num>
  <w:num w:numId="26" w16cid:durableId="1275015231">
    <w:abstractNumId w:val="8"/>
  </w:num>
  <w:num w:numId="27" w16cid:durableId="438067783">
    <w:abstractNumId w:val="27"/>
  </w:num>
  <w:num w:numId="28" w16cid:durableId="2000571706">
    <w:abstractNumId w:val="26"/>
  </w:num>
  <w:num w:numId="29" w16cid:durableId="436027247">
    <w:abstractNumId w:val="12"/>
  </w:num>
  <w:num w:numId="30" w16cid:durableId="409928554">
    <w:abstractNumId w:val="7"/>
  </w:num>
  <w:num w:numId="31" w16cid:durableId="16158681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618B"/>
    <w:rsid w:val="00000B5E"/>
    <w:rsid w:val="00000BE6"/>
    <w:rsid w:val="00001E66"/>
    <w:rsid w:val="00002C4E"/>
    <w:rsid w:val="00002DFE"/>
    <w:rsid w:val="00003434"/>
    <w:rsid w:val="0000389F"/>
    <w:rsid w:val="000041CA"/>
    <w:rsid w:val="00004218"/>
    <w:rsid w:val="0000477F"/>
    <w:rsid w:val="00005C73"/>
    <w:rsid w:val="00005E84"/>
    <w:rsid w:val="00006174"/>
    <w:rsid w:val="00006196"/>
    <w:rsid w:val="000110E1"/>
    <w:rsid w:val="0001126C"/>
    <w:rsid w:val="00011927"/>
    <w:rsid w:val="00012C96"/>
    <w:rsid w:val="000138E6"/>
    <w:rsid w:val="000160EF"/>
    <w:rsid w:val="00016BC2"/>
    <w:rsid w:val="00021DD4"/>
    <w:rsid w:val="0002231B"/>
    <w:rsid w:val="000223C3"/>
    <w:rsid w:val="000224EE"/>
    <w:rsid w:val="00023A89"/>
    <w:rsid w:val="000241CD"/>
    <w:rsid w:val="00024959"/>
    <w:rsid w:val="00025E8F"/>
    <w:rsid w:val="00026563"/>
    <w:rsid w:val="0003025B"/>
    <w:rsid w:val="00030957"/>
    <w:rsid w:val="000328EF"/>
    <w:rsid w:val="0003334A"/>
    <w:rsid w:val="00034492"/>
    <w:rsid w:val="00035DA1"/>
    <w:rsid w:val="000367A0"/>
    <w:rsid w:val="00036D6A"/>
    <w:rsid w:val="00037958"/>
    <w:rsid w:val="00037971"/>
    <w:rsid w:val="00040C35"/>
    <w:rsid w:val="00041CAA"/>
    <w:rsid w:val="0004256C"/>
    <w:rsid w:val="00043E8D"/>
    <w:rsid w:val="00044652"/>
    <w:rsid w:val="000449E2"/>
    <w:rsid w:val="00044B31"/>
    <w:rsid w:val="00045378"/>
    <w:rsid w:val="0004539C"/>
    <w:rsid w:val="0004564B"/>
    <w:rsid w:val="0004616D"/>
    <w:rsid w:val="00047101"/>
    <w:rsid w:val="00050835"/>
    <w:rsid w:val="00051729"/>
    <w:rsid w:val="00051925"/>
    <w:rsid w:val="00052CB8"/>
    <w:rsid w:val="00052E16"/>
    <w:rsid w:val="00053313"/>
    <w:rsid w:val="00053BCE"/>
    <w:rsid w:val="000547BA"/>
    <w:rsid w:val="0005511F"/>
    <w:rsid w:val="0005591D"/>
    <w:rsid w:val="00055B1F"/>
    <w:rsid w:val="00057657"/>
    <w:rsid w:val="00057897"/>
    <w:rsid w:val="00057B7E"/>
    <w:rsid w:val="0006046B"/>
    <w:rsid w:val="000606D3"/>
    <w:rsid w:val="00062456"/>
    <w:rsid w:val="00065984"/>
    <w:rsid w:val="000660F4"/>
    <w:rsid w:val="0006714C"/>
    <w:rsid w:val="00067233"/>
    <w:rsid w:val="00067A9F"/>
    <w:rsid w:val="00067CB6"/>
    <w:rsid w:val="00070B68"/>
    <w:rsid w:val="00070E60"/>
    <w:rsid w:val="000723D4"/>
    <w:rsid w:val="00072662"/>
    <w:rsid w:val="000726EB"/>
    <w:rsid w:val="000728AA"/>
    <w:rsid w:val="00073F35"/>
    <w:rsid w:val="00075657"/>
    <w:rsid w:val="00076555"/>
    <w:rsid w:val="00076807"/>
    <w:rsid w:val="00077008"/>
    <w:rsid w:val="0007788D"/>
    <w:rsid w:val="000803EE"/>
    <w:rsid w:val="00080451"/>
    <w:rsid w:val="000811BE"/>
    <w:rsid w:val="000811CA"/>
    <w:rsid w:val="00081EC1"/>
    <w:rsid w:val="000821A7"/>
    <w:rsid w:val="00082505"/>
    <w:rsid w:val="000826EF"/>
    <w:rsid w:val="00082B6E"/>
    <w:rsid w:val="00083941"/>
    <w:rsid w:val="000843EB"/>
    <w:rsid w:val="000849ED"/>
    <w:rsid w:val="00084B99"/>
    <w:rsid w:val="00084C93"/>
    <w:rsid w:val="00085793"/>
    <w:rsid w:val="0008586E"/>
    <w:rsid w:val="00085BA6"/>
    <w:rsid w:val="00085D8F"/>
    <w:rsid w:val="00085E61"/>
    <w:rsid w:val="00087747"/>
    <w:rsid w:val="00087810"/>
    <w:rsid w:val="00087A2B"/>
    <w:rsid w:val="000902B5"/>
    <w:rsid w:val="00090A5D"/>
    <w:rsid w:val="000914B9"/>
    <w:rsid w:val="000915BB"/>
    <w:rsid w:val="00092C18"/>
    <w:rsid w:val="00093923"/>
    <w:rsid w:val="00094343"/>
    <w:rsid w:val="00094958"/>
    <w:rsid w:val="00094CA7"/>
    <w:rsid w:val="00095D91"/>
    <w:rsid w:val="00096706"/>
    <w:rsid w:val="00096BD7"/>
    <w:rsid w:val="00096FF5"/>
    <w:rsid w:val="00097FBD"/>
    <w:rsid w:val="000A01AE"/>
    <w:rsid w:val="000A0963"/>
    <w:rsid w:val="000A0AE8"/>
    <w:rsid w:val="000A0AF7"/>
    <w:rsid w:val="000A0F64"/>
    <w:rsid w:val="000A1716"/>
    <w:rsid w:val="000A1BD7"/>
    <w:rsid w:val="000A2385"/>
    <w:rsid w:val="000A2EF0"/>
    <w:rsid w:val="000A3424"/>
    <w:rsid w:val="000A3F70"/>
    <w:rsid w:val="000A49BA"/>
    <w:rsid w:val="000A57C5"/>
    <w:rsid w:val="000A645B"/>
    <w:rsid w:val="000A6969"/>
    <w:rsid w:val="000A7904"/>
    <w:rsid w:val="000B032D"/>
    <w:rsid w:val="000B2B56"/>
    <w:rsid w:val="000B3D40"/>
    <w:rsid w:val="000B3FE5"/>
    <w:rsid w:val="000B4020"/>
    <w:rsid w:val="000B4DDB"/>
    <w:rsid w:val="000B518C"/>
    <w:rsid w:val="000B55D1"/>
    <w:rsid w:val="000B55F7"/>
    <w:rsid w:val="000B70D9"/>
    <w:rsid w:val="000B7D23"/>
    <w:rsid w:val="000B7F0C"/>
    <w:rsid w:val="000C13D1"/>
    <w:rsid w:val="000C1407"/>
    <w:rsid w:val="000C226C"/>
    <w:rsid w:val="000C2295"/>
    <w:rsid w:val="000C22BE"/>
    <w:rsid w:val="000C41DF"/>
    <w:rsid w:val="000C485D"/>
    <w:rsid w:val="000C4A40"/>
    <w:rsid w:val="000C4E51"/>
    <w:rsid w:val="000C51A5"/>
    <w:rsid w:val="000C5B39"/>
    <w:rsid w:val="000C74C9"/>
    <w:rsid w:val="000D06CB"/>
    <w:rsid w:val="000D06F5"/>
    <w:rsid w:val="000D167A"/>
    <w:rsid w:val="000D16FB"/>
    <w:rsid w:val="000D1C7C"/>
    <w:rsid w:val="000D1F5A"/>
    <w:rsid w:val="000D2355"/>
    <w:rsid w:val="000D253B"/>
    <w:rsid w:val="000D27E9"/>
    <w:rsid w:val="000D3028"/>
    <w:rsid w:val="000D38A7"/>
    <w:rsid w:val="000D3B1A"/>
    <w:rsid w:val="000D4338"/>
    <w:rsid w:val="000D4810"/>
    <w:rsid w:val="000D52DA"/>
    <w:rsid w:val="000D58C0"/>
    <w:rsid w:val="000D61DC"/>
    <w:rsid w:val="000D630F"/>
    <w:rsid w:val="000D633B"/>
    <w:rsid w:val="000D6A04"/>
    <w:rsid w:val="000D6FD9"/>
    <w:rsid w:val="000E001B"/>
    <w:rsid w:val="000E0496"/>
    <w:rsid w:val="000E09ED"/>
    <w:rsid w:val="000E166C"/>
    <w:rsid w:val="000E25FF"/>
    <w:rsid w:val="000E3ACD"/>
    <w:rsid w:val="000E4074"/>
    <w:rsid w:val="000E40CA"/>
    <w:rsid w:val="000E426E"/>
    <w:rsid w:val="000E43B1"/>
    <w:rsid w:val="000E49F8"/>
    <w:rsid w:val="000E4C01"/>
    <w:rsid w:val="000E4C06"/>
    <w:rsid w:val="000E54B1"/>
    <w:rsid w:val="000E6251"/>
    <w:rsid w:val="000E7663"/>
    <w:rsid w:val="000E784B"/>
    <w:rsid w:val="000E7F07"/>
    <w:rsid w:val="000F0B4E"/>
    <w:rsid w:val="000F115E"/>
    <w:rsid w:val="000F145F"/>
    <w:rsid w:val="000F15DF"/>
    <w:rsid w:val="000F41BC"/>
    <w:rsid w:val="000F448A"/>
    <w:rsid w:val="000F4F18"/>
    <w:rsid w:val="000F57C5"/>
    <w:rsid w:val="000F5E62"/>
    <w:rsid w:val="000F6C2C"/>
    <w:rsid w:val="000F700F"/>
    <w:rsid w:val="000F70C1"/>
    <w:rsid w:val="000F70C8"/>
    <w:rsid w:val="000F750E"/>
    <w:rsid w:val="000F78E3"/>
    <w:rsid w:val="000F7D73"/>
    <w:rsid w:val="000F7E4D"/>
    <w:rsid w:val="00100638"/>
    <w:rsid w:val="0010099B"/>
    <w:rsid w:val="00100D0E"/>
    <w:rsid w:val="0010121E"/>
    <w:rsid w:val="00101EC1"/>
    <w:rsid w:val="00102B4D"/>
    <w:rsid w:val="001033DA"/>
    <w:rsid w:val="001033E1"/>
    <w:rsid w:val="001040DE"/>
    <w:rsid w:val="0010628D"/>
    <w:rsid w:val="0010688E"/>
    <w:rsid w:val="00107CAD"/>
    <w:rsid w:val="00110795"/>
    <w:rsid w:val="0011154A"/>
    <w:rsid w:val="0011167C"/>
    <w:rsid w:val="0011233F"/>
    <w:rsid w:val="00112CDA"/>
    <w:rsid w:val="001137AE"/>
    <w:rsid w:val="001140D0"/>
    <w:rsid w:val="001141BD"/>
    <w:rsid w:val="00114D98"/>
    <w:rsid w:val="00115325"/>
    <w:rsid w:val="001155D6"/>
    <w:rsid w:val="0011636C"/>
    <w:rsid w:val="00116723"/>
    <w:rsid w:val="00116AE7"/>
    <w:rsid w:val="00117381"/>
    <w:rsid w:val="001203E7"/>
    <w:rsid w:val="0012056F"/>
    <w:rsid w:val="00122897"/>
    <w:rsid w:val="001229DE"/>
    <w:rsid w:val="001234EB"/>
    <w:rsid w:val="00123E6B"/>
    <w:rsid w:val="00123EFD"/>
    <w:rsid w:val="0012443C"/>
    <w:rsid w:val="00124A2B"/>
    <w:rsid w:val="00125087"/>
    <w:rsid w:val="0012587A"/>
    <w:rsid w:val="001259CF"/>
    <w:rsid w:val="00126631"/>
    <w:rsid w:val="0013029D"/>
    <w:rsid w:val="00131B3F"/>
    <w:rsid w:val="001326C6"/>
    <w:rsid w:val="001330E3"/>
    <w:rsid w:val="0013477E"/>
    <w:rsid w:val="00136C36"/>
    <w:rsid w:val="00136C7A"/>
    <w:rsid w:val="001377DA"/>
    <w:rsid w:val="00137BE3"/>
    <w:rsid w:val="00137E20"/>
    <w:rsid w:val="00140557"/>
    <w:rsid w:val="00140720"/>
    <w:rsid w:val="00141986"/>
    <w:rsid w:val="00141E8B"/>
    <w:rsid w:val="00142174"/>
    <w:rsid w:val="00142427"/>
    <w:rsid w:val="0014248C"/>
    <w:rsid w:val="001426C4"/>
    <w:rsid w:val="00143120"/>
    <w:rsid w:val="0014396A"/>
    <w:rsid w:val="00143F1D"/>
    <w:rsid w:val="00144D5C"/>
    <w:rsid w:val="001453E6"/>
    <w:rsid w:val="001469A6"/>
    <w:rsid w:val="00146ADC"/>
    <w:rsid w:val="00147B02"/>
    <w:rsid w:val="00150059"/>
    <w:rsid w:val="001502CC"/>
    <w:rsid w:val="00151417"/>
    <w:rsid w:val="001554DD"/>
    <w:rsid w:val="00155651"/>
    <w:rsid w:val="00155E52"/>
    <w:rsid w:val="001560D6"/>
    <w:rsid w:val="001563D0"/>
    <w:rsid w:val="00156DAC"/>
    <w:rsid w:val="00157E37"/>
    <w:rsid w:val="001606D6"/>
    <w:rsid w:val="00160888"/>
    <w:rsid w:val="001611C4"/>
    <w:rsid w:val="00161662"/>
    <w:rsid w:val="00161ABF"/>
    <w:rsid w:val="001630E5"/>
    <w:rsid w:val="00163A38"/>
    <w:rsid w:val="00163DBC"/>
    <w:rsid w:val="00164CFB"/>
    <w:rsid w:val="00165020"/>
    <w:rsid w:val="0016673D"/>
    <w:rsid w:val="0016773F"/>
    <w:rsid w:val="00167D5F"/>
    <w:rsid w:val="001702A7"/>
    <w:rsid w:val="00171892"/>
    <w:rsid w:val="00171ABF"/>
    <w:rsid w:val="00172290"/>
    <w:rsid w:val="001725F0"/>
    <w:rsid w:val="00173CED"/>
    <w:rsid w:val="00173FA9"/>
    <w:rsid w:val="001741D3"/>
    <w:rsid w:val="00175D1F"/>
    <w:rsid w:val="00176F93"/>
    <w:rsid w:val="00180138"/>
    <w:rsid w:val="00180913"/>
    <w:rsid w:val="00181052"/>
    <w:rsid w:val="00182088"/>
    <w:rsid w:val="001820E3"/>
    <w:rsid w:val="00182911"/>
    <w:rsid w:val="00182D78"/>
    <w:rsid w:val="00182F03"/>
    <w:rsid w:val="00183E23"/>
    <w:rsid w:val="00183FC9"/>
    <w:rsid w:val="0018424B"/>
    <w:rsid w:val="00184340"/>
    <w:rsid w:val="00186210"/>
    <w:rsid w:val="0018641E"/>
    <w:rsid w:val="0018699F"/>
    <w:rsid w:val="00186ACD"/>
    <w:rsid w:val="0018778C"/>
    <w:rsid w:val="00187A01"/>
    <w:rsid w:val="00187DD2"/>
    <w:rsid w:val="00191E0E"/>
    <w:rsid w:val="00193A94"/>
    <w:rsid w:val="00193DED"/>
    <w:rsid w:val="00194755"/>
    <w:rsid w:val="00194EBD"/>
    <w:rsid w:val="00195377"/>
    <w:rsid w:val="00196EDF"/>
    <w:rsid w:val="00197252"/>
    <w:rsid w:val="00197697"/>
    <w:rsid w:val="00197F64"/>
    <w:rsid w:val="001A08E2"/>
    <w:rsid w:val="001A0B1F"/>
    <w:rsid w:val="001A22BD"/>
    <w:rsid w:val="001A3034"/>
    <w:rsid w:val="001A32E3"/>
    <w:rsid w:val="001A43E9"/>
    <w:rsid w:val="001A4EEC"/>
    <w:rsid w:val="001A59A4"/>
    <w:rsid w:val="001A63AE"/>
    <w:rsid w:val="001A77D0"/>
    <w:rsid w:val="001A7F9A"/>
    <w:rsid w:val="001B46BA"/>
    <w:rsid w:val="001B725D"/>
    <w:rsid w:val="001B7973"/>
    <w:rsid w:val="001B7CE6"/>
    <w:rsid w:val="001C1A9A"/>
    <w:rsid w:val="001C3C52"/>
    <w:rsid w:val="001C4CAF"/>
    <w:rsid w:val="001C4DFD"/>
    <w:rsid w:val="001C5741"/>
    <w:rsid w:val="001C5F68"/>
    <w:rsid w:val="001C63F1"/>
    <w:rsid w:val="001C6679"/>
    <w:rsid w:val="001C6E84"/>
    <w:rsid w:val="001C6F70"/>
    <w:rsid w:val="001C71A1"/>
    <w:rsid w:val="001C79BB"/>
    <w:rsid w:val="001C7A6D"/>
    <w:rsid w:val="001C7B68"/>
    <w:rsid w:val="001C7D16"/>
    <w:rsid w:val="001D0332"/>
    <w:rsid w:val="001D034D"/>
    <w:rsid w:val="001D0773"/>
    <w:rsid w:val="001D109E"/>
    <w:rsid w:val="001D130E"/>
    <w:rsid w:val="001D46CD"/>
    <w:rsid w:val="001D4833"/>
    <w:rsid w:val="001D5025"/>
    <w:rsid w:val="001D51C0"/>
    <w:rsid w:val="001D5EBB"/>
    <w:rsid w:val="001D63C0"/>
    <w:rsid w:val="001D66A9"/>
    <w:rsid w:val="001D66E0"/>
    <w:rsid w:val="001D7806"/>
    <w:rsid w:val="001E0606"/>
    <w:rsid w:val="001E0907"/>
    <w:rsid w:val="001E15AF"/>
    <w:rsid w:val="001E19F9"/>
    <w:rsid w:val="001E1E04"/>
    <w:rsid w:val="001E2427"/>
    <w:rsid w:val="001E2508"/>
    <w:rsid w:val="001E258A"/>
    <w:rsid w:val="001E2602"/>
    <w:rsid w:val="001E338A"/>
    <w:rsid w:val="001E4BC8"/>
    <w:rsid w:val="001E5085"/>
    <w:rsid w:val="001E6F56"/>
    <w:rsid w:val="001E71AC"/>
    <w:rsid w:val="001E7AE1"/>
    <w:rsid w:val="001F1181"/>
    <w:rsid w:val="001F17EC"/>
    <w:rsid w:val="001F227B"/>
    <w:rsid w:val="001F2616"/>
    <w:rsid w:val="001F27D3"/>
    <w:rsid w:val="001F2FBC"/>
    <w:rsid w:val="001F4212"/>
    <w:rsid w:val="001F4600"/>
    <w:rsid w:val="001F461F"/>
    <w:rsid w:val="001F6320"/>
    <w:rsid w:val="001F6630"/>
    <w:rsid w:val="001F7EA2"/>
    <w:rsid w:val="00200526"/>
    <w:rsid w:val="00200E98"/>
    <w:rsid w:val="0020138B"/>
    <w:rsid w:val="00202428"/>
    <w:rsid w:val="00202BC3"/>
    <w:rsid w:val="00203046"/>
    <w:rsid w:val="00203DEC"/>
    <w:rsid w:val="002046F0"/>
    <w:rsid w:val="0020494F"/>
    <w:rsid w:val="002068E6"/>
    <w:rsid w:val="00210F23"/>
    <w:rsid w:val="00211040"/>
    <w:rsid w:val="00211DD0"/>
    <w:rsid w:val="00211F9F"/>
    <w:rsid w:val="00212427"/>
    <w:rsid w:val="002131E0"/>
    <w:rsid w:val="00213A14"/>
    <w:rsid w:val="00214B90"/>
    <w:rsid w:val="00214D42"/>
    <w:rsid w:val="00215703"/>
    <w:rsid w:val="002159B3"/>
    <w:rsid w:val="00217A20"/>
    <w:rsid w:val="002210C0"/>
    <w:rsid w:val="002211D8"/>
    <w:rsid w:val="0022141D"/>
    <w:rsid w:val="00221F31"/>
    <w:rsid w:val="00222116"/>
    <w:rsid w:val="00222860"/>
    <w:rsid w:val="00222A08"/>
    <w:rsid w:val="0022300D"/>
    <w:rsid w:val="00223A14"/>
    <w:rsid w:val="00224C40"/>
    <w:rsid w:val="00224E27"/>
    <w:rsid w:val="002314FD"/>
    <w:rsid w:val="002333B8"/>
    <w:rsid w:val="00233587"/>
    <w:rsid w:val="0023392F"/>
    <w:rsid w:val="00233B01"/>
    <w:rsid w:val="00233E11"/>
    <w:rsid w:val="00234010"/>
    <w:rsid w:val="002352B8"/>
    <w:rsid w:val="00235FEF"/>
    <w:rsid w:val="002370D6"/>
    <w:rsid w:val="002376C8"/>
    <w:rsid w:val="002379D3"/>
    <w:rsid w:val="002401B1"/>
    <w:rsid w:val="002406C0"/>
    <w:rsid w:val="002408B1"/>
    <w:rsid w:val="002409CB"/>
    <w:rsid w:val="00242A91"/>
    <w:rsid w:val="00242D02"/>
    <w:rsid w:val="00243B44"/>
    <w:rsid w:val="002446E8"/>
    <w:rsid w:val="002447D1"/>
    <w:rsid w:val="00244D08"/>
    <w:rsid w:val="00244DCD"/>
    <w:rsid w:val="00244F2E"/>
    <w:rsid w:val="002451EE"/>
    <w:rsid w:val="002452F2"/>
    <w:rsid w:val="00245C9B"/>
    <w:rsid w:val="00246D29"/>
    <w:rsid w:val="00247545"/>
    <w:rsid w:val="00247DB1"/>
    <w:rsid w:val="00247F8B"/>
    <w:rsid w:val="002501E8"/>
    <w:rsid w:val="00250C1F"/>
    <w:rsid w:val="00251EED"/>
    <w:rsid w:val="002521CD"/>
    <w:rsid w:val="00252AC2"/>
    <w:rsid w:val="00253AF9"/>
    <w:rsid w:val="0025420E"/>
    <w:rsid w:val="00255035"/>
    <w:rsid w:val="00256340"/>
    <w:rsid w:val="002564E9"/>
    <w:rsid w:val="00256E16"/>
    <w:rsid w:val="00256E91"/>
    <w:rsid w:val="00257BCC"/>
    <w:rsid w:val="00257CD7"/>
    <w:rsid w:val="00260ACF"/>
    <w:rsid w:val="00262638"/>
    <w:rsid w:val="002628DD"/>
    <w:rsid w:val="00262B4C"/>
    <w:rsid w:val="00263E14"/>
    <w:rsid w:val="002643F2"/>
    <w:rsid w:val="002645F9"/>
    <w:rsid w:val="00264A81"/>
    <w:rsid w:val="00264B16"/>
    <w:rsid w:val="00265211"/>
    <w:rsid w:val="00266120"/>
    <w:rsid w:val="0026729B"/>
    <w:rsid w:val="0026774E"/>
    <w:rsid w:val="00270E88"/>
    <w:rsid w:val="00273C26"/>
    <w:rsid w:val="00273D06"/>
    <w:rsid w:val="00274A57"/>
    <w:rsid w:val="002756EC"/>
    <w:rsid w:val="00275F0D"/>
    <w:rsid w:val="00276210"/>
    <w:rsid w:val="002773E8"/>
    <w:rsid w:val="002777EF"/>
    <w:rsid w:val="00277AE1"/>
    <w:rsid w:val="0028013D"/>
    <w:rsid w:val="0028164D"/>
    <w:rsid w:val="00281720"/>
    <w:rsid w:val="002817F4"/>
    <w:rsid w:val="00281BFF"/>
    <w:rsid w:val="00281D58"/>
    <w:rsid w:val="00282717"/>
    <w:rsid w:val="002833A3"/>
    <w:rsid w:val="00284C47"/>
    <w:rsid w:val="00284E14"/>
    <w:rsid w:val="00285780"/>
    <w:rsid w:val="00285BF7"/>
    <w:rsid w:val="00285DE5"/>
    <w:rsid w:val="00285E77"/>
    <w:rsid w:val="002868C1"/>
    <w:rsid w:val="002879AA"/>
    <w:rsid w:val="0029022F"/>
    <w:rsid w:val="002922BF"/>
    <w:rsid w:val="00292FC0"/>
    <w:rsid w:val="00292FD3"/>
    <w:rsid w:val="002946D1"/>
    <w:rsid w:val="00294A39"/>
    <w:rsid w:val="00296039"/>
    <w:rsid w:val="002967E4"/>
    <w:rsid w:val="00296B2A"/>
    <w:rsid w:val="002A0026"/>
    <w:rsid w:val="002A0945"/>
    <w:rsid w:val="002A09B6"/>
    <w:rsid w:val="002A1C86"/>
    <w:rsid w:val="002A231D"/>
    <w:rsid w:val="002A317E"/>
    <w:rsid w:val="002A44FF"/>
    <w:rsid w:val="002A584D"/>
    <w:rsid w:val="002A62D7"/>
    <w:rsid w:val="002A733D"/>
    <w:rsid w:val="002A75A5"/>
    <w:rsid w:val="002A77DC"/>
    <w:rsid w:val="002A7ED3"/>
    <w:rsid w:val="002B0EF7"/>
    <w:rsid w:val="002B1386"/>
    <w:rsid w:val="002B1981"/>
    <w:rsid w:val="002B241D"/>
    <w:rsid w:val="002B2707"/>
    <w:rsid w:val="002B2CAD"/>
    <w:rsid w:val="002B2F56"/>
    <w:rsid w:val="002B3197"/>
    <w:rsid w:val="002B3896"/>
    <w:rsid w:val="002B3F1E"/>
    <w:rsid w:val="002B5B3F"/>
    <w:rsid w:val="002B642C"/>
    <w:rsid w:val="002B715D"/>
    <w:rsid w:val="002B76C8"/>
    <w:rsid w:val="002C098A"/>
    <w:rsid w:val="002C29FD"/>
    <w:rsid w:val="002C4583"/>
    <w:rsid w:val="002C4601"/>
    <w:rsid w:val="002C59C0"/>
    <w:rsid w:val="002C5F33"/>
    <w:rsid w:val="002C6923"/>
    <w:rsid w:val="002C6A8B"/>
    <w:rsid w:val="002C6F34"/>
    <w:rsid w:val="002C7A22"/>
    <w:rsid w:val="002D009B"/>
    <w:rsid w:val="002D12B5"/>
    <w:rsid w:val="002D2108"/>
    <w:rsid w:val="002D289B"/>
    <w:rsid w:val="002D4B5F"/>
    <w:rsid w:val="002D54B2"/>
    <w:rsid w:val="002D6388"/>
    <w:rsid w:val="002D6479"/>
    <w:rsid w:val="002D6937"/>
    <w:rsid w:val="002D6D05"/>
    <w:rsid w:val="002D6F2A"/>
    <w:rsid w:val="002D706F"/>
    <w:rsid w:val="002D726E"/>
    <w:rsid w:val="002D74E9"/>
    <w:rsid w:val="002D75B8"/>
    <w:rsid w:val="002D78D1"/>
    <w:rsid w:val="002D7966"/>
    <w:rsid w:val="002D7DEE"/>
    <w:rsid w:val="002E043B"/>
    <w:rsid w:val="002E0CA4"/>
    <w:rsid w:val="002E1212"/>
    <w:rsid w:val="002E126F"/>
    <w:rsid w:val="002E23B9"/>
    <w:rsid w:val="002E389B"/>
    <w:rsid w:val="002E4D43"/>
    <w:rsid w:val="002E5905"/>
    <w:rsid w:val="002E767C"/>
    <w:rsid w:val="002E7994"/>
    <w:rsid w:val="002F0378"/>
    <w:rsid w:val="002F0C66"/>
    <w:rsid w:val="002F0E6F"/>
    <w:rsid w:val="002F1412"/>
    <w:rsid w:val="002F2D0B"/>
    <w:rsid w:val="002F4775"/>
    <w:rsid w:val="002F4B9F"/>
    <w:rsid w:val="002F4E56"/>
    <w:rsid w:val="002F52C9"/>
    <w:rsid w:val="002F6B83"/>
    <w:rsid w:val="002F6EBC"/>
    <w:rsid w:val="002F7E7F"/>
    <w:rsid w:val="00301B1D"/>
    <w:rsid w:val="00301E73"/>
    <w:rsid w:val="00302114"/>
    <w:rsid w:val="00302C9A"/>
    <w:rsid w:val="0030312A"/>
    <w:rsid w:val="003042F7"/>
    <w:rsid w:val="0030517F"/>
    <w:rsid w:val="003052A2"/>
    <w:rsid w:val="0030539A"/>
    <w:rsid w:val="00305566"/>
    <w:rsid w:val="00306853"/>
    <w:rsid w:val="003102A7"/>
    <w:rsid w:val="00310A06"/>
    <w:rsid w:val="00310B4B"/>
    <w:rsid w:val="0031152E"/>
    <w:rsid w:val="003118A2"/>
    <w:rsid w:val="003119B8"/>
    <w:rsid w:val="00312136"/>
    <w:rsid w:val="00314888"/>
    <w:rsid w:val="00314999"/>
    <w:rsid w:val="0031509D"/>
    <w:rsid w:val="003159FD"/>
    <w:rsid w:val="003166F0"/>
    <w:rsid w:val="00316C05"/>
    <w:rsid w:val="00316DAE"/>
    <w:rsid w:val="00316FE6"/>
    <w:rsid w:val="003202FD"/>
    <w:rsid w:val="0032061B"/>
    <w:rsid w:val="00321265"/>
    <w:rsid w:val="003212EF"/>
    <w:rsid w:val="0032140F"/>
    <w:rsid w:val="0032226D"/>
    <w:rsid w:val="003228F5"/>
    <w:rsid w:val="003237D2"/>
    <w:rsid w:val="00325EB5"/>
    <w:rsid w:val="00327DA9"/>
    <w:rsid w:val="003300C5"/>
    <w:rsid w:val="0033073D"/>
    <w:rsid w:val="00330D7C"/>
    <w:rsid w:val="00330FBB"/>
    <w:rsid w:val="003316DF"/>
    <w:rsid w:val="003320BB"/>
    <w:rsid w:val="00333F99"/>
    <w:rsid w:val="003348A0"/>
    <w:rsid w:val="003367A2"/>
    <w:rsid w:val="00336C28"/>
    <w:rsid w:val="00337A7F"/>
    <w:rsid w:val="00337E6B"/>
    <w:rsid w:val="00340045"/>
    <w:rsid w:val="0034101C"/>
    <w:rsid w:val="00341BB8"/>
    <w:rsid w:val="003420CF"/>
    <w:rsid w:val="00342375"/>
    <w:rsid w:val="00342755"/>
    <w:rsid w:val="003428C6"/>
    <w:rsid w:val="00343705"/>
    <w:rsid w:val="00343CB6"/>
    <w:rsid w:val="00344797"/>
    <w:rsid w:val="00344CF3"/>
    <w:rsid w:val="00345281"/>
    <w:rsid w:val="0034578A"/>
    <w:rsid w:val="003458DD"/>
    <w:rsid w:val="00345D3B"/>
    <w:rsid w:val="00346B8F"/>
    <w:rsid w:val="00347607"/>
    <w:rsid w:val="003476FF"/>
    <w:rsid w:val="00350D07"/>
    <w:rsid w:val="003512E8"/>
    <w:rsid w:val="0035206D"/>
    <w:rsid w:val="00352B4D"/>
    <w:rsid w:val="00352FBC"/>
    <w:rsid w:val="003532FA"/>
    <w:rsid w:val="00354080"/>
    <w:rsid w:val="003542AC"/>
    <w:rsid w:val="00354D4B"/>
    <w:rsid w:val="00356BF7"/>
    <w:rsid w:val="00357465"/>
    <w:rsid w:val="00360585"/>
    <w:rsid w:val="003607F6"/>
    <w:rsid w:val="00363ABA"/>
    <w:rsid w:val="003641E4"/>
    <w:rsid w:val="00364EBA"/>
    <w:rsid w:val="00364F85"/>
    <w:rsid w:val="00365004"/>
    <w:rsid w:val="0036541A"/>
    <w:rsid w:val="00366467"/>
    <w:rsid w:val="0036723A"/>
    <w:rsid w:val="0036727B"/>
    <w:rsid w:val="00367312"/>
    <w:rsid w:val="0036745D"/>
    <w:rsid w:val="003677FB"/>
    <w:rsid w:val="00367A29"/>
    <w:rsid w:val="00367BC5"/>
    <w:rsid w:val="00370F86"/>
    <w:rsid w:val="00371172"/>
    <w:rsid w:val="00371B0F"/>
    <w:rsid w:val="003741FD"/>
    <w:rsid w:val="00374AF0"/>
    <w:rsid w:val="00375C06"/>
    <w:rsid w:val="00375D11"/>
    <w:rsid w:val="00376121"/>
    <w:rsid w:val="00376316"/>
    <w:rsid w:val="0037696C"/>
    <w:rsid w:val="00376FF5"/>
    <w:rsid w:val="0037749A"/>
    <w:rsid w:val="003776F7"/>
    <w:rsid w:val="003779F7"/>
    <w:rsid w:val="00377AB0"/>
    <w:rsid w:val="003805A0"/>
    <w:rsid w:val="00381A9F"/>
    <w:rsid w:val="003820B9"/>
    <w:rsid w:val="00382D05"/>
    <w:rsid w:val="00383660"/>
    <w:rsid w:val="003836CF"/>
    <w:rsid w:val="00383798"/>
    <w:rsid w:val="003837ED"/>
    <w:rsid w:val="003841DE"/>
    <w:rsid w:val="00384DEC"/>
    <w:rsid w:val="00385B7F"/>
    <w:rsid w:val="00385BEB"/>
    <w:rsid w:val="00387DE0"/>
    <w:rsid w:val="0039099D"/>
    <w:rsid w:val="003916B5"/>
    <w:rsid w:val="003925A8"/>
    <w:rsid w:val="00392BAD"/>
    <w:rsid w:val="003934F2"/>
    <w:rsid w:val="00394CDD"/>
    <w:rsid w:val="00395100"/>
    <w:rsid w:val="00395B8C"/>
    <w:rsid w:val="00396539"/>
    <w:rsid w:val="00396C6D"/>
    <w:rsid w:val="00396D76"/>
    <w:rsid w:val="00397BAF"/>
    <w:rsid w:val="003A03F9"/>
    <w:rsid w:val="003A07B8"/>
    <w:rsid w:val="003A30AB"/>
    <w:rsid w:val="003A3B4E"/>
    <w:rsid w:val="003A4245"/>
    <w:rsid w:val="003A49DF"/>
    <w:rsid w:val="003A5962"/>
    <w:rsid w:val="003A6A9C"/>
    <w:rsid w:val="003A709C"/>
    <w:rsid w:val="003A79C0"/>
    <w:rsid w:val="003B1CDF"/>
    <w:rsid w:val="003B1FA7"/>
    <w:rsid w:val="003B231E"/>
    <w:rsid w:val="003B2374"/>
    <w:rsid w:val="003B3B1D"/>
    <w:rsid w:val="003B3DC5"/>
    <w:rsid w:val="003B43D8"/>
    <w:rsid w:val="003B4B56"/>
    <w:rsid w:val="003B5818"/>
    <w:rsid w:val="003B5E10"/>
    <w:rsid w:val="003B5E69"/>
    <w:rsid w:val="003B6612"/>
    <w:rsid w:val="003B74FC"/>
    <w:rsid w:val="003C0A8E"/>
    <w:rsid w:val="003C24C4"/>
    <w:rsid w:val="003C258B"/>
    <w:rsid w:val="003C261C"/>
    <w:rsid w:val="003C27C4"/>
    <w:rsid w:val="003C28A5"/>
    <w:rsid w:val="003C2F55"/>
    <w:rsid w:val="003C347D"/>
    <w:rsid w:val="003C36FB"/>
    <w:rsid w:val="003C39A7"/>
    <w:rsid w:val="003C466D"/>
    <w:rsid w:val="003C57A7"/>
    <w:rsid w:val="003C6757"/>
    <w:rsid w:val="003C6A82"/>
    <w:rsid w:val="003C7A12"/>
    <w:rsid w:val="003C7B4D"/>
    <w:rsid w:val="003D2ADD"/>
    <w:rsid w:val="003D2BC1"/>
    <w:rsid w:val="003D38C7"/>
    <w:rsid w:val="003D3A57"/>
    <w:rsid w:val="003D3A7F"/>
    <w:rsid w:val="003D4461"/>
    <w:rsid w:val="003E0160"/>
    <w:rsid w:val="003E10D8"/>
    <w:rsid w:val="003E17AD"/>
    <w:rsid w:val="003E277F"/>
    <w:rsid w:val="003E2DD6"/>
    <w:rsid w:val="003E309D"/>
    <w:rsid w:val="003E3BCF"/>
    <w:rsid w:val="003E5A30"/>
    <w:rsid w:val="003E5EF2"/>
    <w:rsid w:val="003E7BAA"/>
    <w:rsid w:val="003E7F0E"/>
    <w:rsid w:val="003F00D7"/>
    <w:rsid w:val="003F1C84"/>
    <w:rsid w:val="003F2035"/>
    <w:rsid w:val="003F2587"/>
    <w:rsid w:val="003F28B4"/>
    <w:rsid w:val="003F35CF"/>
    <w:rsid w:val="003F42A4"/>
    <w:rsid w:val="003F51E3"/>
    <w:rsid w:val="003F789E"/>
    <w:rsid w:val="003F7F29"/>
    <w:rsid w:val="00401353"/>
    <w:rsid w:val="004017E5"/>
    <w:rsid w:val="00403E79"/>
    <w:rsid w:val="0040406D"/>
    <w:rsid w:val="00405536"/>
    <w:rsid w:val="004100DE"/>
    <w:rsid w:val="00410B17"/>
    <w:rsid w:val="004111A1"/>
    <w:rsid w:val="004119D3"/>
    <w:rsid w:val="00411B75"/>
    <w:rsid w:val="00411C0F"/>
    <w:rsid w:val="00412C28"/>
    <w:rsid w:val="00412D15"/>
    <w:rsid w:val="00413198"/>
    <w:rsid w:val="004161E4"/>
    <w:rsid w:val="0041689A"/>
    <w:rsid w:val="00416DB1"/>
    <w:rsid w:val="004175A3"/>
    <w:rsid w:val="00417A3F"/>
    <w:rsid w:val="00417DB5"/>
    <w:rsid w:val="00420023"/>
    <w:rsid w:val="0042006B"/>
    <w:rsid w:val="004204B5"/>
    <w:rsid w:val="004206E1"/>
    <w:rsid w:val="004207F8"/>
    <w:rsid w:val="00421911"/>
    <w:rsid w:val="004220D7"/>
    <w:rsid w:val="00422DCE"/>
    <w:rsid w:val="00422E4F"/>
    <w:rsid w:val="00423805"/>
    <w:rsid w:val="004259E8"/>
    <w:rsid w:val="00425EB3"/>
    <w:rsid w:val="00426FA5"/>
    <w:rsid w:val="0042784A"/>
    <w:rsid w:val="00427A38"/>
    <w:rsid w:val="00427A81"/>
    <w:rsid w:val="00427D11"/>
    <w:rsid w:val="0043006D"/>
    <w:rsid w:val="00430342"/>
    <w:rsid w:val="00430A60"/>
    <w:rsid w:val="00431546"/>
    <w:rsid w:val="004341FC"/>
    <w:rsid w:val="00434694"/>
    <w:rsid w:val="00434DD5"/>
    <w:rsid w:val="00434E36"/>
    <w:rsid w:val="004354E1"/>
    <w:rsid w:val="004359A1"/>
    <w:rsid w:val="00437BD1"/>
    <w:rsid w:val="00440184"/>
    <w:rsid w:val="00441225"/>
    <w:rsid w:val="0044165B"/>
    <w:rsid w:val="0044191B"/>
    <w:rsid w:val="00441B32"/>
    <w:rsid w:val="0044386A"/>
    <w:rsid w:val="00443A65"/>
    <w:rsid w:val="00443AA8"/>
    <w:rsid w:val="0044454A"/>
    <w:rsid w:val="004446DC"/>
    <w:rsid w:val="00445856"/>
    <w:rsid w:val="00445F0B"/>
    <w:rsid w:val="004466EB"/>
    <w:rsid w:val="00446756"/>
    <w:rsid w:val="00447554"/>
    <w:rsid w:val="00450AB2"/>
    <w:rsid w:val="00452D97"/>
    <w:rsid w:val="00452E40"/>
    <w:rsid w:val="004541E1"/>
    <w:rsid w:val="00455BEC"/>
    <w:rsid w:val="00455E60"/>
    <w:rsid w:val="00456777"/>
    <w:rsid w:val="00456965"/>
    <w:rsid w:val="0046114F"/>
    <w:rsid w:val="00461E88"/>
    <w:rsid w:val="00461F16"/>
    <w:rsid w:val="00463037"/>
    <w:rsid w:val="0046318B"/>
    <w:rsid w:val="00463461"/>
    <w:rsid w:val="004640AB"/>
    <w:rsid w:val="0046461C"/>
    <w:rsid w:val="00465531"/>
    <w:rsid w:val="004666F1"/>
    <w:rsid w:val="0046682E"/>
    <w:rsid w:val="00470573"/>
    <w:rsid w:val="00470A03"/>
    <w:rsid w:val="00470D52"/>
    <w:rsid w:val="00471045"/>
    <w:rsid w:val="00472B38"/>
    <w:rsid w:val="004733FB"/>
    <w:rsid w:val="0047357D"/>
    <w:rsid w:val="00473E19"/>
    <w:rsid w:val="0047423D"/>
    <w:rsid w:val="00475009"/>
    <w:rsid w:val="00475182"/>
    <w:rsid w:val="0047689D"/>
    <w:rsid w:val="00476E47"/>
    <w:rsid w:val="00477590"/>
    <w:rsid w:val="00477DED"/>
    <w:rsid w:val="00480698"/>
    <w:rsid w:val="00480F1F"/>
    <w:rsid w:val="0048130A"/>
    <w:rsid w:val="004814F7"/>
    <w:rsid w:val="004818BB"/>
    <w:rsid w:val="004825C6"/>
    <w:rsid w:val="00482A24"/>
    <w:rsid w:val="00483893"/>
    <w:rsid w:val="00484073"/>
    <w:rsid w:val="00484901"/>
    <w:rsid w:val="0048494B"/>
    <w:rsid w:val="0048586D"/>
    <w:rsid w:val="00485F10"/>
    <w:rsid w:val="004861BD"/>
    <w:rsid w:val="0048642B"/>
    <w:rsid w:val="00486747"/>
    <w:rsid w:val="004871B0"/>
    <w:rsid w:val="0048730C"/>
    <w:rsid w:val="004903AD"/>
    <w:rsid w:val="00490804"/>
    <w:rsid w:val="004908A9"/>
    <w:rsid w:val="00490D96"/>
    <w:rsid w:val="004922D4"/>
    <w:rsid w:val="0049231C"/>
    <w:rsid w:val="0049240C"/>
    <w:rsid w:val="00493D76"/>
    <w:rsid w:val="00494AB2"/>
    <w:rsid w:val="00494B61"/>
    <w:rsid w:val="004956B2"/>
    <w:rsid w:val="004970EB"/>
    <w:rsid w:val="004A0511"/>
    <w:rsid w:val="004A0C2F"/>
    <w:rsid w:val="004A0D82"/>
    <w:rsid w:val="004A1622"/>
    <w:rsid w:val="004A22A7"/>
    <w:rsid w:val="004A35BF"/>
    <w:rsid w:val="004A3E25"/>
    <w:rsid w:val="004A3F95"/>
    <w:rsid w:val="004A4122"/>
    <w:rsid w:val="004A4965"/>
    <w:rsid w:val="004A5660"/>
    <w:rsid w:val="004A583B"/>
    <w:rsid w:val="004A5996"/>
    <w:rsid w:val="004A5AD1"/>
    <w:rsid w:val="004A6E76"/>
    <w:rsid w:val="004A7F9C"/>
    <w:rsid w:val="004B0211"/>
    <w:rsid w:val="004B1424"/>
    <w:rsid w:val="004B179D"/>
    <w:rsid w:val="004B1C55"/>
    <w:rsid w:val="004B2330"/>
    <w:rsid w:val="004B2E50"/>
    <w:rsid w:val="004B31E8"/>
    <w:rsid w:val="004B3ACD"/>
    <w:rsid w:val="004B3F71"/>
    <w:rsid w:val="004B4E16"/>
    <w:rsid w:val="004B6C9D"/>
    <w:rsid w:val="004B7ECF"/>
    <w:rsid w:val="004C0275"/>
    <w:rsid w:val="004C046C"/>
    <w:rsid w:val="004C04CB"/>
    <w:rsid w:val="004C070A"/>
    <w:rsid w:val="004C0923"/>
    <w:rsid w:val="004C2097"/>
    <w:rsid w:val="004C2181"/>
    <w:rsid w:val="004C27F1"/>
    <w:rsid w:val="004C3A97"/>
    <w:rsid w:val="004C4033"/>
    <w:rsid w:val="004C513A"/>
    <w:rsid w:val="004C5C91"/>
    <w:rsid w:val="004C7EEE"/>
    <w:rsid w:val="004D06E7"/>
    <w:rsid w:val="004D14B5"/>
    <w:rsid w:val="004D185F"/>
    <w:rsid w:val="004D1EF3"/>
    <w:rsid w:val="004D36CA"/>
    <w:rsid w:val="004D36E6"/>
    <w:rsid w:val="004D3E30"/>
    <w:rsid w:val="004D40A1"/>
    <w:rsid w:val="004D4695"/>
    <w:rsid w:val="004D5F7E"/>
    <w:rsid w:val="004D6171"/>
    <w:rsid w:val="004D6FD2"/>
    <w:rsid w:val="004D7559"/>
    <w:rsid w:val="004E0F79"/>
    <w:rsid w:val="004E11C5"/>
    <w:rsid w:val="004E12A8"/>
    <w:rsid w:val="004E1789"/>
    <w:rsid w:val="004E1999"/>
    <w:rsid w:val="004E1A33"/>
    <w:rsid w:val="004E2782"/>
    <w:rsid w:val="004E2887"/>
    <w:rsid w:val="004E31F6"/>
    <w:rsid w:val="004E3836"/>
    <w:rsid w:val="004E3A93"/>
    <w:rsid w:val="004E6011"/>
    <w:rsid w:val="004E64DB"/>
    <w:rsid w:val="004E7582"/>
    <w:rsid w:val="004E780E"/>
    <w:rsid w:val="004E7B3E"/>
    <w:rsid w:val="004E7D19"/>
    <w:rsid w:val="004F0458"/>
    <w:rsid w:val="004F0B06"/>
    <w:rsid w:val="004F0FC0"/>
    <w:rsid w:val="004F125E"/>
    <w:rsid w:val="004F5464"/>
    <w:rsid w:val="004F5F34"/>
    <w:rsid w:val="004F5F6B"/>
    <w:rsid w:val="005008DD"/>
    <w:rsid w:val="00500DD8"/>
    <w:rsid w:val="00503695"/>
    <w:rsid w:val="00503B87"/>
    <w:rsid w:val="00503C75"/>
    <w:rsid w:val="00503CC1"/>
    <w:rsid w:val="00504054"/>
    <w:rsid w:val="00505085"/>
    <w:rsid w:val="0050558D"/>
    <w:rsid w:val="0050587B"/>
    <w:rsid w:val="00505AC8"/>
    <w:rsid w:val="0050631F"/>
    <w:rsid w:val="00506EC3"/>
    <w:rsid w:val="0051054D"/>
    <w:rsid w:val="005112E6"/>
    <w:rsid w:val="0051263F"/>
    <w:rsid w:val="0051494E"/>
    <w:rsid w:val="00514DEF"/>
    <w:rsid w:val="00514E78"/>
    <w:rsid w:val="00515E8F"/>
    <w:rsid w:val="00516221"/>
    <w:rsid w:val="005166D1"/>
    <w:rsid w:val="005169B2"/>
    <w:rsid w:val="00517014"/>
    <w:rsid w:val="00520F23"/>
    <w:rsid w:val="0052106B"/>
    <w:rsid w:val="005210CA"/>
    <w:rsid w:val="00521416"/>
    <w:rsid w:val="00521658"/>
    <w:rsid w:val="005227EB"/>
    <w:rsid w:val="0052365C"/>
    <w:rsid w:val="0052385C"/>
    <w:rsid w:val="00523A16"/>
    <w:rsid w:val="005242FE"/>
    <w:rsid w:val="005247B7"/>
    <w:rsid w:val="00526FF4"/>
    <w:rsid w:val="0052721A"/>
    <w:rsid w:val="005275FC"/>
    <w:rsid w:val="005300FD"/>
    <w:rsid w:val="00530310"/>
    <w:rsid w:val="00530439"/>
    <w:rsid w:val="005305F7"/>
    <w:rsid w:val="00530EF6"/>
    <w:rsid w:val="00533968"/>
    <w:rsid w:val="00534AAF"/>
    <w:rsid w:val="005352F5"/>
    <w:rsid w:val="005353CD"/>
    <w:rsid w:val="005359F9"/>
    <w:rsid w:val="005378E8"/>
    <w:rsid w:val="00537A80"/>
    <w:rsid w:val="0054069E"/>
    <w:rsid w:val="00540AFE"/>
    <w:rsid w:val="00540D6E"/>
    <w:rsid w:val="00541226"/>
    <w:rsid w:val="0054187F"/>
    <w:rsid w:val="00541A8D"/>
    <w:rsid w:val="00542EDC"/>
    <w:rsid w:val="00543CB3"/>
    <w:rsid w:val="005443B7"/>
    <w:rsid w:val="00544C11"/>
    <w:rsid w:val="00544D5D"/>
    <w:rsid w:val="00544F04"/>
    <w:rsid w:val="005453E4"/>
    <w:rsid w:val="005459C3"/>
    <w:rsid w:val="00546142"/>
    <w:rsid w:val="00546DF1"/>
    <w:rsid w:val="00546FAE"/>
    <w:rsid w:val="005507CB"/>
    <w:rsid w:val="0055103B"/>
    <w:rsid w:val="00551058"/>
    <w:rsid w:val="00553635"/>
    <w:rsid w:val="00553ACD"/>
    <w:rsid w:val="00554E1D"/>
    <w:rsid w:val="0055537F"/>
    <w:rsid w:val="0055608C"/>
    <w:rsid w:val="00556595"/>
    <w:rsid w:val="00556A8C"/>
    <w:rsid w:val="00556B41"/>
    <w:rsid w:val="00557237"/>
    <w:rsid w:val="00557360"/>
    <w:rsid w:val="005578A7"/>
    <w:rsid w:val="00557B2A"/>
    <w:rsid w:val="005602D5"/>
    <w:rsid w:val="0056268B"/>
    <w:rsid w:val="005641B8"/>
    <w:rsid w:val="005651D7"/>
    <w:rsid w:val="00566223"/>
    <w:rsid w:val="00566A9F"/>
    <w:rsid w:val="00567932"/>
    <w:rsid w:val="00567DF7"/>
    <w:rsid w:val="00567E02"/>
    <w:rsid w:val="005722FC"/>
    <w:rsid w:val="00572CC7"/>
    <w:rsid w:val="005750D4"/>
    <w:rsid w:val="00575D53"/>
    <w:rsid w:val="005764B2"/>
    <w:rsid w:val="00576DA2"/>
    <w:rsid w:val="0057796C"/>
    <w:rsid w:val="0058053B"/>
    <w:rsid w:val="00580E38"/>
    <w:rsid w:val="0058142F"/>
    <w:rsid w:val="005815B1"/>
    <w:rsid w:val="00582265"/>
    <w:rsid w:val="005826E8"/>
    <w:rsid w:val="00582FB6"/>
    <w:rsid w:val="00583A1F"/>
    <w:rsid w:val="0058515D"/>
    <w:rsid w:val="00585FCE"/>
    <w:rsid w:val="00587E7B"/>
    <w:rsid w:val="00591008"/>
    <w:rsid w:val="0059190C"/>
    <w:rsid w:val="00592106"/>
    <w:rsid w:val="005922E0"/>
    <w:rsid w:val="00592AD8"/>
    <w:rsid w:val="00592B00"/>
    <w:rsid w:val="00593391"/>
    <w:rsid w:val="00594C77"/>
    <w:rsid w:val="005957E0"/>
    <w:rsid w:val="005958FC"/>
    <w:rsid w:val="00596300"/>
    <w:rsid w:val="00597A68"/>
    <w:rsid w:val="005A2F9D"/>
    <w:rsid w:val="005A407F"/>
    <w:rsid w:val="005A52B5"/>
    <w:rsid w:val="005A64C4"/>
    <w:rsid w:val="005A6668"/>
    <w:rsid w:val="005A6E56"/>
    <w:rsid w:val="005A757D"/>
    <w:rsid w:val="005A7C55"/>
    <w:rsid w:val="005B0BB8"/>
    <w:rsid w:val="005B10D7"/>
    <w:rsid w:val="005B1A94"/>
    <w:rsid w:val="005B1AA8"/>
    <w:rsid w:val="005B2A74"/>
    <w:rsid w:val="005B32AA"/>
    <w:rsid w:val="005B368A"/>
    <w:rsid w:val="005B44DF"/>
    <w:rsid w:val="005B4A79"/>
    <w:rsid w:val="005B7524"/>
    <w:rsid w:val="005B7541"/>
    <w:rsid w:val="005B75A2"/>
    <w:rsid w:val="005B7DE2"/>
    <w:rsid w:val="005C0DC7"/>
    <w:rsid w:val="005C6829"/>
    <w:rsid w:val="005C6971"/>
    <w:rsid w:val="005C69ED"/>
    <w:rsid w:val="005C6AE1"/>
    <w:rsid w:val="005C6E38"/>
    <w:rsid w:val="005C7684"/>
    <w:rsid w:val="005C7AF1"/>
    <w:rsid w:val="005D0B6E"/>
    <w:rsid w:val="005D0C74"/>
    <w:rsid w:val="005D1D6D"/>
    <w:rsid w:val="005D1F83"/>
    <w:rsid w:val="005D2156"/>
    <w:rsid w:val="005D2995"/>
    <w:rsid w:val="005D3A0C"/>
    <w:rsid w:val="005D3BCD"/>
    <w:rsid w:val="005D3E37"/>
    <w:rsid w:val="005D498C"/>
    <w:rsid w:val="005D516B"/>
    <w:rsid w:val="005D6192"/>
    <w:rsid w:val="005D6809"/>
    <w:rsid w:val="005D69DD"/>
    <w:rsid w:val="005D7F7F"/>
    <w:rsid w:val="005E050E"/>
    <w:rsid w:val="005E1867"/>
    <w:rsid w:val="005E1969"/>
    <w:rsid w:val="005E1B6C"/>
    <w:rsid w:val="005E318A"/>
    <w:rsid w:val="005E37F0"/>
    <w:rsid w:val="005E39EA"/>
    <w:rsid w:val="005E521D"/>
    <w:rsid w:val="005E52A7"/>
    <w:rsid w:val="005E5317"/>
    <w:rsid w:val="005E5B3B"/>
    <w:rsid w:val="005E5F43"/>
    <w:rsid w:val="005E633F"/>
    <w:rsid w:val="005E7594"/>
    <w:rsid w:val="005E7C7A"/>
    <w:rsid w:val="005E7DAC"/>
    <w:rsid w:val="005F099F"/>
    <w:rsid w:val="005F0C6B"/>
    <w:rsid w:val="005F110B"/>
    <w:rsid w:val="005F1C9C"/>
    <w:rsid w:val="005F22C2"/>
    <w:rsid w:val="005F2A4A"/>
    <w:rsid w:val="005F38EE"/>
    <w:rsid w:val="005F3B84"/>
    <w:rsid w:val="005F4056"/>
    <w:rsid w:val="005F4F59"/>
    <w:rsid w:val="005F5651"/>
    <w:rsid w:val="005F5A22"/>
    <w:rsid w:val="005F745A"/>
    <w:rsid w:val="00601076"/>
    <w:rsid w:val="006012DA"/>
    <w:rsid w:val="00601A2F"/>
    <w:rsid w:val="00602E8B"/>
    <w:rsid w:val="006042B8"/>
    <w:rsid w:val="006044E9"/>
    <w:rsid w:val="00606398"/>
    <w:rsid w:val="00606402"/>
    <w:rsid w:val="00606BB4"/>
    <w:rsid w:val="00606F5F"/>
    <w:rsid w:val="00607FD5"/>
    <w:rsid w:val="0061007F"/>
    <w:rsid w:val="006116A1"/>
    <w:rsid w:val="00611985"/>
    <w:rsid w:val="00612000"/>
    <w:rsid w:val="00612375"/>
    <w:rsid w:val="006124C6"/>
    <w:rsid w:val="00614160"/>
    <w:rsid w:val="00614CC8"/>
    <w:rsid w:val="00614CFA"/>
    <w:rsid w:val="00616292"/>
    <w:rsid w:val="006162A3"/>
    <w:rsid w:val="006179F5"/>
    <w:rsid w:val="00620507"/>
    <w:rsid w:val="006215DE"/>
    <w:rsid w:val="00624355"/>
    <w:rsid w:val="006244B7"/>
    <w:rsid w:val="00624638"/>
    <w:rsid w:val="00624854"/>
    <w:rsid w:val="00624FA9"/>
    <w:rsid w:val="00625778"/>
    <w:rsid w:val="0062733F"/>
    <w:rsid w:val="00627D11"/>
    <w:rsid w:val="00630129"/>
    <w:rsid w:val="00630434"/>
    <w:rsid w:val="0063090B"/>
    <w:rsid w:val="00630D0A"/>
    <w:rsid w:val="00631839"/>
    <w:rsid w:val="006323A5"/>
    <w:rsid w:val="00632431"/>
    <w:rsid w:val="00632675"/>
    <w:rsid w:val="006329E7"/>
    <w:rsid w:val="00634384"/>
    <w:rsid w:val="0063439D"/>
    <w:rsid w:val="00635C2B"/>
    <w:rsid w:val="0063614F"/>
    <w:rsid w:val="00636267"/>
    <w:rsid w:val="006368AD"/>
    <w:rsid w:val="00636978"/>
    <w:rsid w:val="00637349"/>
    <w:rsid w:val="006402FA"/>
    <w:rsid w:val="006407FC"/>
    <w:rsid w:val="00640AE4"/>
    <w:rsid w:val="00640FF0"/>
    <w:rsid w:val="0064113E"/>
    <w:rsid w:val="006412C2"/>
    <w:rsid w:val="00642C85"/>
    <w:rsid w:val="00643A45"/>
    <w:rsid w:val="0064440D"/>
    <w:rsid w:val="00645994"/>
    <w:rsid w:val="00645E5C"/>
    <w:rsid w:val="0064608F"/>
    <w:rsid w:val="0064688B"/>
    <w:rsid w:val="00647310"/>
    <w:rsid w:val="0064770F"/>
    <w:rsid w:val="00650061"/>
    <w:rsid w:val="00650BA3"/>
    <w:rsid w:val="00651903"/>
    <w:rsid w:val="006527C5"/>
    <w:rsid w:val="0065331A"/>
    <w:rsid w:val="00653585"/>
    <w:rsid w:val="0065407A"/>
    <w:rsid w:val="00654517"/>
    <w:rsid w:val="00654CB1"/>
    <w:rsid w:val="0065538B"/>
    <w:rsid w:val="00655B16"/>
    <w:rsid w:val="00655C17"/>
    <w:rsid w:val="00655EC8"/>
    <w:rsid w:val="00655FBB"/>
    <w:rsid w:val="00660CE6"/>
    <w:rsid w:val="00661508"/>
    <w:rsid w:val="00662241"/>
    <w:rsid w:val="00662FCE"/>
    <w:rsid w:val="00663B36"/>
    <w:rsid w:val="00665342"/>
    <w:rsid w:val="0066574B"/>
    <w:rsid w:val="00665B97"/>
    <w:rsid w:val="00666079"/>
    <w:rsid w:val="00666FC6"/>
    <w:rsid w:val="00666FE5"/>
    <w:rsid w:val="00667691"/>
    <w:rsid w:val="00667B90"/>
    <w:rsid w:val="00667C01"/>
    <w:rsid w:val="0067015D"/>
    <w:rsid w:val="00671C0B"/>
    <w:rsid w:val="0067312A"/>
    <w:rsid w:val="006751C4"/>
    <w:rsid w:val="006758FA"/>
    <w:rsid w:val="0067601A"/>
    <w:rsid w:val="00676993"/>
    <w:rsid w:val="00676E11"/>
    <w:rsid w:val="0067721F"/>
    <w:rsid w:val="006776D4"/>
    <w:rsid w:val="00677828"/>
    <w:rsid w:val="006801F3"/>
    <w:rsid w:val="006813C6"/>
    <w:rsid w:val="006819D7"/>
    <w:rsid w:val="00682788"/>
    <w:rsid w:val="0068317C"/>
    <w:rsid w:val="0068336B"/>
    <w:rsid w:val="00684ADA"/>
    <w:rsid w:val="00685378"/>
    <w:rsid w:val="00685C56"/>
    <w:rsid w:val="00685C81"/>
    <w:rsid w:val="0068642A"/>
    <w:rsid w:val="00686437"/>
    <w:rsid w:val="00686A8F"/>
    <w:rsid w:val="00686B6E"/>
    <w:rsid w:val="00686CBD"/>
    <w:rsid w:val="00687FBA"/>
    <w:rsid w:val="00687FC0"/>
    <w:rsid w:val="006906CE"/>
    <w:rsid w:val="00691B85"/>
    <w:rsid w:val="00691C11"/>
    <w:rsid w:val="0069227D"/>
    <w:rsid w:val="00693C44"/>
    <w:rsid w:val="006941CA"/>
    <w:rsid w:val="00694CCE"/>
    <w:rsid w:val="00695570"/>
    <w:rsid w:val="0069575E"/>
    <w:rsid w:val="00695DA0"/>
    <w:rsid w:val="006960C8"/>
    <w:rsid w:val="00696996"/>
    <w:rsid w:val="006A0547"/>
    <w:rsid w:val="006A0A07"/>
    <w:rsid w:val="006A0D75"/>
    <w:rsid w:val="006A1DA8"/>
    <w:rsid w:val="006A2894"/>
    <w:rsid w:val="006A2E24"/>
    <w:rsid w:val="006A4E40"/>
    <w:rsid w:val="006A571E"/>
    <w:rsid w:val="006A57EA"/>
    <w:rsid w:val="006A68B0"/>
    <w:rsid w:val="006A6B04"/>
    <w:rsid w:val="006A6FE3"/>
    <w:rsid w:val="006A750A"/>
    <w:rsid w:val="006A7954"/>
    <w:rsid w:val="006A7EBB"/>
    <w:rsid w:val="006B014E"/>
    <w:rsid w:val="006B039D"/>
    <w:rsid w:val="006B06CA"/>
    <w:rsid w:val="006B0BB5"/>
    <w:rsid w:val="006B0C19"/>
    <w:rsid w:val="006B101D"/>
    <w:rsid w:val="006B1D20"/>
    <w:rsid w:val="006B1E8C"/>
    <w:rsid w:val="006B1F0D"/>
    <w:rsid w:val="006B1FAE"/>
    <w:rsid w:val="006B2160"/>
    <w:rsid w:val="006B4AD6"/>
    <w:rsid w:val="006B4B3C"/>
    <w:rsid w:val="006B6BF5"/>
    <w:rsid w:val="006B7300"/>
    <w:rsid w:val="006B78DA"/>
    <w:rsid w:val="006B7FA7"/>
    <w:rsid w:val="006C0481"/>
    <w:rsid w:val="006C05E2"/>
    <w:rsid w:val="006C084D"/>
    <w:rsid w:val="006C14A0"/>
    <w:rsid w:val="006C14B7"/>
    <w:rsid w:val="006C1772"/>
    <w:rsid w:val="006C17CE"/>
    <w:rsid w:val="006C1FC4"/>
    <w:rsid w:val="006C2048"/>
    <w:rsid w:val="006C2173"/>
    <w:rsid w:val="006C231A"/>
    <w:rsid w:val="006C240A"/>
    <w:rsid w:val="006C2FE1"/>
    <w:rsid w:val="006C3EB1"/>
    <w:rsid w:val="006C58E7"/>
    <w:rsid w:val="006C5D13"/>
    <w:rsid w:val="006C5F24"/>
    <w:rsid w:val="006C60AC"/>
    <w:rsid w:val="006C7756"/>
    <w:rsid w:val="006D0155"/>
    <w:rsid w:val="006D11DF"/>
    <w:rsid w:val="006D314F"/>
    <w:rsid w:val="006D317A"/>
    <w:rsid w:val="006D4D27"/>
    <w:rsid w:val="006D4FB0"/>
    <w:rsid w:val="006D54C4"/>
    <w:rsid w:val="006D57BF"/>
    <w:rsid w:val="006D58E6"/>
    <w:rsid w:val="006D5B25"/>
    <w:rsid w:val="006D62AD"/>
    <w:rsid w:val="006D6C00"/>
    <w:rsid w:val="006D6D52"/>
    <w:rsid w:val="006D7C07"/>
    <w:rsid w:val="006D7C78"/>
    <w:rsid w:val="006E07EB"/>
    <w:rsid w:val="006E0CEA"/>
    <w:rsid w:val="006E0E47"/>
    <w:rsid w:val="006E1825"/>
    <w:rsid w:val="006E1914"/>
    <w:rsid w:val="006E29C1"/>
    <w:rsid w:val="006E3B58"/>
    <w:rsid w:val="006E3DE3"/>
    <w:rsid w:val="006E4B0B"/>
    <w:rsid w:val="006E5911"/>
    <w:rsid w:val="006E59FD"/>
    <w:rsid w:val="006E5B04"/>
    <w:rsid w:val="006E6B53"/>
    <w:rsid w:val="006E778B"/>
    <w:rsid w:val="006E7796"/>
    <w:rsid w:val="006E7B77"/>
    <w:rsid w:val="006F0917"/>
    <w:rsid w:val="006F0920"/>
    <w:rsid w:val="006F0C64"/>
    <w:rsid w:val="006F1C31"/>
    <w:rsid w:val="006F2E59"/>
    <w:rsid w:val="006F361B"/>
    <w:rsid w:val="006F385A"/>
    <w:rsid w:val="006F410A"/>
    <w:rsid w:val="006F49E6"/>
    <w:rsid w:val="006F4FDF"/>
    <w:rsid w:val="006F551A"/>
    <w:rsid w:val="007021D8"/>
    <w:rsid w:val="00702A9F"/>
    <w:rsid w:val="00702B61"/>
    <w:rsid w:val="007032BB"/>
    <w:rsid w:val="00704004"/>
    <w:rsid w:val="007048D3"/>
    <w:rsid w:val="007069AC"/>
    <w:rsid w:val="00707A45"/>
    <w:rsid w:val="00710904"/>
    <w:rsid w:val="00711223"/>
    <w:rsid w:val="007123C7"/>
    <w:rsid w:val="0071250C"/>
    <w:rsid w:val="007125BA"/>
    <w:rsid w:val="00712DB0"/>
    <w:rsid w:val="00714FA7"/>
    <w:rsid w:val="00715328"/>
    <w:rsid w:val="00715E9D"/>
    <w:rsid w:val="007164AB"/>
    <w:rsid w:val="007169C4"/>
    <w:rsid w:val="00716E29"/>
    <w:rsid w:val="00717EE5"/>
    <w:rsid w:val="007212ED"/>
    <w:rsid w:val="00722317"/>
    <w:rsid w:val="00722770"/>
    <w:rsid w:val="00723092"/>
    <w:rsid w:val="007230FF"/>
    <w:rsid w:val="00724EF7"/>
    <w:rsid w:val="00725311"/>
    <w:rsid w:val="00725C2F"/>
    <w:rsid w:val="0072669A"/>
    <w:rsid w:val="0073058E"/>
    <w:rsid w:val="007309C0"/>
    <w:rsid w:val="00730F30"/>
    <w:rsid w:val="007321B4"/>
    <w:rsid w:val="00732476"/>
    <w:rsid w:val="00732831"/>
    <w:rsid w:val="00732F2E"/>
    <w:rsid w:val="007334C3"/>
    <w:rsid w:val="00733F7E"/>
    <w:rsid w:val="00734A0E"/>
    <w:rsid w:val="00734BE4"/>
    <w:rsid w:val="00735679"/>
    <w:rsid w:val="00737215"/>
    <w:rsid w:val="00740339"/>
    <w:rsid w:val="007407E2"/>
    <w:rsid w:val="00742665"/>
    <w:rsid w:val="0074285F"/>
    <w:rsid w:val="00742930"/>
    <w:rsid w:val="00743202"/>
    <w:rsid w:val="00743F77"/>
    <w:rsid w:val="0074547A"/>
    <w:rsid w:val="0074649D"/>
    <w:rsid w:val="00750FFA"/>
    <w:rsid w:val="00751BDD"/>
    <w:rsid w:val="007533D9"/>
    <w:rsid w:val="0075342E"/>
    <w:rsid w:val="007535A2"/>
    <w:rsid w:val="0075394A"/>
    <w:rsid w:val="00754328"/>
    <w:rsid w:val="0075463E"/>
    <w:rsid w:val="007554A1"/>
    <w:rsid w:val="00755C00"/>
    <w:rsid w:val="00755C18"/>
    <w:rsid w:val="007561D1"/>
    <w:rsid w:val="00756CD6"/>
    <w:rsid w:val="00757359"/>
    <w:rsid w:val="00757BB7"/>
    <w:rsid w:val="00757D2F"/>
    <w:rsid w:val="00760F94"/>
    <w:rsid w:val="0076111D"/>
    <w:rsid w:val="007628E3"/>
    <w:rsid w:val="00762F9F"/>
    <w:rsid w:val="0076501B"/>
    <w:rsid w:val="0076540A"/>
    <w:rsid w:val="007655D8"/>
    <w:rsid w:val="00766235"/>
    <w:rsid w:val="00766289"/>
    <w:rsid w:val="0076776F"/>
    <w:rsid w:val="00767B9C"/>
    <w:rsid w:val="00767C58"/>
    <w:rsid w:val="00767E21"/>
    <w:rsid w:val="00767E66"/>
    <w:rsid w:val="00770941"/>
    <w:rsid w:val="00770C83"/>
    <w:rsid w:val="00770F1D"/>
    <w:rsid w:val="00771BF6"/>
    <w:rsid w:val="007727DA"/>
    <w:rsid w:val="0077409E"/>
    <w:rsid w:val="00774C38"/>
    <w:rsid w:val="00775371"/>
    <w:rsid w:val="00775D4C"/>
    <w:rsid w:val="007760E1"/>
    <w:rsid w:val="007776FD"/>
    <w:rsid w:val="00777A75"/>
    <w:rsid w:val="007811B6"/>
    <w:rsid w:val="007815EC"/>
    <w:rsid w:val="0078267E"/>
    <w:rsid w:val="007827C9"/>
    <w:rsid w:val="00782AF0"/>
    <w:rsid w:val="00782B2B"/>
    <w:rsid w:val="00782BD4"/>
    <w:rsid w:val="0078319E"/>
    <w:rsid w:val="00783CF1"/>
    <w:rsid w:val="007844C0"/>
    <w:rsid w:val="007845C4"/>
    <w:rsid w:val="007848E9"/>
    <w:rsid w:val="00785624"/>
    <w:rsid w:val="007860BB"/>
    <w:rsid w:val="007861BF"/>
    <w:rsid w:val="007872D4"/>
    <w:rsid w:val="00787C89"/>
    <w:rsid w:val="00787EC7"/>
    <w:rsid w:val="00791112"/>
    <w:rsid w:val="0079192F"/>
    <w:rsid w:val="00791ED1"/>
    <w:rsid w:val="00791F89"/>
    <w:rsid w:val="00792658"/>
    <w:rsid w:val="007932ED"/>
    <w:rsid w:val="007940D7"/>
    <w:rsid w:val="00795B9A"/>
    <w:rsid w:val="007961E4"/>
    <w:rsid w:val="00797012"/>
    <w:rsid w:val="007A0FF1"/>
    <w:rsid w:val="007A109A"/>
    <w:rsid w:val="007A1DC1"/>
    <w:rsid w:val="007A22E6"/>
    <w:rsid w:val="007A246D"/>
    <w:rsid w:val="007A2714"/>
    <w:rsid w:val="007A2AAC"/>
    <w:rsid w:val="007A3193"/>
    <w:rsid w:val="007A37F7"/>
    <w:rsid w:val="007A3D70"/>
    <w:rsid w:val="007A41E0"/>
    <w:rsid w:val="007A5322"/>
    <w:rsid w:val="007A5DFE"/>
    <w:rsid w:val="007A6BD0"/>
    <w:rsid w:val="007A6CF2"/>
    <w:rsid w:val="007A7156"/>
    <w:rsid w:val="007A73CF"/>
    <w:rsid w:val="007A75DB"/>
    <w:rsid w:val="007A7617"/>
    <w:rsid w:val="007A7AAB"/>
    <w:rsid w:val="007A7CC2"/>
    <w:rsid w:val="007B1AEA"/>
    <w:rsid w:val="007B2F1E"/>
    <w:rsid w:val="007B336D"/>
    <w:rsid w:val="007B4381"/>
    <w:rsid w:val="007B4889"/>
    <w:rsid w:val="007B5D88"/>
    <w:rsid w:val="007B6F5A"/>
    <w:rsid w:val="007B7303"/>
    <w:rsid w:val="007B7458"/>
    <w:rsid w:val="007B7C4A"/>
    <w:rsid w:val="007B7EBC"/>
    <w:rsid w:val="007C1033"/>
    <w:rsid w:val="007C115B"/>
    <w:rsid w:val="007C1EE8"/>
    <w:rsid w:val="007C2122"/>
    <w:rsid w:val="007C35E2"/>
    <w:rsid w:val="007C4281"/>
    <w:rsid w:val="007C4C51"/>
    <w:rsid w:val="007C4D4C"/>
    <w:rsid w:val="007C5027"/>
    <w:rsid w:val="007C5671"/>
    <w:rsid w:val="007C5DB3"/>
    <w:rsid w:val="007C5E63"/>
    <w:rsid w:val="007C6E1E"/>
    <w:rsid w:val="007D0BBC"/>
    <w:rsid w:val="007D0D51"/>
    <w:rsid w:val="007D0FE7"/>
    <w:rsid w:val="007D1A5F"/>
    <w:rsid w:val="007D23DC"/>
    <w:rsid w:val="007D4B4F"/>
    <w:rsid w:val="007D6A53"/>
    <w:rsid w:val="007D7BFA"/>
    <w:rsid w:val="007D7C8D"/>
    <w:rsid w:val="007E3AD6"/>
    <w:rsid w:val="007E421F"/>
    <w:rsid w:val="007E43BA"/>
    <w:rsid w:val="007E44CC"/>
    <w:rsid w:val="007E4646"/>
    <w:rsid w:val="007E5162"/>
    <w:rsid w:val="007E555D"/>
    <w:rsid w:val="007E63C9"/>
    <w:rsid w:val="007E6785"/>
    <w:rsid w:val="007E76F8"/>
    <w:rsid w:val="007E78E7"/>
    <w:rsid w:val="007F08DF"/>
    <w:rsid w:val="007F1B38"/>
    <w:rsid w:val="007F1BFD"/>
    <w:rsid w:val="007F1E29"/>
    <w:rsid w:val="007F2265"/>
    <w:rsid w:val="007F29B8"/>
    <w:rsid w:val="007F2AA5"/>
    <w:rsid w:val="007F39E8"/>
    <w:rsid w:val="007F4113"/>
    <w:rsid w:val="007F4FE8"/>
    <w:rsid w:val="007F614C"/>
    <w:rsid w:val="007F69A1"/>
    <w:rsid w:val="007F6ADD"/>
    <w:rsid w:val="007F6EDB"/>
    <w:rsid w:val="007F721E"/>
    <w:rsid w:val="007F7D61"/>
    <w:rsid w:val="008013C3"/>
    <w:rsid w:val="00801FB3"/>
    <w:rsid w:val="00803DC4"/>
    <w:rsid w:val="00804ED9"/>
    <w:rsid w:val="0080605A"/>
    <w:rsid w:val="0080629B"/>
    <w:rsid w:val="00806364"/>
    <w:rsid w:val="008063B8"/>
    <w:rsid w:val="00806730"/>
    <w:rsid w:val="00807677"/>
    <w:rsid w:val="00807DA0"/>
    <w:rsid w:val="008103EA"/>
    <w:rsid w:val="00810598"/>
    <w:rsid w:val="00812A06"/>
    <w:rsid w:val="00812D5B"/>
    <w:rsid w:val="00813619"/>
    <w:rsid w:val="00813834"/>
    <w:rsid w:val="00813897"/>
    <w:rsid w:val="00814CD5"/>
    <w:rsid w:val="00814DB3"/>
    <w:rsid w:val="0081515D"/>
    <w:rsid w:val="0081591F"/>
    <w:rsid w:val="0081696B"/>
    <w:rsid w:val="00816DD4"/>
    <w:rsid w:val="00817449"/>
    <w:rsid w:val="0081788F"/>
    <w:rsid w:val="00817915"/>
    <w:rsid w:val="008179E7"/>
    <w:rsid w:val="00817B5D"/>
    <w:rsid w:val="00817F8B"/>
    <w:rsid w:val="00820630"/>
    <w:rsid w:val="00820CC2"/>
    <w:rsid w:val="008224E6"/>
    <w:rsid w:val="008227A6"/>
    <w:rsid w:val="00824080"/>
    <w:rsid w:val="00824152"/>
    <w:rsid w:val="00824178"/>
    <w:rsid w:val="00824BCB"/>
    <w:rsid w:val="00824E14"/>
    <w:rsid w:val="00825207"/>
    <w:rsid w:val="00826711"/>
    <w:rsid w:val="00826DB0"/>
    <w:rsid w:val="0083022A"/>
    <w:rsid w:val="00830A5F"/>
    <w:rsid w:val="008319F7"/>
    <w:rsid w:val="00832101"/>
    <w:rsid w:val="0083337E"/>
    <w:rsid w:val="0083339E"/>
    <w:rsid w:val="00834A55"/>
    <w:rsid w:val="00834B97"/>
    <w:rsid w:val="008355B0"/>
    <w:rsid w:val="008374B8"/>
    <w:rsid w:val="00837A80"/>
    <w:rsid w:val="00840819"/>
    <w:rsid w:val="00840F95"/>
    <w:rsid w:val="00841618"/>
    <w:rsid w:val="00842B46"/>
    <w:rsid w:val="00842C6B"/>
    <w:rsid w:val="00843BD4"/>
    <w:rsid w:val="0084584D"/>
    <w:rsid w:val="0084692F"/>
    <w:rsid w:val="008471B7"/>
    <w:rsid w:val="00850E66"/>
    <w:rsid w:val="0085183E"/>
    <w:rsid w:val="00851F1C"/>
    <w:rsid w:val="00852499"/>
    <w:rsid w:val="00852D13"/>
    <w:rsid w:val="00852F07"/>
    <w:rsid w:val="00853050"/>
    <w:rsid w:val="0085332D"/>
    <w:rsid w:val="00853C5E"/>
    <w:rsid w:val="008545FE"/>
    <w:rsid w:val="00855019"/>
    <w:rsid w:val="00856F1E"/>
    <w:rsid w:val="00857600"/>
    <w:rsid w:val="00862015"/>
    <w:rsid w:val="00862120"/>
    <w:rsid w:val="00862D36"/>
    <w:rsid w:val="00863171"/>
    <w:rsid w:val="00865DA4"/>
    <w:rsid w:val="0086612E"/>
    <w:rsid w:val="0086676B"/>
    <w:rsid w:val="00871DFD"/>
    <w:rsid w:val="00872E16"/>
    <w:rsid w:val="00872F12"/>
    <w:rsid w:val="008732C1"/>
    <w:rsid w:val="00873799"/>
    <w:rsid w:val="00874CD1"/>
    <w:rsid w:val="00875A53"/>
    <w:rsid w:val="0087668A"/>
    <w:rsid w:val="00876BF1"/>
    <w:rsid w:val="00877494"/>
    <w:rsid w:val="00877612"/>
    <w:rsid w:val="0087762C"/>
    <w:rsid w:val="00880666"/>
    <w:rsid w:val="00880E9C"/>
    <w:rsid w:val="008811D7"/>
    <w:rsid w:val="0088218A"/>
    <w:rsid w:val="00882A22"/>
    <w:rsid w:val="00884341"/>
    <w:rsid w:val="00884D26"/>
    <w:rsid w:val="00886316"/>
    <w:rsid w:val="008863D9"/>
    <w:rsid w:val="00887C5D"/>
    <w:rsid w:val="00887F82"/>
    <w:rsid w:val="008911A1"/>
    <w:rsid w:val="00891621"/>
    <w:rsid w:val="00891D3D"/>
    <w:rsid w:val="008937F8"/>
    <w:rsid w:val="00893DD5"/>
    <w:rsid w:val="00895047"/>
    <w:rsid w:val="00895331"/>
    <w:rsid w:val="00895C68"/>
    <w:rsid w:val="0089606D"/>
    <w:rsid w:val="0089678D"/>
    <w:rsid w:val="00896BAB"/>
    <w:rsid w:val="00896BFA"/>
    <w:rsid w:val="0089701B"/>
    <w:rsid w:val="008975D1"/>
    <w:rsid w:val="008A0830"/>
    <w:rsid w:val="008A0A4A"/>
    <w:rsid w:val="008A0FC1"/>
    <w:rsid w:val="008A25D3"/>
    <w:rsid w:val="008A285E"/>
    <w:rsid w:val="008A2B37"/>
    <w:rsid w:val="008A3610"/>
    <w:rsid w:val="008A38F3"/>
    <w:rsid w:val="008A3D9C"/>
    <w:rsid w:val="008A5F2B"/>
    <w:rsid w:val="008A675E"/>
    <w:rsid w:val="008A778E"/>
    <w:rsid w:val="008B034E"/>
    <w:rsid w:val="008B0C7A"/>
    <w:rsid w:val="008B1F6A"/>
    <w:rsid w:val="008B317F"/>
    <w:rsid w:val="008B381B"/>
    <w:rsid w:val="008B4C84"/>
    <w:rsid w:val="008B590D"/>
    <w:rsid w:val="008B6ABF"/>
    <w:rsid w:val="008B7337"/>
    <w:rsid w:val="008B75C7"/>
    <w:rsid w:val="008C0AFC"/>
    <w:rsid w:val="008C2ADE"/>
    <w:rsid w:val="008C30AE"/>
    <w:rsid w:val="008C315B"/>
    <w:rsid w:val="008C33C2"/>
    <w:rsid w:val="008C3477"/>
    <w:rsid w:val="008C3721"/>
    <w:rsid w:val="008C4892"/>
    <w:rsid w:val="008C5548"/>
    <w:rsid w:val="008C5A9F"/>
    <w:rsid w:val="008C5DF9"/>
    <w:rsid w:val="008C5F35"/>
    <w:rsid w:val="008C5F5F"/>
    <w:rsid w:val="008C659D"/>
    <w:rsid w:val="008D07C3"/>
    <w:rsid w:val="008D2631"/>
    <w:rsid w:val="008D2904"/>
    <w:rsid w:val="008D30A3"/>
    <w:rsid w:val="008D3C99"/>
    <w:rsid w:val="008D3ECE"/>
    <w:rsid w:val="008D46CE"/>
    <w:rsid w:val="008D49B0"/>
    <w:rsid w:val="008D5365"/>
    <w:rsid w:val="008E005A"/>
    <w:rsid w:val="008E082B"/>
    <w:rsid w:val="008E0ED1"/>
    <w:rsid w:val="008E1075"/>
    <w:rsid w:val="008E2274"/>
    <w:rsid w:val="008E2363"/>
    <w:rsid w:val="008E2565"/>
    <w:rsid w:val="008E2A97"/>
    <w:rsid w:val="008E2C48"/>
    <w:rsid w:val="008E2EDD"/>
    <w:rsid w:val="008E4462"/>
    <w:rsid w:val="008E6B18"/>
    <w:rsid w:val="008E7511"/>
    <w:rsid w:val="008E7EE9"/>
    <w:rsid w:val="008F1D32"/>
    <w:rsid w:val="008F29AD"/>
    <w:rsid w:val="008F3EDE"/>
    <w:rsid w:val="008F4240"/>
    <w:rsid w:val="008F4E72"/>
    <w:rsid w:val="008F6020"/>
    <w:rsid w:val="008F6333"/>
    <w:rsid w:val="008F7C8A"/>
    <w:rsid w:val="009003ED"/>
    <w:rsid w:val="00900620"/>
    <w:rsid w:val="00900A03"/>
    <w:rsid w:val="00900A13"/>
    <w:rsid w:val="00901CB8"/>
    <w:rsid w:val="00903842"/>
    <w:rsid w:val="00904951"/>
    <w:rsid w:val="0090604C"/>
    <w:rsid w:val="00906DC0"/>
    <w:rsid w:val="00907127"/>
    <w:rsid w:val="009074DC"/>
    <w:rsid w:val="009077D2"/>
    <w:rsid w:val="00910214"/>
    <w:rsid w:val="0091086C"/>
    <w:rsid w:val="009111AB"/>
    <w:rsid w:val="00911319"/>
    <w:rsid w:val="0091206B"/>
    <w:rsid w:val="009133E6"/>
    <w:rsid w:val="00913B2C"/>
    <w:rsid w:val="00913F8E"/>
    <w:rsid w:val="00914261"/>
    <w:rsid w:val="009156D4"/>
    <w:rsid w:val="009158C3"/>
    <w:rsid w:val="00915CD0"/>
    <w:rsid w:val="00915D99"/>
    <w:rsid w:val="0091658D"/>
    <w:rsid w:val="009165D1"/>
    <w:rsid w:val="00916731"/>
    <w:rsid w:val="009177D2"/>
    <w:rsid w:val="009203B0"/>
    <w:rsid w:val="00920877"/>
    <w:rsid w:val="00921E24"/>
    <w:rsid w:val="00922580"/>
    <w:rsid w:val="00923904"/>
    <w:rsid w:val="00924167"/>
    <w:rsid w:val="00926086"/>
    <w:rsid w:val="0092679B"/>
    <w:rsid w:val="00926D09"/>
    <w:rsid w:val="00927081"/>
    <w:rsid w:val="009270EE"/>
    <w:rsid w:val="00927355"/>
    <w:rsid w:val="00927AA5"/>
    <w:rsid w:val="00927DAA"/>
    <w:rsid w:val="00930D84"/>
    <w:rsid w:val="00931FE0"/>
    <w:rsid w:val="0093223F"/>
    <w:rsid w:val="00932BE7"/>
    <w:rsid w:val="00932F45"/>
    <w:rsid w:val="00933126"/>
    <w:rsid w:val="009333AF"/>
    <w:rsid w:val="00934C2C"/>
    <w:rsid w:val="009352E1"/>
    <w:rsid w:val="00935C4C"/>
    <w:rsid w:val="00936AFE"/>
    <w:rsid w:val="00937A9C"/>
    <w:rsid w:val="009410C1"/>
    <w:rsid w:val="009430B2"/>
    <w:rsid w:val="00943230"/>
    <w:rsid w:val="00944882"/>
    <w:rsid w:val="00945965"/>
    <w:rsid w:val="00945F2D"/>
    <w:rsid w:val="00952904"/>
    <w:rsid w:val="00953299"/>
    <w:rsid w:val="009533EA"/>
    <w:rsid w:val="009537A1"/>
    <w:rsid w:val="009544CC"/>
    <w:rsid w:val="009547EC"/>
    <w:rsid w:val="0095502C"/>
    <w:rsid w:val="009550A5"/>
    <w:rsid w:val="00955290"/>
    <w:rsid w:val="00955F0E"/>
    <w:rsid w:val="00956081"/>
    <w:rsid w:val="00956206"/>
    <w:rsid w:val="00956A92"/>
    <w:rsid w:val="00961007"/>
    <w:rsid w:val="0096160D"/>
    <w:rsid w:val="0096366C"/>
    <w:rsid w:val="009639AF"/>
    <w:rsid w:val="0096622C"/>
    <w:rsid w:val="00966C59"/>
    <w:rsid w:val="009675A0"/>
    <w:rsid w:val="009676F8"/>
    <w:rsid w:val="009701D3"/>
    <w:rsid w:val="00970397"/>
    <w:rsid w:val="00971C84"/>
    <w:rsid w:val="00971ECD"/>
    <w:rsid w:val="0097225F"/>
    <w:rsid w:val="00973399"/>
    <w:rsid w:val="0097597F"/>
    <w:rsid w:val="00976411"/>
    <w:rsid w:val="00976CEF"/>
    <w:rsid w:val="009772EB"/>
    <w:rsid w:val="009774CE"/>
    <w:rsid w:val="009774E9"/>
    <w:rsid w:val="009776A3"/>
    <w:rsid w:val="00977818"/>
    <w:rsid w:val="00977BAB"/>
    <w:rsid w:val="00977CEF"/>
    <w:rsid w:val="00980AA9"/>
    <w:rsid w:val="00980ED4"/>
    <w:rsid w:val="0098119F"/>
    <w:rsid w:val="009819B7"/>
    <w:rsid w:val="00981CF9"/>
    <w:rsid w:val="009841F0"/>
    <w:rsid w:val="00984DB5"/>
    <w:rsid w:val="0098611E"/>
    <w:rsid w:val="009870E1"/>
    <w:rsid w:val="00987D82"/>
    <w:rsid w:val="00987E61"/>
    <w:rsid w:val="00990867"/>
    <w:rsid w:val="00991A61"/>
    <w:rsid w:val="00991F86"/>
    <w:rsid w:val="00992ACA"/>
    <w:rsid w:val="009933E2"/>
    <w:rsid w:val="009945F0"/>
    <w:rsid w:val="00995764"/>
    <w:rsid w:val="00995A7C"/>
    <w:rsid w:val="009962DF"/>
    <w:rsid w:val="00996B36"/>
    <w:rsid w:val="00996CCF"/>
    <w:rsid w:val="00997189"/>
    <w:rsid w:val="009A0F15"/>
    <w:rsid w:val="009A1FDC"/>
    <w:rsid w:val="009A293D"/>
    <w:rsid w:val="009A2F0E"/>
    <w:rsid w:val="009A35F1"/>
    <w:rsid w:val="009A6801"/>
    <w:rsid w:val="009A684A"/>
    <w:rsid w:val="009A775B"/>
    <w:rsid w:val="009B03A9"/>
    <w:rsid w:val="009B06DB"/>
    <w:rsid w:val="009B0F1D"/>
    <w:rsid w:val="009B17B0"/>
    <w:rsid w:val="009B1C54"/>
    <w:rsid w:val="009B1C61"/>
    <w:rsid w:val="009B1EA2"/>
    <w:rsid w:val="009B23D6"/>
    <w:rsid w:val="009B293E"/>
    <w:rsid w:val="009B2ABD"/>
    <w:rsid w:val="009B3A57"/>
    <w:rsid w:val="009B3F10"/>
    <w:rsid w:val="009B496D"/>
    <w:rsid w:val="009B650A"/>
    <w:rsid w:val="009C04FD"/>
    <w:rsid w:val="009C107C"/>
    <w:rsid w:val="009C13BA"/>
    <w:rsid w:val="009C2060"/>
    <w:rsid w:val="009C32D1"/>
    <w:rsid w:val="009C3C78"/>
    <w:rsid w:val="009C51D0"/>
    <w:rsid w:val="009C550B"/>
    <w:rsid w:val="009C70AC"/>
    <w:rsid w:val="009C74C7"/>
    <w:rsid w:val="009D0D2C"/>
    <w:rsid w:val="009D0D57"/>
    <w:rsid w:val="009D1184"/>
    <w:rsid w:val="009D161A"/>
    <w:rsid w:val="009D1B3D"/>
    <w:rsid w:val="009D24D4"/>
    <w:rsid w:val="009D302B"/>
    <w:rsid w:val="009D3546"/>
    <w:rsid w:val="009D3917"/>
    <w:rsid w:val="009D4233"/>
    <w:rsid w:val="009D462F"/>
    <w:rsid w:val="009D466C"/>
    <w:rsid w:val="009D4BF9"/>
    <w:rsid w:val="009D5C8C"/>
    <w:rsid w:val="009D6114"/>
    <w:rsid w:val="009D6BED"/>
    <w:rsid w:val="009D7E18"/>
    <w:rsid w:val="009E0162"/>
    <w:rsid w:val="009E0C00"/>
    <w:rsid w:val="009E1DF0"/>
    <w:rsid w:val="009E25C2"/>
    <w:rsid w:val="009E266F"/>
    <w:rsid w:val="009E2A01"/>
    <w:rsid w:val="009E31BE"/>
    <w:rsid w:val="009E3544"/>
    <w:rsid w:val="009E36A8"/>
    <w:rsid w:val="009E5CE7"/>
    <w:rsid w:val="009E5DF4"/>
    <w:rsid w:val="009E6064"/>
    <w:rsid w:val="009E75B5"/>
    <w:rsid w:val="009E7D05"/>
    <w:rsid w:val="009F0643"/>
    <w:rsid w:val="009F075D"/>
    <w:rsid w:val="009F0C3A"/>
    <w:rsid w:val="009F143F"/>
    <w:rsid w:val="009F152E"/>
    <w:rsid w:val="009F1FCB"/>
    <w:rsid w:val="009F2056"/>
    <w:rsid w:val="009F2894"/>
    <w:rsid w:val="009F3277"/>
    <w:rsid w:val="009F3F3B"/>
    <w:rsid w:val="009F5A97"/>
    <w:rsid w:val="009F5C4A"/>
    <w:rsid w:val="009F649D"/>
    <w:rsid w:val="009F6F3E"/>
    <w:rsid w:val="009F718E"/>
    <w:rsid w:val="009F7435"/>
    <w:rsid w:val="009F761F"/>
    <w:rsid w:val="009F78D6"/>
    <w:rsid w:val="009F7C13"/>
    <w:rsid w:val="00A00A67"/>
    <w:rsid w:val="00A01397"/>
    <w:rsid w:val="00A02067"/>
    <w:rsid w:val="00A0299A"/>
    <w:rsid w:val="00A03B34"/>
    <w:rsid w:val="00A04464"/>
    <w:rsid w:val="00A04B57"/>
    <w:rsid w:val="00A04F28"/>
    <w:rsid w:val="00A0640F"/>
    <w:rsid w:val="00A07772"/>
    <w:rsid w:val="00A07F01"/>
    <w:rsid w:val="00A104FF"/>
    <w:rsid w:val="00A106F7"/>
    <w:rsid w:val="00A11224"/>
    <w:rsid w:val="00A1185E"/>
    <w:rsid w:val="00A11BF7"/>
    <w:rsid w:val="00A12072"/>
    <w:rsid w:val="00A122F0"/>
    <w:rsid w:val="00A12F53"/>
    <w:rsid w:val="00A13062"/>
    <w:rsid w:val="00A13C9E"/>
    <w:rsid w:val="00A1407A"/>
    <w:rsid w:val="00A1660C"/>
    <w:rsid w:val="00A1685E"/>
    <w:rsid w:val="00A178D0"/>
    <w:rsid w:val="00A17ECD"/>
    <w:rsid w:val="00A24C2D"/>
    <w:rsid w:val="00A24E75"/>
    <w:rsid w:val="00A25102"/>
    <w:rsid w:val="00A27728"/>
    <w:rsid w:val="00A27A2C"/>
    <w:rsid w:val="00A301E4"/>
    <w:rsid w:val="00A302B3"/>
    <w:rsid w:val="00A306FA"/>
    <w:rsid w:val="00A318DD"/>
    <w:rsid w:val="00A31EC4"/>
    <w:rsid w:val="00A321D3"/>
    <w:rsid w:val="00A324B9"/>
    <w:rsid w:val="00A32DA4"/>
    <w:rsid w:val="00A334FE"/>
    <w:rsid w:val="00A33A97"/>
    <w:rsid w:val="00A34346"/>
    <w:rsid w:val="00A34854"/>
    <w:rsid w:val="00A34CCB"/>
    <w:rsid w:val="00A3780F"/>
    <w:rsid w:val="00A37E3F"/>
    <w:rsid w:val="00A4009E"/>
    <w:rsid w:val="00A40346"/>
    <w:rsid w:val="00A41A8D"/>
    <w:rsid w:val="00A42CA4"/>
    <w:rsid w:val="00A4314D"/>
    <w:rsid w:val="00A44BEA"/>
    <w:rsid w:val="00A453E6"/>
    <w:rsid w:val="00A465FB"/>
    <w:rsid w:val="00A46EB6"/>
    <w:rsid w:val="00A47A0F"/>
    <w:rsid w:val="00A5007F"/>
    <w:rsid w:val="00A51424"/>
    <w:rsid w:val="00A52035"/>
    <w:rsid w:val="00A52122"/>
    <w:rsid w:val="00A522AE"/>
    <w:rsid w:val="00A52E98"/>
    <w:rsid w:val="00A5364D"/>
    <w:rsid w:val="00A5380F"/>
    <w:rsid w:val="00A53948"/>
    <w:rsid w:val="00A542D6"/>
    <w:rsid w:val="00A5459F"/>
    <w:rsid w:val="00A54655"/>
    <w:rsid w:val="00A54B2D"/>
    <w:rsid w:val="00A55B66"/>
    <w:rsid w:val="00A56248"/>
    <w:rsid w:val="00A56572"/>
    <w:rsid w:val="00A57678"/>
    <w:rsid w:val="00A60442"/>
    <w:rsid w:val="00A604FF"/>
    <w:rsid w:val="00A612E4"/>
    <w:rsid w:val="00A62763"/>
    <w:rsid w:val="00A6302A"/>
    <w:rsid w:val="00A6349C"/>
    <w:rsid w:val="00A63861"/>
    <w:rsid w:val="00A643FB"/>
    <w:rsid w:val="00A64429"/>
    <w:rsid w:val="00A6455A"/>
    <w:rsid w:val="00A65751"/>
    <w:rsid w:val="00A65830"/>
    <w:rsid w:val="00A660CF"/>
    <w:rsid w:val="00A66409"/>
    <w:rsid w:val="00A667A8"/>
    <w:rsid w:val="00A70F14"/>
    <w:rsid w:val="00A71B7E"/>
    <w:rsid w:val="00A71E1F"/>
    <w:rsid w:val="00A7270F"/>
    <w:rsid w:val="00A727A4"/>
    <w:rsid w:val="00A737B3"/>
    <w:rsid w:val="00A73990"/>
    <w:rsid w:val="00A74469"/>
    <w:rsid w:val="00A75ADE"/>
    <w:rsid w:val="00A764CF"/>
    <w:rsid w:val="00A767DF"/>
    <w:rsid w:val="00A776C7"/>
    <w:rsid w:val="00A803F2"/>
    <w:rsid w:val="00A80EA8"/>
    <w:rsid w:val="00A8105F"/>
    <w:rsid w:val="00A81E4C"/>
    <w:rsid w:val="00A829AF"/>
    <w:rsid w:val="00A84352"/>
    <w:rsid w:val="00A84F99"/>
    <w:rsid w:val="00A84FB6"/>
    <w:rsid w:val="00A86328"/>
    <w:rsid w:val="00A86386"/>
    <w:rsid w:val="00A865C8"/>
    <w:rsid w:val="00A868BC"/>
    <w:rsid w:val="00A86F8F"/>
    <w:rsid w:val="00A90D66"/>
    <w:rsid w:val="00A91436"/>
    <w:rsid w:val="00A91D55"/>
    <w:rsid w:val="00A91EDF"/>
    <w:rsid w:val="00A91FCD"/>
    <w:rsid w:val="00A923A1"/>
    <w:rsid w:val="00A92576"/>
    <w:rsid w:val="00A9286B"/>
    <w:rsid w:val="00A928CA"/>
    <w:rsid w:val="00A93FE7"/>
    <w:rsid w:val="00A94F0A"/>
    <w:rsid w:val="00A95C6E"/>
    <w:rsid w:val="00A95E18"/>
    <w:rsid w:val="00A96319"/>
    <w:rsid w:val="00A9632A"/>
    <w:rsid w:val="00A96555"/>
    <w:rsid w:val="00A97A28"/>
    <w:rsid w:val="00AA0105"/>
    <w:rsid w:val="00AA1108"/>
    <w:rsid w:val="00AA257D"/>
    <w:rsid w:val="00AA2A02"/>
    <w:rsid w:val="00AA307C"/>
    <w:rsid w:val="00AA3782"/>
    <w:rsid w:val="00AA4DC5"/>
    <w:rsid w:val="00AA565D"/>
    <w:rsid w:val="00AA5C3E"/>
    <w:rsid w:val="00AA6902"/>
    <w:rsid w:val="00AA69EA"/>
    <w:rsid w:val="00AA6BF3"/>
    <w:rsid w:val="00AA727D"/>
    <w:rsid w:val="00AA7C27"/>
    <w:rsid w:val="00AB0E49"/>
    <w:rsid w:val="00AB0E8C"/>
    <w:rsid w:val="00AB1972"/>
    <w:rsid w:val="00AB19C7"/>
    <w:rsid w:val="00AB2A0E"/>
    <w:rsid w:val="00AB3997"/>
    <w:rsid w:val="00AB58F9"/>
    <w:rsid w:val="00AB5C2A"/>
    <w:rsid w:val="00AB5C94"/>
    <w:rsid w:val="00AB72EA"/>
    <w:rsid w:val="00AB755E"/>
    <w:rsid w:val="00AB7DE4"/>
    <w:rsid w:val="00AC03F9"/>
    <w:rsid w:val="00AC15BB"/>
    <w:rsid w:val="00AC1CAB"/>
    <w:rsid w:val="00AC1F16"/>
    <w:rsid w:val="00AC2788"/>
    <w:rsid w:val="00AC2905"/>
    <w:rsid w:val="00AC37B8"/>
    <w:rsid w:val="00AC384E"/>
    <w:rsid w:val="00AC3CB0"/>
    <w:rsid w:val="00AC4FE7"/>
    <w:rsid w:val="00AC552D"/>
    <w:rsid w:val="00AC7124"/>
    <w:rsid w:val="00AD1321"/>
    <w:rsid w:val="00AD1852"/>
    <w:rsid w:val="00AD18D6"/>
    <w:rsid w:val="00AD1C8F"/>
    <w:rsid w:val="00AD1DE4"/>
    <w:rsid w:val="00AD355C"/>
    <w:rsid w:val="00AD3988"/>
    <w:rsid w:val="00AD3B14"/>
    <w:rsid w:val="00AD4BEA"/>
    <w:rsid w:val="00AD7DE9"/>
    <w:rsid w:val="00AE057C"/>
    <w:rsid w:val="00AE0D56"/>
    <w:rsid w:val="00AE12C0"/>
    <w:rsid w:val="00AE2CD8"/>
    <w:rsid w:val="00AE2D34"/>
    <w:rsid w:val="00AE2D8D"/>
    <w:rsid w:val="00AE2E55"/>
    <w:rsid w:val="00AE3031"/>
    <w:rsid w:val="00AE30B8"/>
    <w:rsid w:val="00AE3A35"/>
    <w:rsid w:val="00AE4849"/>
    <w:rsid w:val="00AE4BB9"/>
    <w:rsid w:val="00AE4CCB"/>
    <w:rsid w:val="00AE5335"/>
    <w:rsid w:val="00AE6994"/>
    <w:rsid w:val="00AE72DB"/>
    <w:rsid w:val="00AE730D"/>
    <w:rsid w:val="00AE7326"/>
    <w:rsid w:val="00AF050F"/>
    <w:rsid w:val="00AF08DE"/>
    <w:rsid w:val="00AF1FAA"/>
    <w:rsid w:val="00AF4202"/>
    <w:rsid w:val="00AF6BF3"/>
    <w:rsid w:val="00B008D3"/>
    <w:rsid w:val="00B00A7B"/>
    <w:rsid w:val="00B00B11"/>
    <w:rsid w:val="00B01224"/>
    <w:rsid w:val="00B01F4E"/>
    <w:rsid w:val="00B025A1"/>
    <w:rsid w:val="00B025D4"/>
    <w:rsid w:val="00B02AC8"/>
    <w:rsid w:val="00B02E1E"/>
    <w:rsid w:val="00B03AE4"/>
    <w:rsid w:val="00B040A1"/>
    <w:rsid w:val="00B0421D"/>
    <w:rsid w:val="00B058A5"/>
    <w:rsid w:val="00B05EB4"/>
    <w:rsid w:val="00B12225"/>
    <w:rsid w:val="00B129D0"/>
    <w:rsid w:val="00B12C3D"/>
    <w:rsid w:val="00B12FCF"/>
    <w:rsid w:val="00B13E3F"/>
    <w:rsid w:val="00B14EBC"/>
    <w:rsid w:val="00B15C24"/>
    <w:rsid w:val="00B15D42"/>
    <w:rsid w:val="00B15E56"/>
    <w:rsid w:val="00B23C21"/>
    <w:rsid w:val="00B23EDC"/>
    <w:rsid w:val="00B243F0"/>
    <w:rsid w:val="00B24975"/>
    <w:rsid w:val="00B24DE4"/>
    <w:rsid w:val="00B252F7"/>
    <w:rsid w:val="00B26232"/>
    <w:rsid w:val="00B26574"/>
    <w:rsid w:val="00B267F1"/>
    <w:rsid w:val="00B27BE3"/>
    <w:rsid w:val="00B31BEF"/>
    <w:rsid w:val="00B31EAB"/>
    <w:rsid w:val="00B32278"/>
    <w:rsid w:val="00B35354"/>
    <w:rsid w:val="00B353E3"/>
    <w:rsid w:val="00B37699"/>
    <w:rsid w:val="00B377F6"/>
    <w:rsid w:val="00B37979"/>
    <w:rsid w:val="00B404AC"/>
    <w:rsid w:val="00B40727"/>
    <w:rsid w:val="00B41104"/>
    <w:rsid w:val="00B42E24"/>
    <w:rsid w:val="00B42F70"/>
    <w:rsid w:val="00B43A50"/>
    <w:rsid w:val="00B44276"/>
    <w:rsid w:val="00B44D02"/>
    <w:rsid w:val="00B46B5C"/>
    <w:rsid w:val="00B472A8"/>
    <w:rsid w:val="00B4766A"/>
    <w:rsid w:val="00B50532"/>
    <w:rsid w:val="00B50B15"/>
    <w:rsid w:val="00B51DD2"/>
    <w:rsid w:val="00B51FE3"/>
    <w:rsid w:val="00B52205"/>
    <w:rsid w:val="00B5289C"/>
    <w:rsid w:val="00B52B42"/>
    <w:rsid w:val="00B53CF8"/>
    <w:rsid w:val="00B540A0"/>
    <w:rsid w:val="00B5443A"/>
    <w:rsid w:val="00B54BFC"/>
    <w:rsid w:val="00B54DC1"/>
    <w:rsid w:val="00B5545D"/>
    <w:rsid w:val="00B5573E"/>
    <w:rsid w:val="00B559E5"/>
    <w:rsid w:val="00B55BFB"/>
    <w:rsid w:val="00B563F8"/>
    <w:rsid w:val="00B5655E"/>
    <w:rsid w:val="00B570C0"/>
    <w:rsid w:val="00B5780D"/>
    <w:rsid w:val="00B57983"/>
    <w:rsid w:val="00B6054F"/>
    <w:rsid w:val="00B61BB4"/>
    <w:rsid w:val="00B62272"/>
    <w:rsid w:val="00B6256F"/>
    <w:rsid w:val="00B62881"/>
    <w:rsid w:val="00B639F9"/>
    <w:rsid w:val="00B63BBF"/>
    <w:rsid w:val="00B63D4B"/>
    <w:rsid w:val="00B640D9"/>
    <w:rsid w:val="00B64BAB"/>
    <w:rsid w:val="00B64BB8"/>
    <w:rsid w:val="00B654E9"/>
    <w:rsid w:val="00B6633E"/>
    <w:rsid w:val="00B67798"/>
    <w:rsid w:val="00B70686"/>
    <w:rsid w:val="00B70F53"/>
    <w:rsid w:val="00B7156D"/>
    <w:rsid w:val="00B71639"/>
    <w:rsid w:val="00B7311D"/>
    <w:rsid w:val="00B73BD3"/>
    <w:rsid w:val="00B767B3"/>
    <w:rsid w:val="00B77E7E"/>
    <w:rsid w:val="00B77F05"/>
    <w:rsid w:val="00B8012C"/>
    <w:rsid w:val="00B80BF7"/>
    <w:rsid w:val="00B81D56"/>
    <w:rsid w:val="00B82048"/>
    <w:rsid w:val="00B828DB"/>
    <w:rsid w:val="00B8314E"/>
    <w:rsid w:val="00B83F58"/>
    <w:rsid w:val="00B84918"/>
    <w:rsid w:val="00B85C8A"/>
    <w:rsid w:val="00B85EE0"/>
    <w:rsid w:val="00B868F0"/>
    <w:rsid w:val="00B869E4"/>
    <w:rsid w:val="00B9099F"/>
    <w:rsid w:val="00B90BEE"/>
    <w:rsid w:val="00B92F62"/>
    <w:rsid w:val="00B9324B"/>
    <w:rsid w:val="00B94F08"/>
    <w:rsid w:val="00B94F77"/>
    <w:rsid w:val="00B94FBC"/>
    <w:rsid w:val="00B9535D"/>
    <w:rsid w:val="00B95A66"/>
    <w:rsid w:val="00B95AA2"/>
    <w:rsid w:val="00B95B62"/>
    <w:rsid w:val="00B95C52"/>
    <w:rsid w:val="00B96025"/>
    <w:rsid w:val="00B96AF4"/>
    <w:rsid w:val="00B97C07"/>
    <w:rsid w:val="00BA0331"/>
    <w:rsid w:val="00BA04F2"/>
    <w:rsid w:val="00BA3304"/>
    <w:rsid w:val="00BA3D43"/>
    <w:rsid w:val="00BA4783"/>
    <w:rsid w:val="00BA4C32"/>
    <w:rsid w:val="00BA4C4F"/>
    <w:rsid w:val="00BA5AF0"/>
    <w:rsid w:val="00BA6595"/>
    <w:rsid w:val="00BA6A53"/>
    <w:rsid w:val="00BA6DE4"/>
    <w:rsid w:val="00BA765B"/>
    <w:rsid w:val="00BA7A38"/>
    <w:rsid w:val="00BA7A67"/>
    <w:rsid w:val="00BB0A7E"/>
    <w:rsid w:val="00BB170E"/>
    <w:rsid w:val="00BB1995"/>
    <w:rsid w:val="00BB1FE3"/>
    <w:rsid w:val="00BB285D"/>
    <w:rsid w:val="00BB29AD"/>
    <w:rsid w:val="00BB3F8F"/>
    <w:rsid w:val="00BB5BF1"/>
    <w:rsid w:val="00BB6619"/>
    <w:rsid w:val="00BB6F22"/>
    <w:rsid w:val="00BB7221"/>
    <w:rsid w:val="00BB72CE"/>
    <w:rsid w:val="00BB74FF"/>
    <w:rsid w:val="00BC05A5"/>
    <w:rsid w:val="00BC21E1"/>
    <w:rsid w:val="00BC320D"/>
    <w:rsid w:val="00BC4161"/>
    <w:rsid w:val="00BC5A8C"/>
    <w:rsid w:val="00BC67DC"/>
    <w:rsid w:val="00BC71D8"/>
    <w:rsid w:val="00BD0394"/>
    <w:rsid w:val="00BD1613"/>
    <w:rsid w:val="00BD1B05"/>
    <w:rsid w:val="00BD28BC"/>
    <w:rsid w:val="00BD30C7"/>
    <w:rsid w:val="00BD3874"/>
    <w:rsid w:val="00BD49A8"/>
    <w:rsid w:val="00BD7072"/>
    <w:rsid w:val="00BD790A"/>
    <w:rsid w:val="00BD7DD0"/>
    <w:rsid w:val="00BE03DC"/>
    <w:rsid w:val="00BE09C2"/>
    <w:rsid w:val="00BE138C"/>
    <w:rsid w:val="00BE1DA0"/>
    <w:rsid w:val="00BE2130"/>
    <w:rsid w:val="00BE230E"/>
    <w:rsid w:val="00BE2C95"/>
    <w:rsid w:val="00BE6193"/>
    <w:rsid w:val="00BE73A0"/>
    <w:rsid w:val="00BE746D"/>
    <w:rsid w:val="00BE79B7"/>
    <w:rsid w:val="00BF02B8"/>
    <w:rsid w:val="00BF03DC"/>
    <w:rsid w:val="00BF0FCB"/>
    <w:rsid w:val="00BF345A"/>
    <w:rsid w:val="00BF5A85"/>
    <w:rsid w:val="00BF6796"/>
    <w:rsid w:val="00BF6CA4"/>
    <w:rsid w:val="00BF718A"/>
    <w:rsid w:val="00BF7B74"/>
    <w:rsid w:val="00C00B46"/>
    <w:rsid w:val="00C01291"/>
    <w:rsid w:val="00C01B87"/>
    <w:rsid w:val="00C01F24"/>
    <w:rsid w:val="00C02428"/>
    <w:rsid w:val="00C030D7"/>
    <w:rsid w:val="00C034CE"/>
    <w:rsid w:val="00C0421A"/>
    <w:rsid w:val="00C05033"/>
    <w:rsid w:val="00C05FF9"/>
    <w:rsid w:val="00C0617E"/>
    <w:rsid w:val="00C062FC"/>
    <w:rsid w:val="00C105FF"/>
    <w:rsid w:val="00C1061D"/>
    <w:rsid w:val="00C10797"/>
    <w:rsid w:val="00C10C29"/>
    <w:rsid w:val="00C11D8C"/>
    <w:rsid w:val="00C12328"/>
    <w:rsid w:val="00C128DC"/>
    <w:rsid w:val="00C14D53"/>
    <w:rsid w:val="00C1502F"/>
    <w:rsid w:val="00C15B2F"/>
    <w:rsid w:val="00C15D66"/>
    <w:rsid w:val="00C16AEC"/>
    <w:rsid w:val="00C17984"/>
    <w:rsid w:val="00C20161"/>
    <w:rsid w:val="00C2034A"/>
    <w:rsid w:val="00C203E9"/>
    <w:rsid w:val="00C21451"/>
    <w:rsid w:val="00C21853"/>
    <w:rsid w:val="00C22A10"/>
    <w:rsid w:val="00C23E60"/>
    <w:rsid w:val="00C24D7D"/>
    <w:rsid w:val="00C24DA1"/>
    <w:rsid w:val="00C254A3"/>
    <w:rsid w:val="00C27070"/>
    <w:rsid w:val="00C270E9"/>
    <w:rsid w:val="00C273E3"/>
    <w:rsid w:val="00C279FE"/>
    <w:rsid w:val="00C3036A"/>
    <w:rsid w:val="00C3036C"/>
    <w:rsid w:val="00C30376"/>
    <w:rsid w:val="00C3096D"/>
    <w:rsid w:val="00C3233C"/>
    <w:rsid w:val="00C334F3"/>
    <w:rsid w:val="00C339EF"/>
    <w:rsid w:val="00C33BD2"/>
    <w:rsid w:val="00C34B93"/>
    <w:rsid w:val="00C35037"/>
    <w:rsid w:val="00C37A93"/>
    <w:rsid w:val="00C412C3"/>
    <w:rsid w:val="00C41313"/>
    <w:rsid w:val="00C41873"/>
    <w:rsid w:val="00C418E8"/>
    <w:rsid w:val="00C42308"/>
    <w:rsid w:val="00C446D7"/>
    <w:rsid w:val="00C51075"/>
    <w:rsid w:val="00C510E0"/>
    <w:rsid w:val="00C51587"/>
    <w:rsid w:val="00C5263B"/>
    <w:rsid w:val="00C52A47"/>
    <w:rsid w:val="00C5325C"/>
    <w:rsid w:val="00C5342B"/>
    <w:rsid w:val="00C53434"/>
    <w:rsid w:val="00C54A4F"/>
    <w:rsid w:val="00C54DAD"/>
    <w:rsid w:val="00C54E91"/>
    <w:rsid w:val="00C550A9"/>
    <w:rsid w:val="00C55813"/>
    <w:rsid w:val="00C558FE"/>
    <w:rsid w:val="00C5683A"/>
    <w:rsid w:val="00C5749C"/>
    <w:rsid w:val="00C57B25"/>
    <w:rsid w:val="00C60A78"/>
    <w:rsid w:val="00C612FA"/>
    <w:rsid w:val="00C62120"/>
    <w:rsid w:val="00C623DD"/>
    <w:rsid w:val="00C62AAE"/>
    <w:rsid w:val="00C62CB0"/>
    <w:rsid w:val="00C63A08"/>
    <w:rsid w:val="00C63E5C"/>
    <w:rsid w:val="00C63E64"/>
    <w:rsid w:val="00C64C4F"/>
    <w:rsid w:val="00C65985"/>
    <w:rsid w:val="00C65EF7"/>
    <w:rsid w:val="00C71100"/>
    <w:rsid w:val="00C71AFB"/>
    <w:rsid w:val="00C722F2"/>
    <w:rsid w:val="00C74360"/>
    <w:rsid w:val="00C74BC1"/>
    <w:rsid w:val="00C75570"/>
    <w:rsid w:val="00C75FE8"/>
    <w:rsid w:val="00C7648D"/>
    <w:rsid w:val="00C76957"/>
    <w:rsid w:val="00C76C19"/>
    <w:rsid w:val="00C76DCB"/>
    <w:rsid w:val="00C80C04"/>
    <w:rsid w:val="00C8111F"/>
    <w:rsid w:val="00C81147"/>
    <w:rsid w:val="00C814CE"/>
    <w:rsid w:val="00C81770"/>
    <w:rsid w:val="00C826DB"/>
    <w:rsid w:val="00C82917"/>
    <w:rsid w:val="00C83876"/>
    <w:rsid w:val="00C84A20"/>
    <w:rsid w:val="00C85A9D"/>
    <w:rsid w:val="00C85D9D"/>
    <w:rsid w:val="00C875B4"/>
    <w:rsid w:val="00C878F5"/>
    <w:rsid w:val="00C90163"/>
    <w:rsid w:val="00C903FF"/>
    <w:rsid w:val="00C90824"/>
    <w:rsid w:val="00C912D9"/>
    <w:rsid w:val="00C9256E"/>
    <w:rsid w:val="00C93184"/>
    <w:rsid w:val="00C968C3"/>
    <w:rsid w:val="00C970DC"/>
    <w:rsid w:val="00C97103"/>
    <w:rsid w:val="00C97896"/>
    <w:rsid w:val="00C97E18"/>
    <w:rsid w:val="00CA09D3"/>
    <w:rsid w:val="00CA1788"/>
    <w:rsid w:val="00CA1E69"/>
    <w:rsid w:val="00CA2A8B"/>
    <w:rsid w:val="00CA2C7A"/>
    <w:rsid w:val="00CA2DFD"/>
    <w:rsid w:val="00CA3D6F"/>
    <w:rsid w:val="00CA3DAE"/>
    <w:rsid w:val="00CA5C9B"/>
    <w:rsid w:val="00CA5D5F"/>
    <w:rsid w:val="00CA6209"/>
    <w:rsid w:val="00CA7347"/>
    <w:rsid w:val="00CB112F"/>
    <w:rsid w:val="00CB14F6"/>
    <w:rsid w:val="00CB1CF1"/>
    <w:rsid w:val="00CB28EA"/>
    <w:rsid w:val="00CB2F9A"/>
    <w:rsid w:val="00CB320F"/>
    <w:rsid w:val="00CB547E"/>
    <w:rsid w:val="00CB6CF9"/>
    <w:rsid w:val="00CB6DD9"/>
    <w:rsid w:val="00CB77C7"/>
    <w:rsid w:val="00CB77D8"/>
    <w:rsid w:val="00CB7B20"/>
    <w:rsid w:val="00CB7C62"/>
    <w:rsid w:val="00CC0CB4"/>
    <w:rsid w:val="00CC200D"/>
    <w:rsid w:val="00CC2902"/>
    <w:rsid w:val="00CC3CEF"/>
    <w:rsid w:val="00CC4CA8"/>
    <w:rsid w:val="00CC4CD6"/>
    <w:rsid w:val="00CC4DFE"/>
    <w:rsid w:val="00CC5284"/>
    <w:rsid w:val="00CC5EAF"/>
    <w:rsid w:val="00CC6750"/>
    <w:rsid w:val="00CC6A79"/>
    <w:rsid w:val="00CC6FEB"/>
    <w:rsid w:val="00CC7F5B"/>
    <w:rsid w:val="00CD0DDF"/>
    <w:rsid w:val="00CD167C"/>
    <w:rsid w:val="00CD1906"/>
    <w:rsid w:val="00CD21C9"/>
    <w:rsid w:val="00CD2AB4"/>
    <w:rsid w:val="00CD34B1"/>
    <w:rsid w:val="00CD381A"/>
    <w:rsid w:val="00CD5B89"/>
    <w:rsid w:val="00CD5BE2"/>
    <w:rsid w:val="00CD6A30"/>
    <w:rsid w:val="00CD6C68"/>
    <w:rsid w:val="00CD7F9B"/>
    <w:rsid w:val="00CD7FEA"/>
    <w:rsid w:val="00CE074C"/>
    <w:rsid w:val="00CE3D4E"/>
    <w:rsid w:val="00CE4085"/>
    <w:rsid w:val="00CE4474"/>
    <w:rsid w:val="00CE7379"/>
    <w:rsid w:val="00CF0C8F"/>
    <w:rsid w:val="00CF0EDF"/>
    <w:rsid w:val="00CF12B7"/>
    <w:rsid w:val="00CF3694"/>
    <w:rsid w:val="00CF4B90"/>
    <w:rsid w:val="00CF4EB3"/>
    <w:rsid w:val="00CF52A2"/>
    <w:rsid w:val="00CF7148"/>
    <w:rsid w:val="00D01B04"/>
    <w:rsid w:val="00D032DC"/>
    <w:rsid w:val="00D03817"/>
    <w:rsid w:val="00D03B05"/>
    <w:rsid w:val="00D03D97"/>
    <w:rsid w:val="00D053F4"/>
    <w:rsid w:val="00D05EDE"/>
    <w:rsid w:val="00D0618E"/>
    <w:rsid w:val="00D06EE4"/>
    <w:rsid w:val="00D075DB"/>
    <w:rsid w:val="00D07939"/>
    <w:rsid w:val="00D10683"/>
    <w:rsid w:val="00D1116E"/>
    <w:rsid w:val="00D11DD8"/>
    <w:rsid w:val="00D11FDB"/>
    <w:rsid w:val="00D13116"/>
    <w:rsid w:val="00D1324A"/>
    <w:rsid w:val="00D139FA"/>
    <w:rsid w:val="00D145F2"/>
    <w:rsid w:val="00D14905"/>
    <w:rsid w:val="00D14C2D"/>
    <w:rsid w:val="00D14C9F"/>
    <w:rsid w:val="00D14DEC"/>
    <w:rsid w:val="00D156D6"/>
    <w:rsid w:val="00D15975"/>
    <w:rsid w:val="00D16BD0"/>
    <w:rsid w:val="00D21173"/>
    <w:rsid w:val="00D213B6"/>
    <w:rsid w:val="00D213E7"/>
    <w:rsid w:val="00D214C3"/>
    <w:rsid w:val="00D2227A"/>
    <w:rsid w:val="00D234F7"/>
    <w:rsid w:val="00D23A2D"/>
    <w:rsid w:val="00D241FE"/>
    <w:rsid w:val="00D25255"/>
    <w:rsid w:val="00D2530D"/>
    <w:rsid w:val="00D25C7F"/>
    <w:rsid w:val="00D25E40"/>
    <w:rsid w:val="00D26737"/>
    <w:rsid w:val="00D26F79"/>
    <w:rsid w:val="00D276EB"/>
    <w:rsid w:val="00D31606"/>
    <w:rsid w:val="00D31BF1"/>
    <w:rsid w:val="00D31C40"/>
    <w:rsid w:val="00D32FA4"/>
    <w:rsid w:val="00D33782"/>
    <w:rsid w:val="00D33E2E"/>
    <w:rsid w:val="00D34174"/>
    <w:rsid w:val="00D344A8"/>
    <w:rsid w:val="00D3452E"/>
    <w:rsid w:val="00D34866"/>
    <w:rsid w:val="00D36541"/>
    <w:rsid w:val="00D368B4"/>
    <w:rsid w:val="00D36E79"/>
    <w:rsid w:val="00D37333"/>
    <w:rsid w:val="00D3778F"/>
    <w:rsid w:val="00D37984"/>
    <w:rsid w:val="00D400B7"/>
    <w:rsid w:val="00D40CD8"/>
    <w:rsid w:val="00D40F34"/>
    <w:rsid w:val="00D42217"/>
    <w:rsid w:val="00D42366"/>
    <w:rsid w:val="00D42704"/>
    <w:rsid w:val="00D430FC"/>
    <w:rsid w:val="00D438E1"/>
    <w:rsid w:val="00D43B8D"/>
    <w:rsid w:val="00D445C8"/>
    <w:rsid w:val="00D44E79"/>
    <w:rsid w:val="00D45B9B"/>
    <w:rsid w:val="00D4614A"/>
    <w:rsid w:val="00D47084"/>
    <w:rsid w:val="00D474C1"/>
    <w:rsid w:val="00D47D8A"/>
    <w:rsid w:val="00D500B1"/>
    <w:rsid w:val="00D5098B"/>
    <w:rsid w:val="00D51C08"/>
    <w:rsid w:val="00D523C6"/>
    <w:rsid w:val="00D5344D"/>
    <w:rsid w:val="00D53CBD"/>
    <w:rsid w:val="00D54E02"/>
    <w:rsid w:val="00D5596F"/>
    <w:rsid w:val="00D55BCB"/>
    <w:rsid w:val="00D5618B"/>
    <w:rsid w:val="00D56BAD"/>
    <w:rsid w:val="00D56CCB"/>
    <w:rsid w:val="00D56DF2"/>
    <w:rsid w:val="00D57C5F"/>
    <w:rsid w:val="00D60341"/>
    <w:rsid w:val="00D60769"/>
    <w:rsid w:val="00D614BA"/>
    <w:rsid w:val="00D616B7"/>
    <w:rsid w:val="00D623A7"/>
    <w:rsid w:val="00D62D2C"/>
    <w:rsid w:val="00D63816"/>
    <w:rsid w:val="00D655C4"/>
    <w:rsid w:val="00D66293"/>
    <w:rsid w:val="00D670F7"/>
    <w:rsid w:val="00D675A7"/>
    <w:rsid w:val="00D70CE5"/>
    <w:rsid w:val="00D70E23"/>
    <w:rsid w:val="00D7102E"/>
    <w:rsid w:val="00D72B83"/>
    <w:rsid w:val="00D731AC"/>
    <w:rsid w:val="00D7369F"/>
    <w:rsid w:val="00D749AF"/>
    <w:rsid w:val="00D74DA9"/>
    <w:rsid w:val="00D74F9A"/>
    <w:rsid w:val="00D752B5"/>
    <w:rsid w:val="00D754AF"/>
    <w:rsid w:val="00D75DD8"/>
    <w:rsid w:val="00D76B6F"/>
    <w:rsid w:val="00D76C3F"/>
    <w:rsid w:val="00D804AB"/>
    <w:rsid w:val="00D81178"/>
    <w:rsid w:val="00D815A0"/>
    <w:rsid w:val="00D81CC3"/>
    <w:rsid w:val="00D820D6"/>
    <w:rsid w:val="00D82265"/>
    <w:rsid w:val="00D824EC"/>
    <w:rsid w:val="00D82ED2"/>
    <w:rsid w:val="00D83375"/>
    <w:rsid w:val="00D8347A"/>
    <w:rsid w:val="00D83504"/>
    <w:rsid w:val="00D83850"/>
    <w:rsid w:val="00D84B73"/>
    <w:rsid w:val="00D84E95"/>
    <w:rsid w:val="00D85C9F"/>
    <w:rsid w:val="00D85EA0"/>
    <w:rsid w:val="00D8669B"/>
    <w:rsid w:val="00D86854"/>
    <w:rsid w:val="00D86DD0"/>
    <w:rsid w:val="00D87A91"/>
    <w:rsid w:val="00D87F67"/>
    <w:rsid w:val="00D87FD3"/>
    <w:rsid w:val="00D90130"/>
    <w:rsid w:val="00D9067F"/>
    <w:rsid w:val="00D9085D"/>
    <w:rsid w:val="00D909D1"/>
    <w:rsid w:val="00D91758"/>
    <w:rsid w:val="00D91899"/>
    <w:rsid w:val="00D92134"/>
    <w:rsid w:val="00D9232D"/>
    <w:rsid w:val="00D9319D"/>
    <w:rsid w:val="00D937BB"/>
    <w:rsid w:val="00D93E96"/>
    <w:rsid w:val="00D94FDF"/>
    <w:rsid w:val="00D9501F"/>
    <w:rsid w:val="00D955C1"/>
    <w:rsid w:val="00D9678B"/>
    <w:rsid w:val="00DA12BE"/>
    <w:rsid w:val="00DA1D05"/>
    <w:rsid w:val="00DA1FF3"/>
    <w:rsid w:val="00DA2367"/>
    <w:rsid w:val="00DA2791"/>
    <w:rsid w:val="00DA279D"/>
    <w:rsid w:val="00DA42B9"/>
    <w:rsid w:val="00DA5F22"/>
    <w:rsid w:val="00DA6320"/>
    <w:rsid w:val="00DA670D"/>
    <w:rsid w:val="00DA69E0"/>
    <w:rsid w:val="00DA750D"/>
    <w:rsid w:val="00DB00F3"/>
    <w:rsid w:val="00DB0112"/>
    <w:rsid w:val="00DB0148"/>
    <w:rsid w:val="00DB0E4F"/>
    <w:rsid w:val="00DB0FBC"/>
    <w:rsid w:val="00DB2EE7"/>
    <w:rsid w:val="00DB3D1A"/>
    <w:rsid w:val="00DB3E15"/>
    <w:rsid w:val="00DB4702"/>
    <w:rsid w:val="00DB50DC"/>
    <w:rsid w:val="00DB5388"/>
    <w:rsid w:val="00DB56B3"/>
    <w:rsid w:val="00DB73EB"/>
    <w:rsid w:val="00DB79E3"/>
    <w:rsid w:val="00DC0331"/>
    <w:rsid w:val="00DC04D3"/>
    <w:rsid w:val="00DC1A67"/>
    <w:rsid w:val="00DC1B67"/>
    <w:rsid w:val="00DC2375"/>
    <w:rsid w:val="00DC26C8"/>
    <w:rsid w:val="00DC2E0B"/>
    <w:rsid w:val="00DC3B4D"/>
    <w:rsid w:val="00DC3ED9"/>
    <w:rsid w:val="00DC412C"/>
    <w:rsid w:val="00DC426E"/>
    <w:rsid w:val="00DC4369"/>
    <w:rsid w:val="00DC4529"/>
    <w:rsid w:val="00DC4DB1"/>
    <w:rsid w:val="00DC4E5F"/>
    <w:rsid w:val="00DC5FA3"/>
    <w:rsid w:val="00DC73B7"/>
    <w:rsid w:val="00DD1A79"/>
    <w:rsid w:val="00DD28AB"/>
    <w:rsid w:val="00DD2E3C"/>
    <w:rsid w:val="00DD327E"/>
    <w:rsid w:val="00DD34BD"/>
    <w:rsid w:val="00DD3E94"/>
    <w:rsid w:val="00DD44C1"/>
    <w:rsid w:val="00DE0658"/>
    <w:rsid w:val="00DE106C"/>
    <w:rsid w:val="00DE254D"/>
    <w:rsid w:val="00DE3F0D"/>
    <w:rsid w:val="00DE44D0"/>
    <w:rsid w:val="00DE5070"/>
    <w:rsid w:val="00DE5345"/>
    <w:rsid w:val="00DE610B"/>
    <w:rsid w:val="00DE6CB8"/>
    <w:rsid w:val="00DE7C88"/>
    <w:rsid w:val="00DE7E7B"/>
    <w:rsid w:val="00DE7E84"/>
    <w:rsid w:val="00DF05DB"/>
    <w:rsid w:val="00DF1742"/>
    <w:rsid w:val="00DF2226"/>
    <w:rsid w:val="00DF23F3"/>
    <w:rsid w:val="00DF2520"/>
    <w:rsid w:val="00DF28D0"/>
    <w:rsid w:val="00DF3952"/>
    <w:rsid w:val="00DF40A2"/>
    <w:rsid w:val="00DF5ADF"/>
    <w:rsid w:val="00DF6BCF"/>
    <w:rsid w:val="00E0038F"/>
    <w:rsid w:val="00E00658"/>
    <w:rsid w:val="00E00BA8"/>
    <w:rsid w:val="00E01421"/>
    <w:rsid w:val="00E017E1"/>
    <w:rsid w:val="00E032D7"/>
    <w:rsid w:val="00E03F78"/>
    <w:rsid w:val="00E0452F"/>
    <w:rsid w:val="00E05302"/>
    <w:rsid w:val="00E05517"/>
    <w:rsid w:val="00E07175"/>
    <w:rsid w:val="00E0799A"/>
    <w:rsid w:val="00E1001F"/>
    <w:rsid w:val="00E10DA8"/>
    <w:rsid w:val="00E118C2"/>
    <w:rsid w:val="00E11E75"/>
    <w:rsid w:val="00E13939"/>
    <w:rsid w:val="00E15630"/>
    <w:rsid w:val="00E156E3"/>
    <w:rsid w:val="00E15854"/>
    <w:rsid w:val="00E17F35"/>
    <w:rsid w:val="00E20149"/>
    <w:rsid w:val="00E20CE4"/>
    <w:rsid w:val="00E217DA"/>
    <w:rsid w:val="00E22060"/>
    <w:rsid w:val="00E220BC"/>
    <w:rsid w:val="00E224CB"/>
    <w:rsid w:val="00E23EDD"/>
    <w:rsid w:val="00E244DB"/>
    <w:rsid w:val="00E25631"/>
    <w:rsid w:val="00E25FBE"/>
    <w:rsid w:val="00E2633E"/>
    <w:rsid w:val="00E30033"/>
    <w:rsid w:val="00E30B39"/>
    <w:rsid w:val="00E311A3"/>
    <w:rsid w:val="00E3169E"/>
    <w:rsid w:val="00E323FD"/>
    <w:rsid w:val="00E328B7"/>
    <w:rsid w:val="00E335AE"/>
    <w:rsid w:val="00E339AB"/>
    <w:rsid w:val="00E339C1"/>
    <w:rsid w:val="00E34565"/>
    <w:rsid w:val="00E35197"/>
    <w:rsid w:val="00E35749"/>
    <w:rsid w:val="00E36A0C"/>
    <w:rsid w:val="00E37F2C"/>
    <w:rsid w:val="00E418BD"/>
    <w:rsid w:val="00E41CB2"/>
    <w:rsid w:val="00E4297D"/>
    <w:rsid w:val="00E44955"/>
    <w:rsid w:val="00E4513A"/>
    <w:rsid w:val="00E45B0A"/>
    <w:rsid w:val="00E45DA8"/>
    <w:rsid w:val="00E47B37"/>
    <w:rsid w:val="00E47BE2"/>
    <w:rsid w:val="00E50AFF"/>
    <w:rsid w:val="00E50D4D"/>
    <w:rsid w:val="00E51564"/>
    <w:rsid w:val="00E51B9F"/>
    <w:rsid w:val="00E5284E"/>
    <w:rsid w:val="00E549C1"/>
    <w:rsid w:val="00E555F4"/>
    <w:rsid w:val="00E5561E"/>
    <w:rsid w:val="00E568AD"/>
    <w:rsid w:val="00E573B9"/>
    <w:rsid w:val="00E603DC"/>
    <w:rsid w:val="00E60639"/>
    <w:rsid w:val="00E60651"/>
    <w:rsid w:val="00E614D5"/>
    <w:rsid w:val="00E62682"/>
    <w:rsid w:val="00E64CCF"/>
    <w:rsid w:val="00E65FB3"/>
    <w:rsid w:val="00E676CD"/>
    <w:rsid w:val="00E679F0"/>
    <w:rsid w:val="00E67DD5"/>
    <w:rsid w:val="00E74040"/>
    <w:rsid w:val="00E74B8A"/>
    <w:rsid w:val="00E74C16"/>
    <w:rsid w:val="00E753F9"/>
    <w:rsid w:val="00E765D5"/>
    <w:rsid w:val="00E7666D"/>
    <w:rsid w:val="00E7720E"/>
    <w:rsid w:val="00E77928"/>
    <w:rsid w:val="00E80066"/>
    <w:rsid w:val="00E81935"/>
    <w:rsid w:val="00E8228B"/>
    <w:rsid w:val="00E82900"/>
    <w:rsid w:val="00E84072"/>
    <w:rsid w:val="00E84F7F"/>
    <w:rsid w:val="00E85570"/>
    <w:rsid w:val="00E859A3"/>
    <w:rsid w:val="00E85AEE"/>
    <w:rsid w:val="00E86EA3"/>
    <w:rsid w:val="00E87009"/>
    <w:rsid w:val="00E87091"/>
    <w:rsid w:val="00E87837"/>
    <w:rsid w:val="00E87900"/>
    <w:rsid w:val="00E9087D"/>
    <w:rsid w:val="00E92937"/>
    <w:rsid w:val="00E931C3"/>
    <w:rsid w:val="00E93A2C"/>
    <w:rsid w:val="00E93EF7"/>
    <w:rsid w:val="00E94174"/>
    <w:rsid w:val="00E95DE9"/>
    <w:rsid w:val="00E96141"/>
    <w:rsid w:val="00E96388"/>
    <w:rsid w:val="00E96623"/>
    <w:rsid w:val="00E97AA0"/>
    <w:rsid w:val="00EA0371"/>
    <w:rsid w:val="00EA3549"/>
    <w:rsid w:val="00EA3580"/>
    <w:rsid w:val="00EA399C"/>
    <w:rsid w:val="00EA4DBD"/>
    <w:rsid w:val="00EA6E84"/>
    <w:rsid w:val="00EB1ADB"/>
    <w:rsid w:val="00EB1BF8"/>
    <w:rsid w:val="00EB2B08"/>
    <w:rsid w:val="00EB2CEE"/>
    <w:rsid w:val="00EB5E58"/>
    <w:rsid w:val="00EB60B3"/>
    <w:rsid w:val="00EB7604"/>
    <w:rsid w:val="00EC1F64"/>
    <w:rsid w:val="00EC2B1A"/>
    <w:rsid w:val="00EC4D82"/>
    <w:rsid w:val="00EC508A"/>
    <w:rsid w:val="00EC50F1"/>
    <w:rsid w:val="00EC5181"/>
    <w:rsid w:val="00EC5B92"/>
    <w:rsid w:val="00EC736A"/>
    <w:rsid w:val="00EC7654"/>
    <w:rsid w:val="00EC7734"/>
    <w:rsid w:val="00ED15DC"/>
    <w:rsid w:val="00ED3A27"/>
    <w:rsid w:val="00ED5A9D"/>
    <w:rsid w:val="00ED6F55"/>
    <w:rsid w:val="00ED7F11"/>
    <w:rsid w:val="00ED7F4E"/>
    <w:rsid w:val="00EE02D8"/>
    <w:rsid w:val="00EE124F"/>
    <w:rsid w:val="00EE191E"/>
    <w:rsid w:val="00EE26E4"/>
    <w:rsid w:val="00EE29FA"/>
    <w:rsid w:val="00EE2A2A"/>
    <w:rsid w:val="00EE2DF8"/>
    <w:rsid w:val="00EE47CF"/>
    <w:rsid w:val="00EE4810"/>
    <w:rsid w:val="00EE4A57"/>
    <w:rsid w:val="00EE5413"/>
    <w:rsid w:val="00EE5772"/>
    <w:rsid w:val="00EE5E2C"/>
    <w:rsid w:val="00EE61B3"/>
    <w:rsid w:val="00EE63BF"/>
    <w:rsid w:val="00EE6D9F"/>
    <w:rsid w:val="00EE7FAB"/>
    <w:rsid w:val="00EF0C99"/>
    <w:rsid w:val="00EF163E"/>
    <w:rsid w:val="00EF219B"/>
    <w:rsid w:val="00EF2372"/>
    <w:rsid w:val="00EF2D2C"/>
    <w:rsid w:val="00EF3C96"/>
    <w:rsid w:val="00EF4CDE"/>
    <w:rsid w:val="00EF5250"/>
    <w:rsid w:val="00EF53CE"/>
    <w:rsid w:val="00EF6409"/>
    <w:rsid w:val="00EF6B03"/>
    <w:rsid w:val="00EF7910"/>
    <w:rsid w:val="00F00492"/>
    <w:rsid w:val="00F0177D"/>
    <w:rsid w:val="00F02315"/>
    <w:rsid w:val="00F03718"/>
    <w:rsid w:val="00F037B5"/>
    <w:rsid w:val="00F04EE7"/>
    <w:rsid w:val="00F0632F"/>
    <w:rsid w:val="00F06378"/>
    <w:rsid w:val="00F06701"/>
    <w:rsid w:val="00F06F14"/>
    <w:rsid w:val="00F07359"/>
    <w:rsid w:val="00F07371"/>
    <w:rsid w:val="00F07637"/>
    <w:rsid w:val="00F07C90"/>
    <w:rsid w:val="00F10655"/>
    <w:rsid w:val="00F106A5"/>
    <w:rsid w:val="00F109C4"/>
    <w:rsid w:val="00F10A12"/>
    <w:rsid w:val="00F11A28"/>
    <w:rsid w:val="00F11D17"/>
    <w:rsid w:val="00F11D57"/>
    <w:rsid w:val="00F12569"/>
    <w:rsid w:val="00F127DD"/>
    <w:rsid w:val="00F13A56"/>
    <w:rsid w:val="00F13EC8"/>
    <w:rsid w:val="00F13F71"/>
    <w:rsid w:val="00F144AA"/>
    <w:rsid w:val="00F15050"/>
    <w:rsid w:val="00F15189"/>
    <w:rsid w:val="00F15AF3"/>
    <w:rsid w:val="00F1685B"/>
    <w:rsid w:val="00F2055D"/>
    <w:rsid w:val="00F20637"/>
    <w:rsid w:val="00F20F7A"/>
    <w:rsid w:val="00F2373A"/>
    <w:rsid w:val="00F241C2"/>
    <w:rsid w:val="00F2458E"/>
    <w:rsid w:val="00F24D9F"/>
    <w:rsid w:val="00F2504A"/>
    <w:rsid w:val="00F25DC5"/>
    <w:rsid w:val="00F26206"/>
    <w:rsid w:val="00F26737"/>
    <w:rsid w:val="00F26D41"/>
    <w:rsid w:val="00F274C2"/>
    <w:rsid w:val="00F277DF"/>
    <w:rsid w:val="00F3020D"/>
    <w:rsid w:val="00F30268"/>
    <w:rsid w:val="00F308A5"/>
    <w:rsid w:val="00F30C57"/>
    <w:rsid w:val="00F30FC5"/>
    <w:rsid w:val="00F31A95"/>
    <w:rsid w:val="00F31AC5"/>
    <w:rsid w:val="00F33148"/>
    <w:rsid w:val="00F33260"/>
    <w:rsid w:val="00F34386"/>
    <w:rsid w:val="00F3711D"/>
    <w:rsid w:val="00F37C3A"/>
    <w:rsid w:val="00F37FBB"/>
    <w:rsid w:val="00F40ED8"/>
    <w:rsid w:val="00F4197B"/>
    <w:rsid w:val="00F429AD"/>
    <w:rsid w:val="00F42A4F"/>
    <w:rsid w:val="00F43279"/>
    <w:rsid w:val="00F4473A"/>
    <w:rsid w:val="00F454F8"/>
    <w:rsid w:val="00F45B42"/>
    <w:rsid w:val="00F46BFD"/>
    <w:rsid w:val="00F46FEA"/>
    <w:rsid w:val="00F47146"/>
    <w:rsid w:val="00F479C2"/>
    <w:rsid w:val="00F506B6"/>
    <w:rsid w:val="00F5111F"/>
    <w:rsid w:val="00F513E4"/>
    <w:rsid w:val="00F51421"/>
    <w:rsid w:val="00F516CA"/>
    <w:rsid w:val="00F523C9"/>
    <w:rsid w:val="00F539A0"/>
    <w:rsid w:val="00F540E5"/>
    <w:rsid w:val="00F549B5"/>
    <w:rsid w:val="00F5611F"/>
    <w:rsid w:val="00F5634A"/>
    <w:rsid w:val="00F56817"/>
    <w:rsid w:val="00F57131"/>
    <w:rsid w:val="00F60383"/>
    <w:rsid w:val="00F616F3"/>
    <w:rsid w:val="00F61EB9"/>
    <w:rsid w:val="00F621F6"/>
    <w:rsid w:val="00F62A97"/>
    <w:rsid w:val="00F64C52"/>
    <w:rsid w:val="00F64CDF"/>
    <w:rsid w:val="00F65CE8"/>
    <w:rsid w:val="00F65E70"/>
    <w:rsid w:val="00F66940"/>
    <w:rsid w:val="00F66C3F"/>
    <w:rsid w:val="00F70206"/>
    <w:rsid w:val="00F710CE"/>
    <w:rsid w:val="00F722EE"/>
    <w:rsid w:val="00F730FE"/>
    <w:rsid w:val="00F73144"/>
    <w:rsid w:val="00F735FF"/>
    <w:rsid w:val="00F7425D"/>
    <w:rsid w:val="00F74341"/>
    <w:rsid w:val="00F75557"/>
    <w:rsid w:val="00F75BE9"/>
    <w:rsid w:val="00F767E1"/>
    <w:rsid w:val="00F80305"/>
    <w:rsid w:val="00F805A6"/>
    <w:rsid w:val="00F80D9A"/>
    <w:rsid w:val="00F81BC0"/>
    <w:rsid w:val="00F81C46"/>
    <w:rsid w:val="00F8211A"/>
    <w:rsid w:val="00F8345F"/>
    <w:rsid w:val="00F83561"/>
    <w:rsid w:val="00F83D54"/>
    <w:rsid w:val="00F85587"/>
    <w:rsid w:val="00F85A4B"/>
    <w:rsid w:val="00F85A94"/>
    <w:rsid w:val="00F872D0"/>
    <w:rsid w:val="00F87ABB"/>
    <w:rsid w:val="00F87E82"/>
    <w:rsid w:val="00F87EC0"/>
    <w:rsid w:val="00F9056D"/>
    <w:rsid w:val="00F90DCF"/>
    <w:rsid w:val="00F91174"/>
    <w:rsid w:val="00F9133B"/>
    <w:rsid w:val="00F92B7E"/>
    <w:rsid w:val="00F92D57"/>
    <w:rsid w:val="00F93ACE"/>
    <w:rsid w:val="00F94CBF"/>
    <w:rsid w:val="00F94FD8"/>
    <w:rsid w:val="00F958FC"/>
    <w:rsid w:val="00F95B7A"/>
    <w:rsid w:val="00F96C4E"/>
    <w:rsid w:val="00FA11B5"/>
    <w:rsid w:val="00FA2022"/>
    <w:rsid w:val="00FA2467"/>
    <w:rsid w:val="00FA272D"/>
    <w:rsid w:val="00FA290B"/>
    <w:rsid w:val="00FA2EF8"/>
    <w:rsid w:val="00FA37B7"/>
    <w:rsid w:val="00FA42FC"/>
    <w:rsid w:val="00FA448E"/>
    <w:rsid w:val="00FA4710"/>
    <w:rsid w:val="00FA4DA0"/>
    <w:rsid w:val="00FA5E38"/>
    <w:rsid w:val="00FB1093"/>
    <w:rsid w:val="00FB1461"/>
    <w:rsid w:val="00FB1E3C"/>
    <w:rsid w:val="00FB2018"/>
    <w:rsid w:val="00FB2D0D"/>
    <w:rsid w:val="00FB4417"/>
    <w:rsid w:val="00FB680F"/>
    <w:rsid w:val="00FB7753"/>
    <w:rsid w:val="00FB7893"/>
    <w:rsid w:val="00FC0611"/>
    <w:rsid w:val="00FC0990"/>
    <w:rsid w:val="00FC277D"/>
    <w:rsid w:val="00FC3D54"/>
    <w:rsid w:val="00FC41D7"/>
    <w:rsid w:val="00FC44EA"/>
    <w:rsid w:val="00FC4A0B"/>
    <w:rsid w:val="00FC5481"/>
    <w:rsid w:val="00FC65E0"/>
    <w:rsid w:val="00FC6FDF"/>
    <w:rsid w:val="00FC70D2"/>
    <w:rsid w:val="00FC7138"/>
    <w:rsid w:val="00FC7384"/>
    <w:rsid w:val="00FC74EF"/>
    <w:rsid w:val="00FC7AB8"/>
    <w:rsid w:val="00FD0EC8"/>
    <w:rsid w:val="00FD2E6D"/>
    <w:rsid w:val="00FD2FFB"/>
    <w:rsid w:val="00FD319A"/>
    <w:rsid w:val="00FD3439"/>
    <w:rsid w:val="00FD3C10"/>
    <w:rsid w:val="00FD4236"/>
    <w:rsid w:val="00FD498D"/>
    <w:rsid w:val="00FD4D84"/>
    <w:rsid w:val="00FD5B4B"/>
    <w:rsid w:val="00FD5CA0"/>
    <w:rsid w:val="00FD7062"/>
    <w:rsid w:val="00FE08F8"/>
    <w:rsid w:val="00FE1196"/>
    <w:rsid w:val="00FE1DA4"/>
    <w:rsid w:val="00FE2388"/>
    <w:rsid w:val="00FE30E0"/>
    <w:rsid w:val="00FE3C1E"/>
    <w:rsid w:val="00FE3C36"/>
    <w:rsid w:val="00FE4B27"/>
    <w:rsid w:val="00FE518E"/>
    <w:rsid w:val="00FE5626"/>
    <w:rsid w:val="00FE5630"/>
    <w:rsid w:val="00FE5FD4"/>
    <w:rsid w:val="00FF0D78"/>
    <w:rsid w:val="00FF0EE9"/>
    <w:rsid w:val="00FF0EEE"/>
    <w:rsid w:val="00FF0F7F"/>
    <w:rsid w:val="00FF2793"/>
    <w:rsid w:val="00FF3815"/>
    <w:rsid w:val="00FF3EA9"/>
    <w:rsid w:val="00FF510D"/>
    <w:rsid w:val="00FF5B92"/>
    <w:rsid w:val="00FF5D78"/>
    <w:rsid w:val="00FF7034"/>
    <w:rsid w:val="020970CA"/>
    <w:rsid w:val="028E1852"/>
    <w:rsid w:val="0769686A"/>
    <w:rsid w:val="12E83AF4"/>
    <w:rsid w:val="1A8670A6"/>
    <w:rsid w:val="1B00542F"/>
    <w:rsid w:val="1B3F3E40"/>
    <w:rsid w:val="1BF509C2"/>
    <w:rsid w:val="1BF95FEE"/>
    <w:rsid w:val="1D867707"/>
    <w:rsid w:val="235E2230"/>
    <w:rsid w:val="254E0ABD"/>
    <w:rsid w:val="25A10883"/>
    <w:rsid w:val="2FCB6344"/>
    <w:rsid w:val="37726C9D"/>
    <w:rsid w:val="3A436689"/>
    <w:rsid w:val="410113A2"/>
    <w:rsid w:val="43F11B33"/>
    <w:rsid w:val="44565A46"/>
    <w:rsid w:val="45830A1B"/>
    <w:rsid w:val="509636E2"/>
    <w:rsid w:val="52FC46EA"/>
    <w:rsid w:val="5403314B"/>
    <w:rsid w:val="5BBD01B3"/>
    <w:rsid w:val="5D851C35"/>
    <w:rsid w:val="5FDC7E75"/>
    <w:rsid w:val="6566621E"/>
    <w:rsid w:val="67A9335C"/>
    <w:rsid w:val="73CC19D5"/>
    <w:rsid w:val="78B9366E"/>
    <w:rsid w:val="7BC80470"/>
    <w:rsid w:val="7F2335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0B855C"/>
  <w15:docId w15:val="{A9DC0E6F-B451-4F7E-825E-DD2B4D59FD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6E7"/>
    <w:pPr>
      <w:widowControl w:val="0"/>
      <w:jc w:val="both"/>
    </w:pPr>
    <w:rPr>
      <w:rFonts w:ascii="CG Times (WN)" w:eastAsia="宋体" w:hAnsi="CG Times (WN)" w:cs="Times New Roman"/>
      <w:kern w:val="2"/>
      <w:sz w:val="21"/>
      <w:szCs w:val="22"/>
    </w:rPr>
  </w:style>
  <w:style w:type="paragraph" w:styleId="Heading2">
    <w:name w:val="heading 2"/>
    <w:basedOn w:val="Normal"/>
    <w:next w:val="Normal"/>
    <w:link w:val="Heading2Char"/>
    <w:uiPriority w:val="9"/>
    <w:unhideWhenUsed/>
    <w:qFormat/>
    <w:rsid w:val="007F721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unhideWhenUsed/>
    <w:qFormat/>
    <w:rsid w:val="007F721E"/>
    <w:pPr>
      <w:keepNext/>
      <w:keepLines/>
      <w:spacing w:before="260" w:after="260" w:line="416" w:lineRule="auto"/>
      <w:outlineLvl w:val="2"/>
    </w:pPr>
    <w:rPr>
      <w:b/>
      <w:bCs/>
      <w:sz w:val="32"/>
      <w:szCs w:val="32"/>
    </w:rPr>
  </w:style>
  <w:style w:type="paragraph" w:styleId="Heading5">
    <w:name w:val="heading 5"/>
    <w:basedOn w:val="Normal"/>
    <w:next w:val="Normal"/>
    <w:link w:val="Heading5Char"/>
    <w:uiPriority w:val="9"/>
    <w:semiHidden/>
    <w:unhideWhenUsed/>
    <w:qFormat/>
    <w:rsid w:val="007F721E"/>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rsid w:val="007F721E"/>
    <w:pPr>
      <w:widowControl/>
      <w:spacing w:before="120" w:after="120"/>
      <w:jc w:val="left"/>
    </w:pPr>
    <w:rPr>
      <w:rFonts w:ascii="Times New Roman" w:eastAsia="MS Mincho" w:hAnsi="Times New Roman"/>
      <w:b/>
      <w:kern w:val="0"/>
      <w:sz w:val="20"/>
      <w:szCs w:val="20"/>
      <w:lang w:val="en-GB" w:eastAsia="en-US"/>
    </w:rPr>
  </w:style>
  <w:style w:type="paragraph" w:styleId="DocumentMap">
    <w:name w:val="Document Map"/>
    <w:basedOn w:val="Normal"/>
    <w:link w:val="DocumentMapChar"/>
    <w:uiPriority w:val="99"/>
    <w:semiHidden/>
    <w:unhideWhenUsed/>
    <w:qFormat/>
    <w:rsid w:val="007F721E"/>
    <w:rPr>
      <w:rFonts w:ascii="宋体"/>
      <w:sz w:val="18"/>
      <w:szCs w:val="18"/>
    </w:rPr>
  </w:style>
  <w:style w:type="paragraph" w:styleId="CommentText">
    <w:name w:val="annotation text"/>
    <w:basedOn w:val="Normal"/>
    <w:link w:val="CommentTextChar"/>
    <w:unhideWhenUsed/>
    <w:qFormat/>
    <w:rsid w:val="007F721E"/>
    <w:pPr>
      <w:jc w:val="left"/>
    </w:pPr>
  </w:style>
  <w:style w:type="paragraph" w:styleId="BalloonText">
    <w:name w:val="Balloon Text"/>
    <w:basedOn w:val="Normal"/>
    <w:link w:val="BalloonTextChar"/>
    <w:uiPriority w:val="99"/>
    <w:semiHidden/>
    <w:unhideWhenUsed/>
    <w:qFormat/>
    <w:rsid w:val="007F721E"/>
    <w:rPr>
      <w:sz w:val="18"/>
      <w:szCs w:val="18"/>
    </w:rPr>
  </w:style>
  <w:style w:type="paragraph" w:styleId="Footer">
    <w:name w:val="footer"/>
    <w:basedOn w:val="Normal"/>
    <w:link w:val="FooterChar"/>
    <w:uiPriority w:val="99"/>
    <w:unhideWhenUsed/>
    <w:qFormat/>
    <w:rsid w:val="007F721E"/>
    <w:pPr>
      <w:tabs>
        <w:tab w:val="center" w:pos="4153"/>
        <w:tab w:val="right" w:pos="8306"/>
      </w:tabs>
      <w:snapToGrid w:val="0"/>
      <w:jc w:val="left"/>
    </w:pPr>
    <w:rPr>
      <w:sz w:val="18"/>
      <w:szCs w:val="18"/>
    </w:rPr>
  </w:style>
  <w:style w:type="paragraph" w:styleId="Header">
    <w:name w:val="header"/>
    <w:basedOn w:val="Normal"/>
    <w:link w:val="HeaderChar"/>
    <w:uiPriority w:val="99"/>
    <w:unhideWhenUsed/>
    <w:rsid w:val="007F721E"/>
    <w:pPr>
      <w:pBdr>
        <w:bottom w:val="single" w:sz="6" w:space="1" w:color="auto"/>
      </w:pBdr>
      <w:tabs>
        <w:tab w:val="center" w:pos="4153"/>
        <w:tab w:val="right" w:pos="8306"/>
      </w:tabs>
      <w:snapToGrid w:val="0"/>
      <w:jc w:val="center"/>
    </w:pPr>
    <w:rPr>
      <w:sz w:val="18"/>
      <w:szCs w:val="18"/>
    </w:rPr>
  </w:style>
  <w:style w:type="paragraph" w:styleId="List">
    <w:name w:val="List"/>
    <w:basedOn w:val="Normal"/>
    <w:uiPriority w:val="99"/>
    <w:semiHidden/>
    <w:unhideWhenUsed/>
    <w:qFormat/>
    <w:rsid w:val="007F721E"/>
    <w:pPr>
      <w:ind w:left="200" w:hangingChars="200" w:hanging="200"/>
      <w:contextualSpacing/>
    </w:pPr>
  </w:style>
  <w:style w:type="paragraph" w:styleId="NormalWeb">
    <w:name w:val="Normal (Web)"/>
    <w:basedOn w:val="Normal"/>
    <w:uiPriority w:val="99"/>
    <w:semiHidden/>
    <w:unhideWhenUsed/>
    <w:qFormat/>
    <w:rsid w:val="007F721E"/>
    <w:pPr>
      <w:widowControl/>
      <w:spacing w:before="100" w:beforeAutospacing="1" w:after="100" w:afterAutospacing="1"/>
      <w:jc w:val="left"/>
    </w:pPr>
    <w:rPr>
      <w:rFonts w:ascii="宋体" w:hAnsi="宋体" w:cs="宋体"/>
      <w:kern w:val="0"/>
      <w:sz w:val="24"/>
      <w:szCs w:val="24"/>
    </w:rPr>
  </w:style>
  <w:style w:type="paragraph" w:styleId="CommentSubject">
    <w:name w:val="annotation subject"/>
    <w:basedOn w:val="CommentText"/>
    <w:next w:val="CommentText"/>
    <w:link w:val="CommentSubjectChar"/>
    <w:uiPriority w:val="99"/>
    <w:semiHidden/>
    <w:unhideWhenUsed/>
    <w:qFormat/>
    <w:rsid w:val="007F721E"/>
    <w:rPr>
      <w:b/>
      <w:bCs/>
    </w:rPr>
  </w:style>
  <w:style w:type="table" w:styleId="TableGrid">
    <w:name w:val="Table Grid"/>
    <w:basedOn w:val="TableNormal"/>
    <w:qFormat/>
    <w:rsid w:val="007F721E"/>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qFormat/>
    <w:rsid w:val="007F721E"/>
    <w:rPr>
      <w:color w:val="0000FF"/>
      <w:u w:val="single"/>
    </w:rPr>
  </w:style>
  <w:style w:type="character" w:styleId="CommentReference">
    <w:name w:val="annotation reference"/>
    <w:basedOn w:val="DefaultParagraphFont"/>
    <w:uiPriority w:val="99"/>
    <w:unhideWhenUsed/>
    <w:qFormat/>
    <w:rsid w:val="007F721E"/>
    <w:rPr>
      <w:sz w:val="21"/>
      <w:szCs w:val="21"/>
    </w:rPr>
  </w:style>
  <w:style w:type="character" w:customStyle="1" w:styleId="HeaderChar">
    <w:name w:val="Header Char"/>
    <w:basedOn w:val="DefaultParagraphFont"/>
    <w:link w:val="Header"/>
    <w:uiPriority w:val="99"/>
    <w:rsid w:val="007F721E"/>
    <w:rPr>
      <w:sz w:val="18"/>
      <w:szCs w:val="18"/>
    </w:rPr>
  </w:style>
  <w:style w:type="character" w:customStyle="1" w:styleId="FooterChar">
    <w:name w:val="Footer Char"/>
    <w:basedOn w:val="DefaultParagraphFont"/>
    <w:link w:val="Footer"/>
    <w:uiPriority w:val="99"/>
    <w:qFormat/>
    <w:rsid w:val="007F721E"/>
    <w:rPr>
      <w:sz w:val="18"/>
      <w:szCs w:val="18"/>
    </w:rPr>
  </w:style>
  <w:style w:type="character" w:customStyle="1" w:styleId="CharChar">
    <w:name w:val="Char Char"/>
    <w:link w:val="Char"/>
    <w:qFormat/>
    <w:rsid w:val="007F721E"/>
    <w:rPr>
      <w:rFonts w:ascii="Arial" w:hAnsi="Arial"/>
      <w:sz w:val="32"/>
      <w:szCs w:val="36"/>
    </w:rPr>
  </w:style>
  <w:style w:type="paragraph" w:customStyle="1" w:styleId="Char">
    <w:name w:val="Char"/>
    <w:basedOn w:val="ListParagraph"/>
    <w:link w:val="CharChar"/>
    <w:qFormat/>
    <w:rsid w:val="007F721E"/>
    <w:pPr>
      <w:keepNext/>
      <w:keepLines/>
      <w:widowControl/>
      <w:pBdr>
        <w:top w:val="single" w:sz="12" w:space="1" w:color="auto"/>
      </w:pBdr>
      <w:tabs>
        <w:tab w:val="left" w:pos="1985"/>
      </w:tabs>
      <w:spacing w:before="240" w:after="180"/>
      <w:ind w:left="360" w:firstLineChars="0" w:firstLine="0"/>
      <w:outlineLvl w:val="0"/>
    </w:pPr>
    <w:rPr>
      <w:rFonts w:ascii="Arial" w:eastAsiaTheme="minorEastAsia" w:hAnsi="Arial" w:cstheme="minorBidi"/>
      <w:sz w:val="32"/>
      <w:szCs w:val="36"/>
    </w:rPr>
  </w:style>
  <w:style w:type="paragraph" w:styleId="ListParagraph">
    <w:name w:val="List Paragraph"/>
    <w:basedOn w:val="Normal"/>
    <w:link w:val="ListParagraphChar"/>
    <w:uiPriority w:val="34"/>
    <w:qFormat/>
    <w:rsid w:val="007F721E"/>
    <w:pPr>
      <w:ind w:firstLineChars="200" w:firstLine="420"/>
    </w:pPr>
  </w:style>
  <w:style w:type="character" w:customStyle="1" w:styleId="TAHCar">
    <w:name w:val="TAH Car"/>
    <w:link w:val="TAH"/>
    <w:qFormat/>
    <w:rsid w:val="007F721E"/>
    <w:rPr>
      <w:rFonts w:ascii="Arial" w:eastAsia="Times New Roman" w:hAnsi="Arial" w:cs="Times New Roman"/>
      <w:b/>
      <w:kern w:val="0"/>
      <w:sz w:val="18"/>
      <w:szCs w:val="20"/>
      <w:lang w:val="en-GB" w:eastAsia="ja-JP"/>
    </w:rPr>
  </w:style>
  <w:style w:type="paragraph" w:customStyle="1" w:styleId="TAH">
    <w:name w:val="TAH"/>
    <w:basedOn w:val="TAC"/>
    <w:link w:val="TAHCar"/>
    <w:qFormat/>
    <w:rsid w:val="007F721E"/>
    <w:rPr>
      <w:b/>
    </w:rPr>
  </w:style>
  <w:style w:type="paragraph" w:customStyle="1" w:styleId="TAC">
    <w:name w:val="TAC"/>
    <w:basedOn w:val="TAL"/>
    <w:link w:val="TACChar"/>
    <w:qFormat/>
    <w:rsid w:val="007F721E"/>
    <w:pPr>
      <w:overflowPunct w:val="0"/>
      <w:autoSpaceDE w:val="0"/>
      <w:autoSpaceDN w:val="0"/>
      <w:adjustRightInd w:val="0"/>
      <w:jc w:val="center"/>
      <w:textAlignment w:val="baseline"/>
    </w:pPr>
    <w:rPr>
      <w:lang w:eastAsia="ja-JP"/>
    </w:rPr>
  </w:style>
  <w:style w:type="paragraph" w:customStyle="1" w:styleId="TAL">
    <w:name w:val="TAL"/>
    <w:basedOn w:val="Normal"/>
    <w:link w:val="TALChar"/>
    <w:qFormat/>
    <w:rsid w:val="007F721E"/>
    <w:pPr>
      <w:keepNext/>
      <w:keepLines/>
      <w:widowControl/>
      <w:jc w:val="left"/>
    </w:pPr>
    <w:rPr>
      <w:rFonts w:ascii="Arial" w:eastAsia="Times New Roman" w:hAnsi="Arial"/>
      <w:kern w:val="0"/>
      <w:sz w:val="18"/>
      <w:szCs w:val="20"/>
      <w:lang w:val="en-GB" w:eastAsia="en-US"/>
    </w:rPr>
  </w:style>
  <w:style w:type="character" w:customStyle="1" w:styleId="B1Char">
    <w:name w:val="B1 Char"/>
    <w:link w:val="B1"/>
    <w:qFormat/>
    <w:rsid w:val="007F721E"/>
    <w:rPr>
      <w:rFonts w:ascii="Times New Roman" w:eastAsia="MS Mincho" w:hAnsi="Times New Roman"/>
      <w:lang w:val="en-GB" w:eastAsia="de-DE"/>
    </w:rPr>
  </w:style>
  <w:style w:type="paragraph" w:customStyle="1" w:styleId="B1">
    <w:name w:val="B1"/>
    <w:basedOn w:val="List"/>
    <w:link w:val="B1Char"/>
    <w:qFormat/>
    <w:rsid w:val="007F721E"/>
    <w:pPr>
      <w:widowControl/>
      <w:spacing w:after="180"/>
      <w:ind w:left="568" w:firstLineChars="0" w:hanging="284"/>
      <w:jc w:val="left"/>
    </w:pPr>
    <w:rPr>
      <w:rFonts w:ascii="Times New Roman" w:eastAsia="MS Mincho" w:hAnsi="Times New Roman" w:cstheme="minorBidi"/>
      <w:lang w:val="en-GB" w:eastAsia="de-DE"/>
    </w:rPr>
  </w:style>
  <w:style w:type="character" w:customStyle="1" w:styleId="TACChar">
    <w:name w:val="TAC Char"/>
    <w:link w:val="TAC"/>
    <w:qFormat/>
    <w:rsid w:val="007F721E"/>
    <w:rPr>
      <w:rFonts w:ascii="Arial" w:eastAsia="Times New Roman" w:hAnsi="Arial" w:cs="Times New Roman"/>
      <w:kern w:val="0"/>
      <w:sz w:val="18"/>
      <w:szCs w:val="20"/>
      <w:lang w:val="en-GB" w:eastAsia="ja-JP"/>
    </w:rPr>
  </w:style>
  <w:style w:type="paragraph" w:styleId="NoSpacing">
    <w:name w:val="No Spacing"/>
    <w:uiPriority w:val="1"/>
    <w:qFormat/>
    <w:rsid w:val="007F721E"/>
    <w:pPr>
      <w:widowControl w:val="0"/>
      <w:jc w:val="both"/>
    </w:pPr>
    <w:rPr>
      <w:rFonts w:ascii="CG Times (WN)" w:eastAsia="宋体" w:hAnsi="CG Times (WN)" w:cs="Times New Roman"/>
      <w:kern w:val="2"/>
      <w:sz w:val="21"/>
      <w:szCs w:val="24"/>
    </w:rPr>
  </w:style>
  <w:style w:type="paragraph" w:customStyle="1" w:styleId="Style0">
    <w:name w:val="_Style 0"/>
    <w:uiPriority w:val="1"/>
    <w:qFormat/>
    <w:rsid w:val="007F721E"/>
    <w:pPr>
      <w:widowControl w:val="0"/>
      <w:jc w:val="both"/>
    </w:pPr>
    <w:rPr>
      <w:rFonts w:ascii="CG Times (WN)" w:eastAsia="宋体" w:hAnsi="CG Times (WN)" w:cs="Times New Roman"/>
      <w:kern w:val="2"/>
      <w:sz w:val="21"/>
      <w:szCs w:val="24"/>
    </w:rPr>
  </w:style>
  <w:style w:type="character" w:customStyle="1" w:styleId="BalloonTextChar">
    <w:name w:val="Balloon Text Char"/>
    <w:basedOn w:val="DefaultParagraphFont"/>
    <w:link w:val="BalloonText"/>
    <w:uiPriority w:val="99"/>
    <w:semiHidden/>
    <w:qFormat/>
    <w:rsid w:val="007F721E"/>
    <w:rPr>
      <w:rFonts w:ascii="CG Times (WN)" w:eastAsia="宋体" w:hAnsi="CG Times (WN)" w:cs="Times New Roman"/>
      <w:sz w:val="18"/>
      <w:szCs w:val="18"/>
    </w:rPr>
  </w:style>
  <w:style w:type="character" w:customStyle="1" w:styleId="TALChar">
    <w:name w:val="TAL Char"/>
    <w:link w:val="TAL"/>
    <w:qFormat/>
    <w:rsid w:val="007F721E"/>
    <w:rPr>
      <w:rFonts w:ascii="Arial" w:eastAsia="Times New Roman" w:hAnsi="Arial" w:cs="Times New Roman"/>
      <w:kern w:val="0"/>
      <w:sz w:val="18"/>
      <w:szCs w:val="20"/>
      <w:lang w:val="en-GB" w:eastAsia="en-US"/>
    </w:rPr>
  </w:style>
  <w:style w:type="character" w:customStyle="1" w:styleId="CommentTextChar">
    <w:name w:val="Comment Text Char"/>
    <w:basedOn w:val="DefaultParagraphFont"/>
    <w:link w:val="CommentText"/>
    <w:qFormat/>
    <w:rsid w:val="007F721E"/>
    <w:rPr>
      <w:rFonts w:ascii="CG Times (WN)" w:eastAsia="宋体" w:hAnsi="CG Times (WN)" w:cs="Times New Roman"/>
    </w:rPr>
  </w:style>
  <w:style w:type="character" w:customStyle="1" w:styleId="CommentSubjectChar">
    <w:name w:val="Comment Subject Char"/>
    <w:basedOn w:val="CommentTextChar"/>
    <w:link w:val="CommentSubject"/>
    <w:uiPriority w:val="99"/>
    <w:semiHidden/>
    <w:qFormat/>
    <w:rsid w:val="007F721E"/>
    <w:rPr>
      <w:rFonts w:ascii="CG Times (WN)" w:eastAsia="宋体" w:hAnsi="CG Times (WN)" w:cs="Times New Roman"/>
      <w:b/>
      <w:bCs/>
    </w:rPr>
  </w:style>
  <w:style w:type="character" w:customStyle="1" w:styleId="DocumentMapChar">
    <w:name w:val="Document Map Char"/>
    <w:basedOn w:val="DefaultParagraphFont"/>
    <w:link w:val="DocumentMap"/>
    <w:uiPriority w:val="99"/>
    <w:semiHidden/>
    <w:qFormat/>
    <w:rsid w:val="007F721E"/>
    <w:rPr>
      <w:rFonts w:ascii="宋体" w:eastAsia="宋体" w:hAnsi="CG Times (WN)" w:cs="Times New Roman"/>
      <w:sz w:val="18"/>
      <w:szCs w:val="18"/>
    </w:rPr>
  </w:style>
  <w:style w:type="character" w:customStyle="1" w:styleId="CaptionChar">
    <w:name w:val="Caption Char"/>
    <w:link w:val="Caption"/>
    <w:uiPriority w:val="35"/>
    <w:qFormat/>
    <w:rsid w:val="007F721E"/>
    <w:rPr>
      <w:rFonts w:ascii="Times New Roman" w:eastAsia="MS Mincho" w:hAnsi="Times New Roman" w:cs="Times New Roman"/>
      <w:b/>
      <w:kern w:val="0"/>
      <w:sz w:val="20"/>
      <w:szCs w:val="20"/>
      <w:lang w:val="en-GB" w:eastAsia="en-US"/>
    </w:rPr>
  </w:style>
  <w:style w:type="character" w:customStyle="1" w:styleId="ListParagraphChar">
    <w:name w:val="List Paragraph Char"/>
    <w:link w:val="ListParagraph"/>
    <w:uiPriority w:val="34"/>
    <w:qFormat/>
    <w:rsid w:val="007F721E"/>
    <w:rPr>
      <w:rFonts w:ascii="CG Times (WN)" w:eastAsia="宋体" w:hAnsi="CG Times (WN)" w:cs="Times New Roman"/>
    </w:rPr>
  </w:style>
  <w:style w:type="paragraph" w:customStyle="1" w:styleId="ZT">
    <w:name w:val="ZT"/>
    <w:qFormat/>
    <w:rsid w:val="007F721E"/>
    <w:pPr>
      <w:framePr w:wrap="notBeside" w:hAnchor="margin" w:yAlign="center"/>
      <w:widowControl w:val="0"/>
      <w:spacing w:line="240" w:lineRule="atLeast"/>
      <w:jc w:val="right"/>
    </w:pPr>
    <w:rPr>
      <w:rFonts w:ascii="Arial" w:hAnsi="Arial" w:cs="Times New Roman"/>
      <w:b/>
      <w:sz w:val="34"/>
      <w:lang w:val="en-GB" w:eastAsia="en-US"/>
    </w:rPr>
  </w:style>
  <w:style w:type="character" w:customStyle="1" w:styleId="Heading2Char">
    <w:name w:val="Heading 2 Char"/>
    <w:basedOn w:val="DefaultParagraphFont"/>
    <w:link w:val="Heading2"/>
    <w:uiPriority w:val="9"/>
    <w:qFormat/>
    <w:rsid w:val="007F721E"/>
    <w:rPr>
      <w:rFonts w:asciiTheme="majorHAnsi" w:eastAsiaTheme="majorEastAsia" w:hAnsiTheme="majorHAnsi" w:cstheme="majorBidi"/>
      <w:b/>
      <w:bCs/>
      <w:sz w:val="32"/>
      <w:szCs w:val="32"/>
    </w:rPr>
  </w:style>
  <w:style w:type="table" w:customStyle="1" w:styleId="1">
    <w:name w:val="网格型1"/>
    <w:basedOn w:val="TableNormal"/>
    <w:uiPriority w:val="39"/>
    <w:qFormat/>
    <w:rsid w:val="007F721E"/>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qFormat/>
    <w:rsid w:val="007F721E"/>
    <w:pPr>
      <w:spacing w:after="160" w:line="259" w:lineRule="auto"/>
    </w:pPr>
    <w:rPr>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qFormat/>
    <w:rsid w:val="007F721E"/>
    <w:rPr>
      <w:rFonts w:ascii="CG Times (WN)" w:eastAsia="宋体" w:hAnsi="CG Times (WN)" w:cs="Times New Roman"/>
      <w:b/>
      <w:bCs/>
      <w:sz w:val="32"/>
      <w:szCs w:val="32"/>
    </w:rPr>
  </w:style>
  <w:style w:type="table" w:customStyle="1" w:styleId="3">
    <w:name w:val="网格型3"/>
    <w:basedOn w:val="TableNormal"/>
    <w:qFormat/>
    <w:rsid w:val="007F721E"/>
    <w:pPr>
      <w:overflowPunct w:val="0"/>
      <w:autoSpaceDE w:val="0"/>
      <w:autoSpaceDN w:val="0"/>
      <w:adjustRightInd w:val="0"/>
      <w:spacing w:after="180"/>
      <w:textAlignment w:val="baseline"/>
    </w:pPr>
    <w:rPr>
      <w:rFonts w:ascii="Times New Roman" w:eastAsia="Yu Mincho"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7F721E"/>
    <w:rPr>
      <w:color w:val="808080"/>
    </w:rPr>
  </w:style>
  <w:style w:type="table" w:customStyle="1" w:styleId="TableGrid1">
    <w:name w:val="Table Grid1"/>
    <w:basedOn w:val="TableNormal"/>
    <w:qFormat/>
    <w:rsid w:val="007F721E"/>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qFormat/>
    <w:rsid w:val="007F721E"/>
    <w:rPr>
      <w:rFonts w:ascii="CG Times (WN)" w:eastAsia="宋体" w:hAnsi="CG Times (WN)" w:cs="Times New Roman"/>
      <w:b/>
      <w:bCs/>
      <w:sz w:val="28"/>
      <w:szCs w:val="28"/>
    </w:rPr>
  </w:style>
  <w:style w:type="paragraph" w:customStyle="1" w:styleId="TH">
    <w:name w:val="TH"/>
    <w:basedOn w:val="Normal"/>
    <w:qFormat/>
    <w:rsid w:val="007F721E"/>
    <w:pPr>
      <w:keepNext/>
      <w:keepLines/>
      <w:spacing w:before="60"/>
      <w:jc w:val="center"/>
    </w:pPr>
    <w:rPr>
      <w:rFonts w:ascii="Arial" w:hAnsi="Arial"/>
      <w:b/>
    </w:rPr>
  </w:style>
  <w:style w:type="paragraph" w:customStyle="1" w:styleId="EQ">
    <w:name w:val="EQ"/>
    <w:basedOn w:val="Normal"/>
    <w:next w:val="Normal"/>
    <w:qFormat/>
    <w:rsid w:val="007F721E"/>
    <w:pPr>
      <w:keepLines/>
      <w:tabs>
        <w:tab w:val="center" w:pos="4536"/>
        <w:tab w:val="right" w:pos="9072"/>
      </w:tabs>
    </w:pPr>
  </w:style>
  <w:style w:type="table" w:customStyle="1" w:styleId="11">
    <w:name w:val="网格型11"/>
    <w:basedOn w:val="TableNormal"/>
    <w:qFormat/>
    <w:rsid w:val="00045378"/>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2"/>
    <w:basedOn w:val="TableNormal"/>
    <w:qFormat/>
    <w:rsid w:val="006E6B53"/>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uiPriority w:val="39"/>
    <w:qFormat/>
    <w:rsid w:val="006E6B53"/>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D5098B"/>
    <w:rPr>
      <w:rFonts w:ascii="CG Times (WN)" w:eastAsia="宋体" w:hAnsi="CG Times (WN)" w:cs="Times New Roman"/>
      <w:kern w:val="2"/>
      <w:sz w:val="21"/>
      <w:szCs w:val="22"/>
    </w:rPr>
  </w:style>
  <w:style w:type="paragraph" w:customStyle="1" w:styleId="a">
    <w:name w:val="正文"/>
    <w:rsid w:val="009675A0"/>
    <w:pPr>
      <w:spacing w:before="100" w:beforeAutospacing="1" w:after="180"/>
    </w:pPr>
    <w:rPr>
      <w:rFonts w:ascii="Times New Roman" w:eastAsia="宋体" w:hAnsi="Times New Roman" w:cs="Times New Roman"/>
      <w:sz w:val="24"/>
      <w:szCs w:val="24"/>
    </w:rPr>
  </w:style>
  <w:style w:type="paragraph" w:customStyle="1" w:styleId="ListParagraph1">
    <w:name w:val="List Paragraph1"/>
    <w:basedOn w:val="Normal"/>
    <w:rsid w:val="003A6A9C"/>
    <w:pPr>
      <w:widowControl/>
      <w:overflowPunct w:val="0"/>
      <w:autoSpaceDE w:val="0"/>
      <w:autoSpaceDN w:val="0"/>
      <w:adjustRightInd w:val="0"/>
      <w:spacing w:after="180"/>
      <w:ind w:firstLineChars="200" w:firstLine="420"/>
      <w:jc w:val="left"/>
    </w:pPr>
    <w:rPr>
      <w:rFonts w:ascii="Times New Roman" w:eastAsia="MS Mincho" w:hAnsi="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258368">
      <w:bodyDiv w:val="1"/>
      <w:marLeft w:val="0"/>
      <w:marRight w:val="0"/>
      <w:marTop w:val="0"/>
      <w:marBottom w:val="0"/>
      <w:divBdr>
        <w:top w:val="none" w:sz="0" w:space="0" w:color="auto"/>
        <w:left w:val="none" w:sz="0" w:space="0" w:color="auto"/>
        <w:bottom w:val="none" w:sz="0" w:space="0" w:color="auto"/>
        <w:right w:val="none" w:sz="0" w:space="0" w:color="auto"/>
      </w:divBdr>
    </w:div>
    <w:div w:id="147594667">
      <w:bodyDiv w:val="1"/>
      <w:marLeft w:val="0"/>
      <w:marRight w:val="0"/>
      <w:marTop w:val="0"/>
      <w:marBottom w:val="0"/>
      <w:divBdr>
        <w:top w:val="none" w:sz="0" w:space="0" w:color="auto"/>
        <w:left w:val="none" w:sz="0" w:space="0" w:color="auto"/>
        <w:bottom w:val="none" w:sz="0" w:space="0" w:color="auto"/>
        <w:right w:val="none" w:sz="0" w:space="0" w:color="auto"/>
      </w:divBdr>
    </w:div>
    <w:div w:id="180777348">
      <w:bodyDiv w:val="1"/>
      <w:marLeft w:val="0"/>
      <w:marRight w:val="0"/>
      <w:marTop w:val="0"/>
      <w:marBottom w:val="0"/>
      <w:divBdr>
        <w:top w:val="none" w:sz="0" w:space="0" w:color="auto"/>
        <w:left w:val="none" w:sz="0" w:space="0" w:color="auto"/>
        <w:bottom w:val="none" w:sz="0" w:space="0" w:color="auto"/>
        <w:right w:val="none" w:sz="0" w:space="0" w:color="auto"/>
      </w:divBdr>
    </w:div>
    <w:div w:id="186525927">
      <w:bodyDiv w:val="1"/>
      <w:marLeft w:val="0"/>
      <w:marRight w:val="0"/>
      <w:marTop w:val="0"/>
      <w:marBottom w:val="0"/>
      <w:divBdr>
        <w:top w:val="none" w:sz="0" w:space="0" w:color="auto"/>
        <w:left w:val="none" w:sz="0" w:space="0" w:color="auto"/>
        <w:bottom w:val="none" w:sz="0" w:space="0" w:color="auto"/>
        <w:right w:val="none" w:sz="0" w:space="0" w:color="auto"/>
      </w:divBdr>
    </w:div>
    <w:div w:id="261954814">
      <w:bodyDiv w:val="1"/>
      <w:marLeft w:val="0"/>
      <w:marRight w:val="0"/>
      <w:marTop w:val="0"/>
      <w:marBottom w:val="0"/>
      <w:divBdr>
        <w:top w:val="none" w:sz="0" w:space="0" w:color="auto"/>
        <w:left w:val="none" w:sz="0" w:space="0" w:color="auto"/>
        <w:bottom w:val="none" w:sz="0" w:space="0" w:color="auto"/>
        <w:right w:val="none" w:sz="0" w:space="0" w:color="auto"/>
      </w:divBdr>
      <w:divsChild>
        <w:div w:id="2141074309">
          <w:marLeft w:val="1166"/>
          <w:marRight w:val="0"/>
          <w:marTop w:val="0"/>
          <w:marBottom w:val="0"/>
          <w:divBdr>
            <w:top w:val="none" w:sz="0" w:space="0" w:color="auto"/>
            <w:left w:val="none" w:sz="0" w:space="0" w:color="auto"/>
            <w:bottom w:val="none" w:sz="0" w:space="0" w:color="auto"/>
            <w:right w:val="none" w:sz="0" w:space="0" w:color="auto"/>
          </w:divBdr>
        </w:div>
        <w:div w:id="270287461">
          <w:marLeft w:val="1800"/>
          <w:marRight w:val="0"/>
          <w:marTop w:val="0"/>
          <w:marBottom w:val="0"/>
          <w:divBdr>
            <w:top w:val="none" w:sz="0" w:space="0" w:color="auto"/>
            <w:left w:val="none" w:sz="0" w:space="0" w:color="auto"/>
            <w:bottom w:val="none" w:sz="0" w:space="0" w:color="auto"/>
            <w:right w:val="none" w:sz="0" w:space="0" w:color="auto"/>
          </w:divBdr>
        </w:div>
        <w:div w:id="218591632">
          <w:marLeft w:val="1166"/>
          <w:marRight w:val="0"/>
          <w:marTop w:val="0"/>
          <w:marBottom w:val="0"/>
          <w:divBdr>
            <w:top w:val="none" w:sz="0" w:space="0" w:color="auto"/>
            <w:left w:val="none" w:sz="0" w:space="0" w:color="auto"/>
            <w:bottom w:val="none" w:sz="0" w:space="0" w:color="auto"/>
            <w:right w:val="none" w:sz="0" w:space="0" w:color="auto"/>
          </w:divBdr>
        </w:div>
        <w:div w:id="890269958">
          <w:marLeft w:val="1800"/>
          <w:marRight w:val="0"/>
          <w:marTop w:val="0"/>
          <w:marBottom w:val="0"/>
          <w:divBdr>
            <w:top w:val="none" w:sz="0" w:space="0" w:color="auto"/>
            <w:left w:val="none" w:sz="0" w:space="0" w:color="auto"/>
            <w:bottom w:val="none" w:sz="0" w:space="0" w:color="auto"/>
            <w:right w:val="none" w:sz="0" w:space="0" w:color="auto"/>
          </w:divBdr>
        </w:div>
        <w:div w:id="1897811381">
          <w:marLeft w:val="2520"/>
          <w:marRight w:val="0"/>
          <w:marTop w:val="0"/>
          <w:marBottom w:val="0"/>
          <w:divBdr>
            <w:top w:val="none" w:sz="0" w:space="0" w:color="auto"/>
            <w:left w:val="none" w:sz="0" w:space="0" w:color="auto"/>
            <w:bottom w:val="none" w:sz="0" w:space="0" w:color="auto"/>
            <w:right w:val="none" w:sz="0" w:space="0" w:color="auto"/>
          </w:divBdr>
        </w:div>
        <w:div w:id="992565399">
          <w:marLeft w:val="2520"/>
          <w:marRight w:val="0"/>
          <w:marTop w:val="0"/>
          <w:marBottom w:val="0"/>
          <w:divBdr>
            <w:top w:val="none" w:sz="0" w:space="0" w:color="auto"/>
            <w:left w:val="none" w:sz="0" w:space="0" w:color="auto"/>
            <w:bottom w:val="none" w:sz="0" w:space="0" w:color="auto"/>
            <w:right w:val="none" w:sz="0" w:space="0" w:color="auto"/>
          </w:divBdr>
        </w:div>
        <w:div w:id="2069571668">
          <w:marLeft w:val="2520"/>
          <w:marRight w:val="0"/>
          <w:marTop w:val="0"/>
          <w:marBottom w:val="0"/>
          <w:divBdr>
            <w:top w:val="none" w:sz="0" w:space="0" w:color="auto"/>
            <w:left w:val="none" w:sz="0" w:space="0" w:color="auto"/>
            <w:bottom w:val="none" w:sz="0" w:space="0" w:color="auto"/>
            <w:right w:val="none" w:sz="0" w:space="0" w:color="auto"/>
          </w:divBdr>
        </w:div>
        <w:div w:id="447236069">
          <w:marLeft w:val="2520"/>
          <w:marRight w:val="0"/>
          <w:marTop w:val="0"/>
          <w:marBottom w:val="0"/>
          <w:divBdr>
            <w:top w:val="none" w:sz="0" w:space="0" w:color="auto"/>
            <w:left w:val="none" w:sz="0" w:space="0" w:color="auto"/>
            <w:bottom w:val="none" w:sz="0" w:space="0" w:color="auto"/>
            <w:right w:val="none" w:sz="0" w:space="0" w:color="auto"/>
          </w:divBdr>
        </w:div>
        <w:div w:id="1676035207">
          <w:marLeft w:val="1166"/>
          <w:marRight w:val="0"/>
          <w:marTop w:val="0"/>
          <w:marBottom w:val="0"/>
          <w:divBdr>
            <w:top w:val="none" w:sz="0" w:space="0" w:color="auto"/>
            <w:left w:val="none" w:sz="0" w:space="0" w:color="auto"/>
            <w:bottom w:val="none" w:sz="0" w:space="0" w:color="auto"/>
            <w:right w:val="none" w:sz="0" w:space="0" w:color="auto"/>
          </w:divBdr>
        </w:div>
        <w:div w:id="2112507761">
          <w:marLeft w:val="1166"/>
          <w:marRight w:val="0"/>
          <w:marTop w:val="0"/>
          <w:marBottom w:val="0"/>
          <w:divBdr>
            <w:top w:val="none" w:sz="0" w:space="0" w:color="auto"/>
            <w:left w:val="none" w:sz="0" w:space="0" w:color="auto"/>
            <w:bottom w:val="none" w:sz="0" w:space="0" w:color="auto"/>
            <w:right w:val="none" w:sz="0" w:space="0" w:color="auto"/>
          </w:divBdr>
        </w:div>
        <w:div w:id="305166185">
          <w:marLeft w:val="1166"/>
          <w:marRight w:val="0"/>
          <w:marTop w:val="0"/>
          <w:marBottom w:val="0"/>
          <w:divBdr>
            <w:top w:val="none" w:sz="0" w:space="0" w:color="auto"/>
            <w:left w:val="none" w:sz="0" w:space="0" w:color="auto"/>
            <w:bottom w:val="none" w:sz="0" w:space="0" w:color="auto"/>
            <w:right w:val="none" w:sz="0" w:space="0" w:color="auto"/>
          </w:divBdr>
        </w:div>
        <w:div w:id="1862813787">
          <w:marLeft w:val="1800"/>
          <w:marRight w:val="0"/>
          <w:marTop w:val="0"/>
          <w:marBottom w:val="0"/>
          <w:divBdr>
            <w:top w:val="none" w:sz="0" w:space="0" w:color="auto"/>
            <w:left w:val="none" w:sz="0" w:space="0" w:color="auto"/>
            <w:bottom w:val="none" w:sz="0" w:space="0" w:color="auto"/>
            <w:right w:val="none" w:sz="0" w:space="0" w:color="auto"/>
          </w:divBdr>
        </w:div>
        <w:div w:id="1211303546">
          <w:marLeft w:val="1800"/>
          <w:marRight w:val="0"/>
          <w:marTop w:val="0"/>
          <w:marBottom w:val="0"/>
          <w:divBdr>
            <w:top w:val="none" w:sz="0" w:space="0" w:color="auto"/>
            <w:left w:val="none" w:sz="0" w:space="0" w:color="auto"/>
            <w:bottom w:val="none" w:sz="0" w:space="0" w:color="auto"/>
            <w:right w:val="none" w:sz="0" w:space="0" w:color="auto"/>
          </w:divBdr>
        </w:div>
        <w:div w:id="487089763">
          <w:marLeft w:val="1800"/>
          <w:marRight w:val="0"/>
          <w:marTop w:val="0"/>
          <w:marBottom w:val="0"/>
          <w:divBdr>
            <w:top w:val="none" w:sz="0" w:space="0" w:color="auto"/>
            <w:left w:val="none" w:sz="0" w:space="0" w:color="auto"/>
            <w:bottom w:val="none" w:sz="0" w:space="0" w:color="auto"/>
            <w:right w:val="none" w:sz="0" w:space="0" w:color="auto"/>
          </w:divBdr>
        </w:div>
        <w:div w:id="1870685094">
          <w:marLeft w:val="547"/>
          <w:marRight w:val="0"/>
          <w:marTop w:val="0"/>
          <w:marBottom w:val="0"/>
          <w:divBdr>
            <w:top w:val="none" w:sz="0" w:space="0" w:color="auto"/>
            <w:left w:val="none" w:sz="0" w:space="0" w:color="auto"/>
            <w:bottom w:val="none" w:sz="0" w:space="0" w:color="auto"/>
            <w:right w:val="none" w:sz="0" w:space="0" w:color="auto"/>
          </w:divBdr>
        </w:div>
      </w:divsChild>
    </w:div>
    <w:div w:id="401149451">
      <w:bodyDiv w:val="1"/>
      <w:marLeft w:val="0"/>
      <w:marRight w:val="0"/>
      <w:marTop w:val="0"/>
      <w:marBottom w:val="0"/>
      <w:divBdr>
        <w:top w:val="none" w:sz="0" w:space="0" w:color="auto"/>
        <w:left w:val="none" w:sz="0" w:space="0" w:color="auto"/>
        <w:bottom w:val="none" w:sz="0" w:space="0" w:color="auto"/>
        <w:right w:val="none" w:sz="0" w:space="0" w:color="auto"/>
      </w:divBdr>
    </w:div>
    <w:div w:id="516308963">
      <w:bodyDiv w:val="1"/>
      <w:marLeft w:val="0"/>
      <w:marRight w:val="0"/>
      <w:marTop w:val="0"/>
      <w:marBottom w:val="0"/>
      <w:divBdr>
        <w:top w:val="none" w:sz="0" w:space="0" w:color="auto"/>
        <w:left w:val="none" w:sz="0" w:space="0" w:color="auto"/>
        <w:bottom w:val="none" w:sz="0" w:space="0" w:color="auto"/>
        <w:right w:val="none" w:sz="0" w:space="0" w:color="auto"/>
      </w:divBdr>
    </w:div>
    <w:div w:id="523834793">
      <w:bodyDiv w:val="1"/>
      <w:marLeft w:val="0"/>
      <w:marRight w:val="0"/>
      <w:marTop w:val="0"/>
      <w:marBottom w:val="0"/>
      <w:divBdr>
        <w:top w:val="none" w:sz="0" w:space="0" w:color="auto"/>
        <w:left w:val="none" w:sz="0" w:space="0" w:color="auto"/>
        <w:bottom w:val="none" w:sz="0" w:space="0" w:color="auto"/>
        <w:right w:val="none" w:sz="0" w:space="0" w:color="auto"/>
      </w:divBdr>
    </w:div>
    <w:div w:id="654139810">
      <w:bodyDiv w:val="1"/>
      <w:marLeft w:val="0"/>
      <w:marRight w:val="0"/>
      <w:marTop w:val="0"/>
      <w:marBottom w:val="0"/>
      <w:divBdr>
        <w:top w:val="none" w:sz="0" w:space="0" w:color="auto"/>
        <w:left w:val="none" w:sz="0" w:space="0" w:color="auto"/>
        <w:bottom w:val="none" w:sz="0" w:space="0" w:color="auto"/>
        <w:right w:val="none" w:sz="0" w:space="0" w:color="auto"/>
      </w:divBdr>
    </w:div>
    <w:div w:id="935937960">
      <w:bodyDiv w:val="1"/>
      <w:marLeft w:val="0"/>
      <w:marRight w:val="0"/>
      <w:marTop w:val="0"/>
      <w:marBottom w:val="0"/>
      <w:divBdr>
        <w:top w:val="none" w:sz="0" w:space="0" w:color="auto"/>
        <w:left w:val="none" w:sz="0" w:space="0" w:color="auto"/>
        <w:bottom w:val="none" w:sz="0" w:space="0" w:color="auto"/>
        <w:right w:val="none" w:sz="0" w:space="0" w:color="auto"/>
      </w:divBdr>
    </w:div>
    <w:div w:id="936014527">
      <w:bodyDiv w:val="1"/>
      <w:marLeft w:val="0"/>
      <w:marRight w:val="0"/>
      <w:marTop w:val="0"/>
      <w:marBottom w:val="0"/>
      <w:divBdr>
        <w:top w:val="none" w:sz="0" w:space="0" w:color="auto"/>
        <w:left w:val="none" w:sz="0" w:space="0" w:color="auto"/>
        <w:bottom w:val="none" w:sz="0" w:space="0" w:color="auto"/>
        <w:right w:val="none" w:sz="0" w:space="0" w:color="auto"/>
      </w:divBdr>
    </w:div>
    <w:div w:id="984243866">
      <w:bodyDiv w:val="1"/>
      <w:marLeft w:val="0"/>
      <w:marRight w:val="0"/>
      <w:marTop w:val="0"/>
      <w:marBottom w:val="0"/>
      <w:divBdr>
        <w:top w:val="none" w:sz="0" w:space="0" w:color="auto"/>
        <w:left w:val="none" w:sz="0" w:space="0" w:color="auto"/>
        <w:bottom w:val="none" w:sz="0" w:space="0" w:color="auto"/>
        <w:right w:val="none" w:sz="0" w:space="0" w:color="auto"/>
      </w:divBdr>
    </w:div>
    <w:div w:id="986742089">
      <w:bodyDiv w:val="1"/>
      <w:marLeft w:val="0"/>
      <w:marRight w:val="0"/>
      <w:marTop w:val="0"/>
      <w:marBottom w:val="0"/>
      <w:divBdr>
        <w:top w:val="none" w:sz="0" w:space="0" w:color="auto"/>
        <w:left w:val="none" w:sz="0" w:space="0" w:color="auto"/>
        <w:bottom w:val="none" w:sz="0" w:space="0" w:color="auto"/>
        <w:right w:val="none" w:sz="0" w:space="0" w:color="auto"/>
      </w:divBdr>
      <w:divsChild>
        <w:div w:id="1750079929">
          <w:marLeft w:val="1166"/>
          <w:marRight w:val="0"/>
          <w:marTop w:val="0"/>
          <w:marBottom w:val="0"/>
          <w:divBdr>
            <w:top w:val="none" w:sz="0" w:space="0" w:color="auto"/>
            <w:left w:val="none" w:sz="0" w:space="0" w:color="auto"/>
            <w:bottom w:val="none" w:sz="0" w:space="0" w:color="auto"/>
            <w:right w:val="none" w:sz="0" w:space="0" w:color="auto"/>
          </w:divBdr>
        </w:div>
        <w:div w:id="933052375">
          <w:marLeft w:val="1800"/>
          <w:marRight w:val="0"/>
          <w:marTop w:val="0"/>
          <w:marBottom w:val="0"/>
          <w:divBdr>
            <w:top w:val="none" w:sz="0" w:space="0" w:color="auto"/>
            <w:left w:val="none" w:sz="0" w:space="0" w:color="auto"/>
            <w:bottom w:val="none" w:sz="0" w:space="0" w:color="auto"/>
            <w:right w:val="none" w:sz="0" w:space="0" w:color="auto"/>
          </w:divBdr>
        </w:div>
        <w:div w:id="1822698407">
          <w:marLeft w:val="1166"/>
          <w:marRight w:val="0"/>
          <w:marTop w:val="0"/>
          <w:marBottom w:val="0"/>
          <w:divBdr>
            <w:top w:val="none" w:sz="0" w:space="0" w:color="auto"/>
            <w:left w:val="none" w:sz="0" w:space="0" w:color="auto"/>
            <w:bottom w:val="none" w:sz="0" w:space="0" w:color="auto"/>
            <w:right w:val="none" w:sz="0" w:space="0" w:color="auto"/>
          </w:divBdr>
        </w:div>
        <w:div w:id="76053152">
          <w:marLeft w:val="1800"/>
          <w:marRight w:val="0"/>
          <w:marTop w:val="0"/>
          <w:marBottom w:val="0"/>
          <w:divBdr>
            <w:top w:val="none" w:sz="0" w:space="0" w:color="auto"/>
            <w:left w:val="none" w:sz="0" w:space="0" w:color="auto"/>
            <w:bottom w:val="none" w:sz="0" w:space="0" w:color="auto"/>
            <w:right w:val="none" w:sz="0" w:space="0" w:color="auto"/>
          </w:divBdr>
        </w:div>
        <w:div w:id="1197889318">
          <w:marLeft w:val="2520"/>
          <w:marRight w:val="0"/>
          <w:marTop w:val="0"/>
          <w:marBottom w:val="0"/>
          <w:divBdr>
            <w:top w:val="none" w:sz="0" w:space="0" w:color="auto"/>
            <w:left w:val="none" w:sz="0" w:space="0" w:color="auto"/>
            <w:bottom w:val="none" w:sz="0" w:space="0" w:color="auto"/>
            <w:right w:val="none" w:sz="0" w:space="0" w:color="auto"/>
          </w:divBdr>
        </w:div>
        <w:div w:id="936869409">
          <w:marLeft w:val="2520"/>
          <w:marRight w:val="0"/>
          <w:marTop w:val="0"/>
          <w:marBottom w:val="0"/>
          <w:divBdr>
            <w:top w:val="none" w:sz="0" w:space="0" w:color="auto"/>
            <w:left w:val="none" w:sz="0" w:space="0" w:color="auto"/>
            <w:bottom w:val="none" w:sz="0" w:space="0" w:color="auto"/>
            <w:right w:val="none" w:sz="0" w:space="0" w:color="auto"/>
          </w:divBdr>
        </w:div>
        <w:div w:id="1185513371">
          <w:marLeft w:val="2520"/>
          <w:marRight w:val="0"/>
          <w:marTop w:val="0"/>
          <w:marBottom w:val="0"/>
          <w:divBdr>
            <w:top w:val="none" w:sz="0" w:space="0" w:color="auto"/>
            <w:left w:val="none" w:sz="0" w:space="0" w:color="auto"/>
            <w:bottom w:val="none" w:sz="0" w:space="0" w:color="auto"/>
            <w:right w:val="none" w:sz="0" w:space="0" w:color="auto"/>
          </w:divBdr>
        </w:div>
        <w:div w:id="527720169">
          <w:marLeft w:val="2520"/>
          <w:marRight w:val="0"/>
          <w:marTop w:val="0"/>
          <w:marBottom w:val="0"/>
          <w:divBdr>
            <w:top w:val="none" w:sz="0" w:space="0" w:color="auto"/>
            <w:left w:val="none" w:sz="0" w:space="0" w:color="auto"/>
            <w:bottom w:val="none" w:sz="0" w:space="0" w:color="auto"/>
            <w:right w:val="none" w:sz="0" w:space="0" w:color="auto"/>
          </w:divBdr>
        </w:div>
        <w:div w:id="1294556616">
          <w:marLeft w:val="1166"/>
          <w:marRight w:val="0"/>
          <w:marTop w:val="0"/>
          <w:marBottom w:val="0"/>
          <w:divBdr>
            <w:top w:val="none" w:sz="0" w:space="0" w:color="auto"/>
            <w:left w:val="none" w:sz="0" w:space="0" w:color="auto"/>
            <w:bottom w:val="none" w:sz="0" w:space="0" w:color="auto"/>
            <w:right w:val="none" w:sz="0" w:space="0" w:color="auto"/>
          </w:divBdr>
        </w:div>
        <w:div w:id="1921284967">
          <w:marLeft w:val="1166"/>
          <w:marRight w:val="0"/>
          <w:marTop w:val="0"/>
          <w:marBottom w:val="0"/>
          <w:divBdr>
            <w:top w:val="none" w:sz="0" w:space="0" w:color="auto"/>
            <w:left w:val="none" w:sz="0" w:space="0" w:color="auto"/>
            <w:bottom w:val="none" w:sz="0" w:space="0" w:color="auto"/>
            <w:right w:val="none" w:sz="0" w:space="0" w:color="auto"/>
          </w:divBdr>
        </w:div>
        <w:div w:id="1159923117">
          <w:marLeft w:val="1166"/>
          <w:marRight w:val="0"/>
          <w:marTop w:val="0"/>
          <w:marBottom w:val="0"/>
          <w:divBdr>
            <w:top w:val="none" w:sz="0" w:space="0" w:color="auto"/>
            <w:left w:val="none" w:sz="0" w:space="0" w:color="auto"/>
            <w:bottom w:val="none" w:sz="0" w:space="0" w:color="auto"/>
            <w:right w:val="none" w:sz="0" w:space="0" w:color="auto"/>
          </w:divBdr>
        </w:div>
        <w:div w:id="852768617">
          <w:marLeft w:val="1800"/>
          <w:marRight w:val="0"/>
          <w:marTop w:val="0"/>
          <w:marBottom w:val="0"/>
          <w:divBdr>
            <w:top w:val="none" w:sz="0" w:space="0" w:color="auto"/>
            <w:left w:val="none" w:sz="0" w:space="0" w:color="auto"/>
            <w:bottom w:val="none" w:sz="0" w:space="0" w:color="auto"/>
            <w:right w:val="none" w:sz="0" w:space="0" w:color="auto"/>
          </w:divBdr>
        </w:div>
        <w:div w:id="181937028">
          <w:marLeft w:val="1800"/>
          <w:marRight w:val="0"/>
          <w:marTop w:val="0"/>
          <w:marBottom w:val="0"/>
          <w:divBdr>
            <w:top w:val="none" w:sz="0" w:space="0" w:color="auto"/>
            <w:left w:val="none" w:sz="0" w:space="0" w:color="auto"/>
            <w:bottom w:val="none" w:sz="0" w:space="0" w:color="auto"/>
            <w:right w:val="none" w:sz="0" w:space="0" w:color="auto"/>
          </w:divBdr>
        </w:div>
        <w:div w:id="2073119101">
          <w:marLeft w:val="1800"/>
          <w:marRight w:val="0"/>
          <w:marTop w:val="0"/>
          <w:marBottom w:val="0"/>
          <w:divBdr>
            <w:top w:val="none" w:sz="0" w:space="0" w:color="auto"/>
            <w:left w:val="none" w:sz="0" w:space="0" w:color="auto"/>
            <w:bottom w:val="none" w:sz="0" w:space="0" w:color="auto"/>
            <w:right w:val="none" w:sz="0" w:space="0" w:color="auto"/>
          </w:divBdr>
        </w:div>
        <w:div w:id="678895993">
          <w:marLeft w:val="547"/>
          <w:marRight w:val="0"/>
          <w:marTop w:val="0"/>
          <w:marBottom w:val="0"/>
          <w:divBdr>
            <w:top w:val="none" w:sz="0" w:space="0" w:color="auto"/>
            <w:left w:val="none" w:sz="0" w:space="0" w:color="auto"/>
            <w:bottom w:val="none" w:sz="0" w:space="0" w:color="auto"/>
            <w:right w:val="none" w:sz="0" w:space="0" w:color="auto"/>
          </w:divBdr>
        </w:div>
      </w:divsChild>
    </w:div>
    <w:div w:id="1019619561">
      <w:bodyDiv w:val="1"/>
      <w:marLeft w:val="0"/>
      <w:marRight w:val="0"/>
      <w:marTop w:val="0"/>
      <w:marBottom w:val="0"/>
      <w:divBdr>
        <w:top w:val="none" w:sz="0" w:space="0" w:color="auto"/>
        <w:left w:val="none" w:sz="0" w:space="0" w:color="auto"/>
        <w:bottom w:val="none" w:sz="0" w:space="0" w:color="auto"/>
        <w:right w:val="none" w:sz="0" w:space="0" w:color="auto"/>
      </w:divBdr>
    </w:div>
    <w:div w:id="1145515378">
      <w:bodyDiv w:val="1"/>
      <w:marLeft w:val="0"/>
      <w:marRight w:val="0"/>
      <w:marTop w:val="0"/>
      <w:marBottom w:val="0"/>
      <w:divBdr>
        <w:top w:val="none" w:sz="0" w:space="0" w:color="auto"/>
        <w:left w:val="none" w:sz="0" w:space="0" w:color="auto"/>
        <w:bottom w:val="none" w:sz="0" w:space="0" w:color="auto"/>
        <w:right w:val="none" w:sz="0" w:space="0" w:color="auto"/>
      </w:divBdr>
      <w:divsChild>
        <w:div w:id="716011894">
          <w:marLeft w:val="922"/>
          <w:marRight w:val="0"/>
          <w:marTop w:val="1060"/>
          <w:marBottom w:val="0"/>
          <w:divBdr>
            <w:top w:val="none" w:sz="0" w:space="0" w:color="auto"/>
            <w:left w:val="none" w:sz="0" w:space="0" w:color="auto"/>
            <w:bottom w:val="none" w:sz="0" w:space="0" w:color="auto"/>
            <w:right w:val="none" w:sz="0" w:space="0" w:color="auto"/>
          </w:divBdr>
        </w:div>
      </w:divsChild>
    </w:div>
    <w:div w:id="1146628204">
      <w:bodyDiv w:val="1"/>
      <w:marLeft w:val="0"/>
      <w:marRight w:val="0"/>
      <w:marTop w:val="0"/>
      <w:marBottom w:val="0"/>
      <w:divBdr>
        <w:top w:val="none" w:sz="0" w:space="0" w:color="auto"/>
        <w:left w:val="none" w:sz="0" w:space="0" w:color="auto"/>
        <w:bottom w:val="none" w:sz="0" w:space="0" w:color="auto"/>
        <w:right w:val="none" w:sz="0" w:space="0" w:color="auto"/>
      </w:divBdr>
    </w:div>
    <w:div w:id="1154225759">
      <w:bodyDiv w:val="1"/>
      <w:marLeft w:val="0"/>
      <w:marRight w:val="0"/>
      <w:marTop w:val="0"/>
      <w:marBottom w:val="0"/>
      <w:divBdr>
        <w:top w:val="none" w:sz="0" w:space="0" w:color="auto"/>
        <w:left w:val="none" w:sz="0" w:space="0" w:color="auto"/>
        <w:bottom w:val="none" w:sz="0" w:space="0" w:color="auto"/>
        <w:right w:val="none" w:sz="0" w:space="0" w:color="auto"/>
      </w:divBdr>
    </w:div>
    <w:div w:id="1155150323">
      <w:bodyDiv w:val="1"/>
      <w:marLeft w:val="0"/>
      <w:marRight w:val="0"/>
      <w:marTop w:val="0"/>
      <w:marBottom w:val="0"/>
      <w:divBdr>
        <w:top w:val="none" w:sz="0" w:space="0" w:color="auto"/>
        <w:left w:val="none" w:sz="0" w:space="0" w:color="auto"/>
        <w:bottom w:val="none" w:sz="0" w:space="0" w:color="auto"/>
        <w:right w:val="none" w:sz="0" w:space="0" w:color="auto"/>
      </w:divBdr>
    </w:div>
    <w:div w:id="1161197798">
      <w:bodyDiv w:val="1"/>
      <w:marLeft w:val="0"/>
      <w:marRight w:val="0"/>
      <w:marTop w:val="0"/>
      <w:marBottom w:val="0"/>
      <w:divBdr>
        <w:top w:val="none" w:sz="0" w:space="0" w:color="auto"/>
        <w:left w:val="none" w:sz="0" w:space="0" w:color="auto"/>
        <w:bottom w:val="none" w:sz="0" w:space="0" w:color="auto"/>
        <w:right w:val="none" w:sz="0" w:space="0" w:color="auto"/>
      </w:divBdr>
    </w:div>
    <w:div w:id="1161777286">
      <w:bodyDiv w:val="1"/>
      <w:marLeft w:val="0"/>
      <w:marRight w:val="0"/>
      <w:marTop w:val="0"/>
      <w:marBottom w:val="0"/>
      <w:divBdr>
        <w:top w:val="none" w:sz="0" w:space="0" w:color="auto"/>
        <w:left w:val="none" w:sz="0" w:space="0" w:color="auto"/>
        <w:bottom w:val="none" w:sz="0" w:space="0" w:color="auto"/>
        <w:right w:val="none" w:sz="0" w:space="0" w:color="auto"/>
      </w:divBdr>
    </w:div>
    <w:div w:id="1170563761">
      <w:bodyDiv w:val="1"/>
      <w:marLeft w:val="0"/>
      <w:marRight w:val="0"/>
      <w:marTop w:val="0"/>
      <w:marBottom w:val="0"/>
      <w:divBdr>
        <w:top w:val="none" w:sz="0" w:space="0" w:color="auto"/>
        <w:left w:val="none" w:sz="0" w:space="0" w:color="auto"/>
        <w:bottom w:val="none" w:sz="0" w:space="0" w:color="auto"/>
        <w:right w:val="none" w:sz="0" w:space="0" w:color="auto"/>
      </w:divBdr>
    </w:div>
    <w:div w:id="1189686382">
      <w:bodyDiv w:val="1"/>
      <w:marLeft w:val="0"/>
      <w:marRight w:val="0"/>
      <w:marTop w:val="0"/>
      <w:marBottom w:val="0"/>
      <w:divBdr>
        <w:top w:val="none" w:sz="0" w:space="0" w:color="auto"/>
        <w:left w:val="none" w:sz="0" w:space="0" w:color="auto"/>
        <w:bottom w:val="none" w:sz="0" w:space="0" w:color="auto"/>
        <w:right w:val="none" w:sz="0" w:space="0" w:color="auto"/>
      </w:divBdr>
    </w:div>
    <w:div w:id="1396271262">
      <w:bodyDiv w:val="1"/>
      <w:marLeft w:val="0"/>
      <w:marRight w:val="0"/>
      <w:marTop w:val="0"/>
      <w:marBottom w:val="0"/>
      <w:divBdr>
        <w:top w:val="none" w:sz="0" w:space="0" w:color="auto"/>
        <w:left w:val="none" w:sz="0" w:space="0" w:color="auto"/>
        <w:bottom w:val="none" w:sz="0" w:space="0" w:color="auto"/>
        <w:right w:val="none" w:sz="0" w:space="0" w:color="auto"/>
      </w:divBdr>
    </w:div>
    <w:div w:id="1507015755">
      <w:bodyDiv w:val="1"/>
      <w:marLeft w:val="0"/>
      <w:marRight w:val="0"/>
      <w:marTop w:val="0"/>
      <w:marBottom w:val="0"/>
      <w:divBdr>
        <w:top w:val="none" w:sz="0" w:space="0" w:color="auto"/>
        <w:left w:val="none" w:sz="0" w:space="0" w:color="auto"/>
        <w:bottom w:val="none" w:sz="0" w:space="0" w:color="auto"/>
        <w:right w:val="none" w:sz="0" w:space="0" w:color="auto"/>
      </w:divBdr>
    </w:div>
    <w:div w:id="1874996782">
      <w:bodyDiv w:val="1"/>
      <w:marLeft w:val="0"/>
      <w:marRight w:val="0"/>
      <w:marTop w:val="0"/>
      <w:marBottom w:val="0"/>
      <w:divBdr>
        <w:top w:val="none" w:sz="0" w:space="0" w:color="auto"/>
        <w:left w:val="none" w:sz="0" w:space="0" w:color="auto"/>
        <w:bottom w:val="none" w:sz="0" w:space="0" w:color="auto"/>
        <w:right w:val="none" w:sz="0" w:space="0" w:color="auto"/>
      </w:divBdr>
    </w:div>
    <w:div w:id="1915701859">
      <w:bodyDiv w:val="1"/>
      <w:marLeft w:val="0"/>
      <w:marRight w:val="0"/>
      <w:marTop w:val="0"/>
      <w:marBottom w:val="0"/>
      <w:divBdr>
        <w:top w:val="none" w:sz="0" w:space="0" w:color="auto"/>
        <w:left w:val="none" w:sz="0" w:space="0" w:color="auto"/>
        <w:bottom w:val="none" w:sz="0" w:space="0" w:color="auto"/>
        <w:right w:val="none" w:sz="0" w:space="0" w:color="auto"/>
      </w:divBdr>
    </w:div>
    <w:div w:id="1930116553">
      <w:bodyDiv w:val="1"/>
      <w:marLeft w:val="0"/>
      <w:marRight w:val="0"/>
      <w:marTop w:val="0"/>
      <w:marBottom w:val="0"/>
      <w:divBdr>
        <w:top w:val="none" w:sz="0" w:space="0" w:color="auto"/>
        <w:left w:val="none" w:sz="0" w:space="0" w:color="auto"/>
        <w:bottom w:val="none" w:sz="0" w:space="0" w:color="auto"/>
        <w:right w:val="none" w:sz="0" w:space="0" w:color="auto"/>
      </w:divBdr>
    </w:div>
    <w:div w:id="1935166858">
      <w:bodyDiv w:val="1"/>
      <w:marLeft w:val="0"/>
      <w:marRight w:val="0"/>
      <w:marTop w:val="0"/>
      <w:marBottom w:val="0"/>
      <w:divBdr>
        <w:top w:val="none" w:sz="0" w:space="0" w:color="auto"/>
        <w:left w:val="none" w:sz="0" w:space="0" w:color="auto"/>
        <w:bottom w:val="none" w:sz="0" w:space="0" w:color="auto"/>
        <w:right w:val="none" w:sz="0" w:space="0" w:color="auto"/>
      </w:divBdr>
    </w:div>
    <w:div w:id="1953828839">
      <w:bodyDiv w:val="1"/>
      <w:marLeft w:val="0"/>
      <w:marRight w:val="0"/>
      <w:marTop w:val="0"/>
      <w:marBottom w:val="0"/>
      <w:divBdr>
        <w:top w:val="none" w:sz="0" w:space="0" w:color="auto"/>
        <w:left w:val="none" w:sz="0" w:space="0" w:color="auto"/>
        <w:bottom w:val="none" w:sz="0" w:space="0" w:color="auto"/>
        <w:right w:val="none" w:sz="0" w:space="0" w:color="auto"/>
      </w:divBdr>
    </w:div>
    <w:div w:id="1994093019">
      <w:bodyDiv w:val="1"/>
      <w:marLeft w:val="0"/>
      <w:marRight w:val="0"/>
      <w:marTop w:val="0"/>
      <w:marBottom w:val="0"/>
      <w:divBdr>
        <w:top w:val="none" w:sz="0" w:space="0" w:color="auto"/>
        <w:left w:val="none" w:sz="0" w:space="0" w:color="auto"/>
        <w:bottom w:val="none" w:sz="0" w:space="0" w:color="auto"/>
        <w:right w:val="none" w:sz="0" w:space="0" w:color="auto"/>
      </w:divBdr>
    </w:div>
    <w:div w:id="2065178142">
      <w:bodyDiv w:val="1"/>
      <w:marLeft w:val="0"/>
      <w:marRight w:val="0"/>
      <w:marTop w:val="0"/>
      <w:marBottom w:val="0"/>
      <w:divBdr>
        <w:top w:val="none" w:sz="0" w:space="0" w:color="auto"/>
        <w:left w:val="none" w:sz="0" w:space="0" w:color="auto"/>
        <w:bottom w:val="none" w:sz="0" w:space="0" w:color="auto"/>
        <w:right w:val="none" w:sz="0" w:space="0" w:color="auto"/>
      </w:divBdr>
    </w:div>
    <w:div w:id="21148630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package" Target="embeddings/Microsoft_Visio_Drawing2.vsdx"/><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F4D05761-AB0E-4BC4-B5E7-55F7865E20F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5</Pages>
  <Words>1029</Words>
  <Characters>5868</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chunxia-CMCC</cp:lastModifiedBy>
  <cp:revision>22</cp:revision>
  <dcterms:created xsi:type="dcterms:W3CDTF">2023-05-15T02:20:00Z</dcterms:created>
  <dcterms:modified xsi:type="dcterms:W3CDTF">2023-05-15T12:52:00Z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