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right" w:pos="9639"/>
              </w:tabs>
              <w:spacing w:after="0"/>
              <w:rPr>
                <w:rFonts w:hint="default" w:eastAsia="宋体"/>
                <w:b/>
                <w:i/>
                <w:sz w:val="28"/>
                <w:lang w:val="en-US" w:eastAsia="zh-CN"/>
              </w:rPr>
            </w:pPr>
            <w:r>
              <w:rPr>
                <w:b/>
                <w:sz w:val="24"/>
              </w:rPr>
              <w:t>3GPP TSG-</w:t>
            </w:r>
            <w:r>
              <w:fldChar w:fldCharType="begin"/>
            </w:r>
            <w:r>
              <w:instrText xml:space="preserve"> DOCPROPERTY  TSG/WGRef  \* MERGEFORMAT </w:instrText>
            </w:r>
            <w:r>
              <w:fldChar w:fldCharType="separate"/>
            </w:r>
            <w:r>
              <w:rPr>
                <w:b/>
                <w:sz w:val="24"/>
              </w:rPr>
              <w:t>RAN4</w:t>
            </w:r>
            <w:r>
              <w:rPr>
                <w:b/>
                <w:sz w:val="24"/>
              </w:rPr>
              <w:fldChar w:fldCharType="end"/>
            </w:r>
            <w:r>
              <w:rPr>
                <w:b/>
                <w:sz w:val="24"/>
              </w:rPr>
              <w:t xml:space="preserve"> Meeting </w:t>
            </w:r>
            <w:r>
              <w:rPr>
                <w:rFonts w:ascii="Arial" w:hAnsi="Arial"/>
                <w:b/>
                <w:sz w:val="24"/>
              </w:rPr>
              <w:t>#</w:t>
            </w:r>
            <w:r>
              <w:rPr>
                <w:rFonts w:hint="eastAsia" w:ascii="Arial" w:hAnsi="Arial"/>
                <w:b/>
                <w:sz w:val="24"/>
                <w:lang w:val="en-US" w:eastAsia="zh-CN"/>
              </w:rPr>
              <w:t xml:space="preserve">107 </w:t>
            </w:r>
            <w:r>
              <w:rPr>
                <w:rFonts w:hint="eastAsia" w:eastAsia="宋体"/>
                <w:b/>
                <w:sz w:val="24"/>
                <w:lang w:val="en-US" w:eastAsia="zh-CN"/>
              </w:rPr>
              <w:t xml:space="preserve">                                                               </w:t>
            </w:r>
            <w:r>
              <w:fldChar w:fldCharType="begin"/>
            </w:r>
            <w:r>
              <w:instrText xml:space="preserve"> DOCPROPERTY  Tdoc#  \* MERGEFORMAT </w:instrText>
            </w:r>
            <w:r>
              <w:fldChar w:fldCharType="separate"/>
            </w:r>
            <w:r>
              <w:rPr>
                <w:b/>
                <w:i/>
                <w:sz w:val="28"/>
              </w:rPr>
              <w:t>R4-23</w:t>
            </w:r>
            <w:r>
              <w:rPr>
                <w:rFonts w:hint="eastAsia" w:eastAsia="宋体"/>
                <w:b/>
                <w:i/>
                <w:sz w:val="28"/>
                <w:lang w:val="en-US" w:eastAsia="zh-CN"/>
              </w:rPr>
              <w:t>07618</w:t>
            </w:r>
            <w:r>
              <w:rPr>
                <w:b/>
                <w:i/>
                <w:sz w:val="28"/>
              </w:rPr>
              <w:fldChar w:fldCharType="end"/>
            </w:r>
            <w:bookmarkStart w:id="21" w:name="_GoBack"/>
            <w:bookmarkEnd w:id="21"/>
          </w:p>
          <w:p>
            <w:pPr>
              <w:pStyle w:val="81"/>
              <w:outlineLvl w:val="0"/>
              <w:rPr>
                <w:b/>
                <w:sz w:val="24"/>
              </w:rPr>
            </w:pPr>
            <w:r>
              <w:rPr>
                <w:rFonts w:ascii="Arial" w:hAnsi="Arial" w:eastAsia="宋体" w:cs="Arial"/>
                <w:b/>
                <w:sz w:val="24"/>
                <w:szCs w:val="24"/>
                <w:lang w:eastAsia="zh-CN"/>
              </w:rPr>
              <w:t>Incheon, KR</w:t>
            </w:r>
            <w:r>
              <w:rPr>
                <w:b/>
                <w:sz w:val="24"/>
              </w:rPr>
              <w:t xml:space="preserve">, </w:t>
            </w:r>
            <w:r>
              <w:rPr>
                <w:rFonts w:hint="eastAsia" w:eastAsia="宋体"/>
                <w:b/>
                <w:sz w:val="24"/>
                <w:lang w:val="en-US" w:eastAsia="zh-CN"/>
              </w:rPr>
              <w:t>May</w:t>
            </w:r>
            <w:r>
              <w:rPr>
                <w:b/>
                <w:sz w:val="24"/>
                <w:lang w:eastAsia="zh-TW"/>
              </w:rPr>
              <w:t xml:space="preserve"> </w:t>
            </w:r>
            <w:r>
              <w:rPr>
                <w:rFonts w:hint="eastAsia" w:eastAsia="宋体"/>
                <w:b/>
                <w:sz w:val="24"/>
                <w:lang w:val="en-US" w:eastAsia="zh-CN"/>
              </w:rPr>
              <w:t>22</w:t>
            </w:r>
            <w:r>
              <w:rPr>
                <w:b/>
                <w:sz w:val="24"/>
                <w:lang w:eastAsia="zh-TW"/>
              </w:rPr>
              <w:t xml:space="preserve"> – </w:t>
            </w:r>
            <w:r>
              <w:rPr>
                <w:rFonts w:hint="eastAsia" w:eastAsia="宋体"/>
                <w:b/>
                <w:sz w:val="24"/>
                <w:lang w:val="en-US" w:eastAsia="zh-CN"/>
              </w:rPr>
              <w:t>May</w:t>
            </w:r>
            <w:r>
              <w:rPr>
                <w:b/>
                <w:sz w:val="24"/>
                <w:lang w:eastAsia="zh-TW"/>
              </w:rPr>
              <w:t xml:space="preserve"> 26, 2023</w:t>
            </w:r>
          </w:p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36.102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yellow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highlight w:val="yellow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0010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18.1.0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 on Pcmax and OOBB requirement for category NB1/NB2 UE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China Telecom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cs="Arial"/>
                <w:sz w:val="18"/>
                <w:szCs w:val="18"/>
                <w:lang w:eastAsia="ja-JP"/>
              </w:rPr>
              <w:t>LTE_NBIOT_eMTC_NTN_req-Core</w:t>
            </w:r>
            <w: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2023-4-28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jc w:val="both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To correct the typo in definition of Pcmax.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UL configuration of OOBB for NB1/NB2 UE is provided in note 1 of table 7.6B.3-1 by mistake. 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subclause# of OOBB for NB1/NB2 in 7.7B is incorrect.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  Typo in Pcmax is corrected</w:t>
            </w:r>
          </w:p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note 1 in table </w:t>
            </w:r>
            <w:r>
              <w:t>7.6B.3-1</w:t>
            </w:r>
            <w:r>
              <w:rPr>
                <w:rFonts w:hint="eastAsia" w:eastAsia="宋体"/>
                <w:lang w:val="en-US" w:eastAsia="zh-CN"/>
              </w:rPr>
              <w:t xml:space="preserve"> is removed as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void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 The subclause# of OOBB for NB1/NB2 UE in 7.7B is corrected.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typo and unnecessary note, which may cause confusion, would still exist. And the  subclause# of OOBB for NB1/NB2 UE in 7.7B is still incorrect.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6.2B.4 ,7.6B.3, 7.7B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rFonts w:hint="eastAsia" w:eastAsia="宋体"/>
          <w:b/>
          <w:bCs/>
          <w:color w:val="C00000"/>
          <w:lang w:val="en-US" w:eastAsia="zh-CN"/>
        </w:rPr>
      </w:pPr>
      <w:r>
        <w:rPr>
          <w:rFonts w:hint="eastAsia" w:eastAsia="宋体"/>
          <w:b/>
          <w:bCs/>
          <w:color w:val="C00000"/>
          <w:lang w:val="en-US" w:eastAsia="zh-CN"/>
        </w:rPr>
        <w:t>&lt;Start of correction 1&gt;</w:t>
      </w:r>
    </w:p>
    <w:p>
      <w:pPr>
        <w:pStyle w:val="4"/>
      </w:pPr>
      <w:bookmarkStart w:id="1" w:name="_Toc408323042"/>
      <w:bookmarkStart w:id="2" w:name="_Toc124177534"/>
      <w:bookmarkStart w:id="3" w:name="_Toc121162825"/>
      <w:bookmarkStart w:id="4" w:name="_Toc124177961"/>
      <w:bookmarkStart w:id="5" w:name="_Toc130826088"/>
      <w:bookmarkStart w:id="6" w:name="_Toc120570033"/>
      <w:bookmarkStart w:id="7" w:name="_Toc111062038"/>
      <w:bookmarkStart w:id="8" w:name="_Toc121827706"/>
      <w:r>
        <w:t>6.2B.4</w:t>
      </w:r>
      <w:r>
        <w:tab/>
      </w:r>
      <w:r>
        <w:t>Configured transmitted Power</w:t>
      </w:r>
      <w:bookmarkEnd w:id="1"/>
      <w:r>
        <w:t xml:space="preserve"> for category NB1 and NB2</w:t>
      </w:r>
      <w:bookmarkEnd w:id="2"/>
      <w:bookmarkEnd w:id="3"/>
      <w:bookmarkEnd w:id="4"/>
      <w:bookmarkEnd w:id="5"/>
      <w:bookmarkEnd w:id="6"/>
      <w:bookmarkEnd w:id="7"/>
      <w:bookmarkEnd w:id="8"/>
    </w:p>
    <w:p>
      <w:r>
        <w:t xml:space="preserve">For category </w:t>
      </w:r>
      <w:del w:id="0" w:author="CT-S" w:date="2023-05-10T14:05:05Z">
        <w:r>
          <w:rPr>
            <w:rFonts w:hint="default"/>
            <w:lang w:val="en-US"/>
          </w:rPr>
          <w:delText>M1</w:delText>
        </w:r>
      </w:del>
      <w:ins w:id="1" w:author="CT-S" w:date="2023-05-10T14:05:05Z">
        <w:r>
          <w:rPr>
            <w:rFonts w:hint="eastAsia" w:eastAsia="宋体"/>
            <w:lang w:val="en-US" w:eastAsia="zh-CN"/>
          </w:rPr>
          <w:t>N</w:t>
        </w:r>
      </w:ins>
      <w:ins w:id="2" w:author="CT-S" w:date="2023-05-10T14:05:06Z">
        <w:r>
          <w:rPr>
            <w:rFonts w:hint="eastAsia" w:eastAsia="宋体"/>
            <w:lang w:val="en-US" w:eastAsia="zh-CN"/>
          </w:rPr>
          <w:t>B</w:t>
        </w:r>
      </w:ins>
      <w:ins w:id="3" w:author="CT-S" w:date="2023-05-10T14:05:07Z">
        <w:r>
          <w:rPr>
            <w:rFonts w:hint="eastAsia" w:eastAsia="宋体"/>
            <w:lang w:val="en-US" w:eastAsia="zh-CN"/>
          </w:rPr>
          <w:t>1 a</w:t>
        </w:r>
      </w:ins>
      <w:ins w:id="4" w:author="CT-S" w:date="2023-05-10T14:05:08Z">
        <w:r>
          <w:rPr>
            <w:rFonts w:hint="eastAsia" w:eastAsia="宋体"/>
            <w:lang w:val="en-US" w:eastAsia="zh-CN"/>
          </w:rPr>
          <w:t xml:space="preserve">nd </w:t>
        </w:r>
      </w:ins>
      <w:ins w:id="5" w:author="CT-S" w:date="2023-05-10T14:05:09Z">
        <w:r>
          <w:rPr>
            <w:rFonts w:hint="eastAsia" w:eastAsia="宋体"/>
            <w:lang w:val="en-US" w:eastAsia="zh-CN"/>
          </w:rPr>
          <w:t>NB2</w:t>
        </w:r>
      </w:ins>
      <w:r>
        <w:t xml:space="preserve"> UE, the configured transmitted power requirements in clause 6.2.5F of TS 36.101 [7] shall apply, wherein</w:t>
      </w:r>
    </w:p>
    <w:p>
      <w:pPr>
        <w:pStyle w:val="75"/>
        <w:rPr>
          <w:lang w:eastAsia="zh-CN"/>
        </w:rPr>
      </w:pPr>
      <w:r>
        <w:t>-</w:t>
      </w:r>
      <w:r>
        <w:tab/>
      </w:r>
      <w:r>
        <w:rPr>
          <w:lang w:eastAsia="zh-CN"/>
        </w:rPr>
        <w:t>The Maximum output power requirements are specified in subclause 6.2B.1</w:t>
      </w:r>
    </w:p>
    <w:p>
      <w:pPr>
        <w:pStyle w:val="75"/>
        <w:rPr>
          <w:lang w:eastAsia="zh-CN"/>
        </w:rPr>
      </w:pPr>
      <w:r>
        <w:t>-</w:t>
      </w:r>
      <w:r>
        <w:tab/>
      </w:r>
      <w:r>
        <w:rPr>
          <w:lang w:eastAsia="zh-CN"/>
        </w:rPr>
        <w:t>The MPR requirements are specified in subclause 6.2</w:t>
      </w:r>
      <w:r>
        <w:rPr>
          <w:lang w:eastAsia="zh-TW"/>
        </w:rPr>
        <w:t>B</w:t>
      </w:r>
      <w:r>
        <w:rPr>
          <w:lang w:eastAsia="zh-CN"/>
        </w:rPr>
        <w:t>.2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 A-MPR requirements are specified in subclause 6.2</w:t>
      </w:r>
      <w:r>
        <w:rPr>
          <w:lang w:eastAsia="zh-TW"/>
        </w:rPr>
        <w:t>B</w:t>
      </w:r>
      <w:r>
        <w:rPr>
          <w:lang w:eastAsia="zh-CN"/>
        </w:rPr>
        <w:t>.3.</w:t>
      </w:r>
    </w:p>
    <w:p>
      <w:pPr>
        <w:rPr>
          <w:rFonts w:hint="eastAsia" w:eastAsia="宋体"/>
          <w:b/>
          <w:bCs/>
          <w:color w:val="C00000"/>
          <w:lang w:val="en-US" w:eastAsia="zh-CN"/>
        </w:rPr>
      </w:pPr>
      <w:r>
        <w:rPr>
          <w:rFonts w:hint="eastAsia" w:eastAsia="宋体"/>
          <w:b/>
          <w:bCs/>
          <w:color w:val="C00000"/>
          <w:lang w:val="en-US" w:eastAsia="zh-CN"/>
        </w:rPr>
        <w:t>&lt;End of correction 1&gt;</w:t>
      </w:r>
    </w:p>
    <w:p>
      <w:pPr>
        <w:rPr>
          <w:rFonts w:hint="eastAsia" w:eastAsia="宋体"/>
          <w:b/>
          <w:bCs/>
          <w:color w:val="C00000"/>
          <w:lang w:val="en-US" w:eastAsia="zh-CN"/>
        </w:rPr>
      </w:pPr>
    </w:p>
    <w:p>
      <w:pPr>
        <w:rPr>
          <w:rFonts w:hint="eastAsia" w:eastAsia="宋体"/>
          <w:b/>
          <w:bCs/>
          <w:color w:val="C00000"/>
          <w:lang w:val="en-US" w:eastAsia="zh-CN"/>
        </w:rPr>
      </w:pPr>
      <w:r>
        <w:rPr>
          <w:rFonts w:hint="eastAsia" w:eastAsia="宋体"/>
          <w:b/>
          <w:bCs/>
          <w:color w:val="C00000"/>
          <w:lang w:val="en-US" w:eastAsia="zh-CN"/>
        </w:rPr>
        <w:t>&lt;Start of correction 2&gt;</w:t>
      </w:r>
    </w:p>
    <w:p>
      <w:pPr>
        <w:rPr>
          <w:rFonts w:hint="eastAsia" w:eastAsia="宋体"/>
          <w:b/>
          <w:bCs/>
          <w:color w:val="C00000"/>
          <w:lang w:val="en-US" w:eastAsia="zh-CN"/>
        </w:rPr>
      </w:pPr>
    </w:p>
    <w:p>
      <w:pPr>
        <w:pStyle w:val="4"/>
      </w:pPr>
      <w:bookmarkStart w:id="9" w:name="_Toc124177610"/>
      <w:bookmarkStart w:id="10" w:name="_Toc124178037"/>
      <w:bookmarkStart w:id="11" w:name="_Toc130826164"/>
      <w:bookmarkStart w:id="12" w:name="_Toc121162901"/>
      <w:bookmarkStart w:id="13" w:name="_Toc121827782"/>
      <w:bookmarkStart w:id="14" w:name="_Toc120570109"/>
      <w:r>
        <w:t>7.6B.3</w:t>
      </w:r>
      <w:r>
        <w:tab/>
      </w:r>
      <w:r>
        <w:t>Out-of-band blocking requirements for category NB1 and NB2</w:t>
      </w:r>
      <w:bookmarkEnd w:id="9"/>
      <w:bookmarkEnd w:id="10"/>
      <w:bookmarkEnd w:id="11"/>
      <w:bookmarkEnd w:id="12"/>
      <w:bookmarkEnd w:id="13"/>
      <w:bookmarkEnd w:id="14"/>
    </w:p>
    <w:p>
      <w:r>
        <w:t xml:space="preserve">For the first 15 MHz below or above the UE receive band </w:t>
      </w:r>
      <w:r>
        <w:rPr>
          <w:rFonts w:cs="v5.0.0"/>
        </w:rPr>
        <w:t xml:space="preserve">the </w:t>
      </w:r>
      <w:r>
        <w:t>appropriate in-band blocking or adjacent channel selectivity in subclause 7.5B and subclause 7.6B.2 shall be applied.</w:t>
      </w:r>
    </w:p>
    <w:p>
      <w:r>
        <w:rPr>
          <w:rFonts w:hint="eastAsia"/>
        </w:rPr>
        <w:t xml:space="preserve">The category NB1 and NB2 UE throughput shall be ≥ 95% of the maximum throughput of the reference measurement channels as specified in TS 36.101 </w:t>
      </w:r>
      <w:r>
        <w:t>[7]</w:t>
      </w:r>
      <w:r>
        <w:rPr>
          <w:rFonts w:hint="eastAsia"/>
        </w:rPr>
        <w:t xml:space="preserve"> Annexes A.3.2 with parameters specified in Table 7.6B</w:t>
      </w:r>
      <w:r>
        <w:t>.3</w:t>
      </w:r>
      <w:r>
        <w:rPr>
          <w:rFonts w:hint="eastAsia"/>
        </w:rPr>
        <w:t>-1.</w:t>
      </w:r>
    </w:p>
    <w:p>
      <w:r>
        <w:rPr>
          <w:rFonts w:eastAsia="Osaka"/>
        </w:rPr>
        <w:t xml:space="preserve">For Table 7.6B.3-1 in frequency range 1, 2 and 3, up to 24 exceptions are allowed for spurious response frequencies in each assigned frequency channel when measured using a 1MHz step size. </w:t>
      </w:r>
      <w:r>
        <w:t>For these exceptions the requirements of subclause 7.7B spurious response are applicable.</w:t>
      </w:r>
    </w:p>
    <w:p>
      <w:pPr>
        <w:pStyle w:val="55"/>
      </w:pPr>
      <w:r>
        <w:t>Table 7.6B.3-1: Out-of-band blocking parameters for category NB1 and NB2 UE</w:t>
      </w:r>
    </w:p>
    <w:tbl>
      <w:tblPr>
        <w:tblStyle w:val="42"/>
        <w:tblW w:w="92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6"/>
        <w:gridCol w:w="1488"/>
        <w:gridCol w:w="799"/>
        <w:gridCol w:w="1939"/>
        <w:gridCol w:w="1939"/>
        <w:gridCol w:w="19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val="en-US"/>
              </w:rPr>
              <w:t>Operating Band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Parameter</w:t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Unit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Range 1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Range 2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Range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val="en-US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P</w:t>
            </w:r>
            <w:r>
              <w:rPr>
                <w:rFonts w:cs="Arial"/>
                <w:vertAlign w:val="subscript"/>
                <w:lang w:val="en-US"/>
              </w:rPr>
              <w:t>w</w:t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dBm</w:t>
            </w:r>
          </w:p>
        </w:tc>
        <w:tc>
          <w:tcPr>
            <w:tcW w:w="58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rPr>
                <w:rFonts w:cs="Arial"/>
                <w:lang w:val="en-US"/>
              </w:rPr>
              <w:t>REFSENS + 6 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sv-SE"/>
              </w:rPr>
            </w:pPr>
            <w:r>
              <w:rPr>
                <w:lang w:val="sv-SE"/>
              </w:rPr>
              <w:t>P</w:t>
            </w:r>
            <w:r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sv-SE"/>
              </w:rPr>
            </w:pPr>
            <w:r>
              <w:rPr>
                <w:lang w:val="sv-SE"/>
              </w:rPr>
              <w:t>dBm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-44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-30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val="sv-SE"/>
              </w:rPr>
              <w:t>-15</w:t>
            </w:r>
            <w:r>
              <w:rPr>
                <w:vertAlign w:val="superscript"/>
                <w:lang w:val="sv-SE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sv-SE"/>
              </w:rPr>
            </w:pPr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interferer</w:t>
            </w:r>
            <w:r>
              <w:rPr>
                <w:lang w:val="sv-SE"/>
              </w:rPr>
              <w:t xml:space="preserve"> (CW)</w:t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sv-SE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-60 &lt; f –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&lt; -15</w:t>
            </w:r>
          </w:p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15 &lt; f – F</w:t>
            </w:r>
            <w:r>
              <w:rPr>
                <w:rFonts w:cs="Arial"/>
                <w:vertAlign w:val="subscript"/>
              </w:rPr>
              <w:t>DL_high</w:t>
            </w:r>
            <w:r>
              <w:rPr>
                <w:rFonts w:cs="Arial"/>
              </w:rPr>
              <w:t xml:space="preserve"> &lt; 60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-85 &lt; f –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≤ -60</w:t>
            </w:r>
          </w:p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60 ≤ f – F</w:t>
            </w:r>
            <w:r>
              <w:rPr>
                <w:rFonts w:cs="Arial"/>
                <w:vertAlign w:val="subscript"/>
              </w:rPr>
              <w:t>DL_high</w:t>
            </w:r>
            <w:r>
              <w:rPr>
                <w:rFonts w:cs="Arial"/>
              </w:rPr>
              <w:t xml:space="preserve"> &lt; 85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1 ≤ f ≤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– 85</w:t>
            </w:r>
          </w:p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r>
              <w:rPr>
                <w:rFonts w:cs="Arial"/>
              </w:rPr>
              <w:t xml:space="preserve"> + 85 ≤ f</w:t>
            </w:r>
          </w:p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≤ 12750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256</w:t>
            </w:r>
            <w:r>
              <w:rPr>
                <w:vertAlign w:val="superscript"/>
              </w:rPr>
              <w:t>2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sv-SE"/>
              </w:rPr>
            </w:pPr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interferer</w:t>
            </w:r>
            <w:r>
              <w:rPr>
                <w:lang w:val="sv-SE"/>
              </w:rPr>
              <w:t xml:space="preserve"> (CW)</w:t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sv-SE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-100 &lt; f –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&lt; -15</w:t>
            </w:r>
          </w:p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15 &lt; f – F</w:t>
            </w:r>
            <w:r>
              <w:rPr>
                <w:rFonts w:cs="Arial"/>
                <w:vertAlign w:val="subscript"/>
              </w:rPr>
              <w:t>DL_high</w:t>
            </w:r>
            <w:r>
              <w:rPr>
                <w:rFonts w:cs="Arial"/>
              </w:rPr>
              <w:t xml:space="preserve"> &lt; 60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-145 &lt; f –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≤ -100</w:t>
            </w:r>
          </w:p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60 ≤ f – F</w:t>
            </w:r>
            <w:r>
              <w:rPr>
                <w:rFonts w:cs="Arial"/>
                <w:vertAlign w:val="subscript"/>
              </w:rPr>
              <w:t>DL_high</w:t>
            </w:r>
            <w:r>
              <w:rPr>
                <w:rFonts w:cs="Arial"/>
              </w:rPr>
              <w:t xml:space="preserve"> &lt; 85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1 ≤ f ≤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– 145</w:t>
            </w:r>
          </w:p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r>
              <w:rPr>
                <w:rFonts w:cs="Arial"/>
              </w:rPr>
              <w:t xml:space="preserve"> + 85 ≤ f</w:t>
            </w:r>
          </w:p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≤ 12750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2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eastAsia="MS Mincho" w:cs="Arial"/>
              </w:rPr>
              <w:t>NOTE 1:</w:t>
            </w:r>
            <w:r>
              <w:rPr>
                <w:rFonts w:eastAsia="MS Mincho" w:cs="Arial"/>
              </w:rPr>
              <w:tab/>
            </w:r>
            <w:del w:id="6" w:author="CT-S" w:date="2023-04-24T11:31:16Z">
              <w:r>
                <w:rPr>
                  <w:rFonts w:eastAsia="MS Mincho" w:cs="Arial"/>
                </w:rPr>
                <w:delText xml:space="preserve">The transmitter shall be set to 4dB below </w:delText>
              </w:r>
            </w:del>
            <w:del w:id="7" w:author="CT-S" w:date="2023-04-24T11:31:16Z">
              <w:r>
                <w:rPr>
                  <w:rFonts w:cs="Arial"/>
                </w:rPr>
                <w:delText>P</w:delText>
              </w:r>
            </w:del>
            <w:del w:id="8" w:author="CT-S" w:date="2023-04-24T11:31:16Z">
              <w:r>
                <w:rPr>
                  <w:rFonts w:cs="Arial"/>
                  <w:sz w:val="12"/>
                  <w:szCs w:val="12"/>
                </w:rPr>
                <w:delText>CMAX_L</w:delText>
              </w:r>
            </w:del>
            <w:del w:id="9" w:author="CT-S" w:date="2023-04-24T11:31:16Z">
              <w:r>
                <w:rPr>
                  <w:rFonts w:eastAsia="MS Mincho" w:cs="Arial"/>
                </w:rPr>
                <w:delText xml:space="preserve"> at the minimum uplink configuration specified in Table 7.3.1-2 in TS 36.101 [7] with </w:delText>
              </w:r>
            </w:del>
            <w:del w:id="10" w:author="CT-S" w:date="2023-04-24T11:31:16Z">
              <w:r>
                <w:rPr>
                  <w:rFonts w:cs="Arial"/>
                </w:rPr>
                <w:delText>P</w:delText>
              </w:r>
            </w:del>
            <w:del w:id="11" w:author="CT-S" w:date="2023-04-24T11:31:16Z">
              <w:r>
                <w:rPr>
                  <w:rFonts w:cs="Arial"/>
                  <w:sz w:val="12"/>
                  <w:szCs w:val="12"/>
                </w:rPr>
                <w:delText>CMAX_L</w:delText>
              </w:r>
            </w:del>
            <w:del w:id="12" w:author="CT-S" w:date="2023-04-24T11:31:16Z">
              <w:r>
                <w:rPr>
                  <w:rFonts w:eastAsia="MS Mincho" w:cs="Arial"/>
                </w:rPr>
                <w:delText xml:space="preserve"> as defined in subclause 6.2.5</w:delText>
              </w:r>
            </w:del>
            <w:ins w:id="13" w:author="CT-S" w:date="2023-04-24T11:31:17Z">
              <w:r>
                <w:rPr>
                  <w:rFonts w:hint="eastAsia" w:eastAsia="宋体" w:cs="Arial"/>
                  <w:lang w:val="en-US" w:eastAsia="zh-CN"/>
                </w:rPr>
                <w:t>Vo</w:t>
              </w:r>
            </w:ins>
            <w:ins w:id="14" w:author="CT-S" w:date="2023-04-24T11:31:18Z">
              <w:r>
                <w:rPr>
                  <w:rFonts w:hint="eastAsia" w:eastAsia="宋体" w:cs="Arial"/>
                  <w:lang w:val="en-US" w:eastAsia="zh-CN"/>
                </w:rPr>
                <w:t>id</w:t>
              </w:r>
            </w:ins>
            <w:r>
              <w:rPr>
                <w:rFonts w:eastAsia="MS Mincho" w:cs="Arial"/>
              </w:rPr>
              <w:t>.</w:t>
            </w:r>
          </w:p>
          <w:p>
            <w:pPr>
              <w:pStyle w:val="66"/>
              <w:rPr>
                <w:rFonts w:eastAsia="MS Mincho"/>
                <w:lang w:val="en-US"/>
              </w:rPr>
            </w:pPr>
            <w:r>
              <w:t xml:space="preserve">NOTE </w:t>
            </w:r>
            <w:r>
              <w:rPr>
                <w:lang w:val="en-US"/>
              </w:rPr>
              <w:t>2</w:t>
            </w:r>
            <w:r>
              <w:t>:</w:t>
            </w:r>
            <w:r>
              <w:tab/>
            </w:r>
            <w:r>
              <w:rPr>
                <w:rFonts w:eastAsia="MS Mincho"/>
                <w:lang w:val="en-US"/>
              </w:rPr>
              <w:t>Band 256 lower frequency ranges are modified to enable specific implementations.</w:t>
            </w:r>
          </w:p>
          <w:p>
            <w:pPr>
              <w:pStyle w:val="66"/>
              <w:rPr>
                <w:rFonts w:cs="Arial"/>
                <w:lang w:val="en-US"/>
              </w:rPr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For operating bands which downlink band frequency range is between 1475.9 MHz &lt; f &lt; 2690 MHz the power level of the interferer (P</w:t>
            </w:r>
            <w:r>
              <w:rPr>
                <w:rFonts w:cs="Arial"/>
                <w:vertAlign w:val="subscript"/>
              </w:rPr>
              <w:t>Interferer</w:t>
            </w:r>
            <w:r>
              <w:rPr>
                <w:rFonts w:cs="Arial"/>
              </w:rPr>
              <w:t>) for Range 3 shall be modified to: -20 dBm for the frequency range which is bounded by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- 200 MHz of the lowest band that UE supports in frequency range </w:t>
            </w:r>
            <w:r>
              <w:rPr>
                <w:rFonts w:cs="Arial"/>
                <w:lang w:eastAsia="ja-JP"/>
              </w:rPr>
              <w:t>1475.9</w:t>
            </w:r>
            <w:r>
              <w:rPr>
                <w:rFonts w:cs="Arial"/>
              </w:rPr>
              <w:t xml:space="preserve"> MHz &lt; f &lt; 2690 MHz and F</w:t>
            </w:r>
            <w:r>
              <w:rPr>
                <w:rFonts w:cs="Arial"/>
                <w:vertAlign w:val="subscript"/>
              </w:rPr>
              <w:t xml:space="preserve">DL_high  </w:t>
            </w:r>
            <w:r>
              <w:rPr>
                <w:rFonts w:cs="Arial"/>
              </w:rPr>
              <w:t xml:space="preserve">+ 200 MHz of the highest band that UE supports in frequency range </w:t>
            </w:r>
            <w:r>
              <w:rPr>
                <w:rFonts w:cs="Arial"/>
                <w:lang w:eastAsia="ja-JP"/>
              </w:rPr>
              <w:t>1475.9</w:t>
            </w:r>
            <w:r>
              <w:rPr>
                <w:rFonts w:cs="Arial"/>
              </w:rPr>
              <w:t xml:space="preserve"> MHz &lt; f &lt; 2690 MHz.</w:t>
            </w:r>
            <w:r>
              <w:rPr>
                <w:rFonts w:cs="Arial"/>
                <w:lang w:val="en-US"/>
              </w:rPr>
              <w:t>”</w:t>
            </w:r>
          </w:p>
          <w:p>
            <w:pPr>
              <w:pStyle w:val="66"/>
              <w:rPr>
                <w:rFonts w:cs="Arial"/>
                <w:lang w:val="en-US"/>
              </w:rPr>
            </w:pPr>
            <w:r>
              <w:rPr>
                <w:rFonts w:eastAsia="MS Mincho"/>
              </w:rPr>
              <w:t>NOTE 4:</w:t>
            </w:r>
            <w:r>
              <w:rPr>
                <w:rFonts w:eastAsia="MS Mincho"/>
              </w:rPr>
              <w:tab/>
            </w:r>
            <w:r>
              <w:rPr>
                <w:rFonts w:eastAsia="MS Mincho"/>
              </w:rPr>
              <w:t>The power level of the interferer (</w:t>
            </w:r>
            <w:r>
              <w:t>P</w:t>
            </w:r>
            <w:r>
              <w:rPr>
                <w:vertAlign w:val="subscript"/>
              </w:rPr>
              <w:t>Interferer</w:t>
            </w:r>
            <w:r>
              <w:rPr>
                <w:rFonts w:eastAsia="MS Mincho"/>
              </w:rPr>
              <w:t xml:space="preserve">) for Range 3 shall be modified to -20 dBm for </w:t>
            </w:r>
            <w:r>
              <w:t>F</w:t>
            </w:r>
            <w:r>
              <w:rPr>
                <w:vertAlign w:val="subscript"/>
              </w:rPr>
              <w:t>Interferer</w:t>
            </w:r>
            <w:r>
              <w:rPr>
                <w:rFonts w:eastAsia="MS Mincho"/>
              </w:rPr>
              <w:t xml:space="preserve"> &gt; </w:t>
            </w:r>
            <w:r>
              <w:rPr>
                <w:lang w:eastAsia="zh-CN"/>
              </w:rPr>
              <w:t>280</w:t>
            </w:r>
            <w:r>
              <w:rPr>
                <w:rFonts w:eastAsia="MS Mincho"/>
              </w:rPr>
              <w:t xml:space="preserve">0 MHz and </w:t>
            </w:r>
            <w:r>
              <w:t>F</w:t>
            </w:r>
            <w:r>
              <w:rPr>
                <w:vertAlign w:val="subscript"/>
              </w:rPr>
              <w:t>Interferer</w:t>
            </w:r>
            <w:r>
              <w:rPr>
                <w:rFonts w:eastAsia="MS Mincho"/>
              </w:rPr>
              <w:t xml:space="preserve"> &lt; 4400 MHz.</w:t>
            </w:r>
          </w:p>
        </w:tc>
      </w:tr>
    </w:tbl>
    <w:p>
      <w:pPr>
        <w:rPr>
          <w:lang w:eastAsia="zh-TW"/>
        </w:rPr>
      </w:pPr>
    </w:p>
    <w:p>
      <w:pPr>
        <w:rPr>
          <w:rFonts w:hint="eastAsia" w:eastAsia="宋体"/>
          <w:b/>
          <w:bCs/>
          <w:color w:val="C00000"/>
          <w:lang w:val="en-US" w:eastAsia="zh-CN"/>
        </w:rPr>
      </w:pPr>
      <w:r>
        <w:rPr>
          <w:rFonts w:hint="eastAsia" w:eastAsia="宋体"/>
          <w:b/>
          <w:bCs/>
          <w:color w:val="C00000"/>
          <w:lang w:val="en-US" w:eastAsia="zh-CN"/>
        </w:rPr>
        <w:t>&lt;End of correction 2&gt;</w:t>
      </w:r>
    </w:p>
    <w:p>
      <w:pPr>
        <w:rPr>
          <w:rFonts w:hint="eastAsia" w:eastAsia="宋体"/>
          <w:b/>
          <w:bCs/>
          <w:color w:val="C00000"/>
          <w:lang w:val="en-US" w:eastAsia="zh-CN"/>
        </w:rPr>
      </w:pPr>
      <w:r>
        <w:rPr>
          <w:rFonts w:hint="eastAsia" w:eastAsia="宋体"/>
          <w:b/>
          <w:bCs/>
          <w:color w:val="C00000"/>
          <w:lang w:val="en-US" w:eastAsia="zh-CN"/>
        </w:rPr>
        <w:t>&lt;Start of correction 3&gt;</w:t>
      </w:r>
    </w:p>
    <w:p>
      <w:pPr>
        <w:pStyle w:val="3"/>
      </w:pPr>
      <w:bookmarkStart w:id="15" w:name="_Toc130826168"/>
      <w:bookmarkStart w:id="16" w:name="_Toc124177614"/>
      <w:bookmarkStart w:id="17" w:name="_Toc124178041"/>
      <w:bookmarkStart w:id="18" w:name="_Toc121827786"/>
      <w:bookmarkStart w:id="19" w:name="_Toc120570113"/>
      <w:bookmarkStart w:id="20" w:name="_Toc121162905"/>
      <w:r>
        <w:t>7.7B</w:t>
      </w:r>
      <w:r>
        <w:tab/>
      </w:r>
      <w:r>
        <w:t>Spurious response for category NB1 and NB2</w:t>
      </w:r>
      <w:bookmarkEnd w:id="15"/>
      <w:bookmarkEnd w:id="16"/>
      <w:bookmarkEnd w:id="17"/>
      <w:bookmarkEnd w:id="18"/>
      <w:bookmarkEnd w:id="19"/>
      <w:bookmarkEnd w:id="20"/>
    </w:p>
    <w:p>
      <w:pPr>
        <w:rPr>
          <w:lang w:eastAsia="zh-TW"/>
        </w:rPr>
      </w:pPr>
      <w:r>
        <w:rPr>
          <w:lang w:eastAsia="zh-TW"/>
        </w:rPr>
        <w:t>Spurious response is a measure of the receiver's ability to receive a wanted signal on its assigned channel frequency without exceeding a given degradation due to the presence of an unwanted CW interfering signal at any other frequency at which a response is obtained i.e. for which the out of band blocking limit as specified in subclause 7.6B.</w:t>
      </w:r>
      <w:del w:id="15" w:author="CT-S" w:date="2023-04-24T11:31:41Z">
        <w:r>
          <w:rPr>
            <w:rFonts w:hint="default"/>
            <w:lang w:val="en-US" w:eastAsia="zh-TW"/>
          </w:rPr>
          <w:delText>2</w:delText>
        </w:r>
      </w:del>
      <w:ins w:id="16" w:author="CT-S" w:date="2023-04-24T11:31:41Z">
        <w:r>
          <w:rPr>
            <w:rFonts w:hint="eastAsia" w:eastAsia="宋体"/>
            <w:lang w:val="en-US" w:eastAsia="zh-CN"/>
          </w:rPr>
          <w:t>3</w:t>
        </w:r>
      </w:ins>
      <w:r>
        <w:rPr>
          <w:lang w:eastAsia="zh-TW"/>
        </w:rPr>
        <w:t xml:space="preserve"> is not met.</w:t>
      </w:r>
    </w:p>
    <w:p>
      <w:r>
        <w:t>For category NB1 and NB2 UE, the minimum requirements in clause 7.7.1F of TS 36.101 [7] shall apply.</w:t>
      </w:r>
    </w:p>
    <w:p>
      <w:pPr>
        <w:rPr>
          <w:rFonts w:hint="eastAsia" w:eastAsia="宋体"/>
          <w:b/>
          <w:bCs/>
          <w:color w:val="C00000"/>
          <w:lang w:val="en-US" w:eastAsia="zh-CN"/>
        </w:rPr>
      </w:pPr>
    </w:p>
    <w:p>
      <w:pPr>
        <w:rPr>
          <w:rFonts w:hint="eastAsia" w:eastAsia="宋体"/>
          <w:b/>
          <w:bCs/>
          <w:color w:val="C00000"/>
          <w:lang w:val="en-US" w:eastAsia="zh-CN"/>
        </w:rPr>
      </w:pPr>
      <w:r>
        <w:rPr>
          <w:rFonts w:hint="eastAsia" w:eastAsia="宋体"/>
          <w:b/>
          <w:bCs/>
          <w:color w:val="C00000"/>
          <w:lang w:val="en-US" w:eastAsia="zh-CN"/>
        </w:rPr>
        <w:t>&lt;End of correction 3&gt;</w:t>
      </w:r>
    </w:p>
    <w:p>
      <w:pPr>
        <w:rPr>
          <w:rFonts w:hint="default" w:eastAsia="宋体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ksdb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93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T-S">
    <w15:presenceInfo w15:providerId="None" w15:userId="CT-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U5MGFhOGVhZmFkMmMyZmIzYTc4ZWY1NjUwNzUzZjEifQ=="/>
  </w:docVars>
  <w:rsids>
    <w:rsidRoot w:val="00022E4A"/>
    <w:rsid w:val="00022E4A"/>
    <w:rsid w:val="000A6394"/>
    <w:rsid w:val="000B7FED"/>
    <w:rsid w:val="000C038A"/>
    <w:rsid w:val="000C6598"/>
    <w:rsid w:val="000D44B3"/>
    <w:rsid w:val="00134BE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  <w:rsid w:val="192A5572"/>
    <w:rsid w:val="2A347ABE"/>
    <w:rsid w:val="39152EA2"/>
    <w:rsid w:val="49797C8B"/>
    <w:rsid w:val="4F3A75B6"/>
    <w:rsid w:val="5BC800C4"/>
    <w:rsid w:val="7B9B2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867</Words>
  <Characters>4109</Characters>
  <Lines>16</Lines>
  <Paragraphs>4</Paragraphs>
  <TotalTime>0</TotalTime>
  <ScaleCrop>false</ScaleCrop>
  <LinksUpToDate>false</LinksUpToDate>
  <CharactersWithSpaces>4935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liyankun</cp:lastModifiedBy>
  <cp:lastPrinted>2411-12-31T23:00:00Z</cp:lastPrinted>
  <dcterms:modified xsi:type="dcterms:W3CDTF">2023-05-15T03:14:53Z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2052-11.1.0.14309</vt:lpwstr>
  </property>
  <property fmtid="{D5CDD505-2E9C-101B-9397-08002B2CF9AE}" pid="22" name="ICV">
    <vt:lpwstr>FCB5B7F47D0D4C7093A43999CC6894AD_13</vt:lpwstr>
  </property>
</Properties>
</file>