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19BE" w14:textId="7E38A102" w:rsidR="001A6EEA" w:rsidRPr="00DA31D6" w:rsidRDefault="001A6EEA" w:rsidP="001A6EEA">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DA31D6">
        <w:rPr>
          <w:rFonts w:cs="Arial"/>
          <w:b w:val="0"/>
          <w:bCs/>
          <w:sz w:val="24"/>
          <w:szCs w:val="24"/>
        </w:rPr>
        <w:t>3GPP TSG-RAN WG4 Meeting #</w:t>
      </w:r>
      <w:r w:rsidRPr="00DA31D6">
        <w:rPr>
          <w:rFonts w:cs="Arial"/>
          <w:b w:val="0"/>
          <w:bCs/>
        </w:rPr>
        <w:t xml:space="preserve"> </w:t>
      </w:r>
      <w:r w:rsidRPr="00DA31D6">
        <w:rPr>
          <w:rFonts w:cs="Arial"/>
          <w:b w:val="0"/>
          <w:bCs/>
          <w:sz w:val="24"/>
          <w:szCs w:val="24"/>
        </w:rPr>
        <w:t>10</w:t>
      </w:r>
      <w:r w:rsidR="001A39B1" w:rsidRPr="00DA31D6">
        <w:rPr>
          <w:rFonts w:cs="Arial"/>
          <w:b w:val="0"/>
          <w:bCs/>
          <w:sz w:val="24"/>
          <w:szCs w:val="24"/>
        </w:rPr>
        <w:t>7</w:t>
      </w:r>
      <w:r w:rsidRPr="00DA31D6">
        <w:rPr>
          <w:rFonts w:cs="Arial"/>
          <w:b w:val="0"/>
          <w:bCs/>
          <w:sz w:val="24"/>
          <w:szCs w:val="24"/>
        </w:rPr>
        <w:tab/>
      </w:r>
      <w:r w:rsidRPr="00DA31D6">
        <w:rPr>
          <w:rFonts w:cs="Arial"/>
          <w:b w:val="0"/>
          <w:bCs/>
          <w:sz w:val="24"/>
          <w:szCs w:val="24"/>
        </w:rPr>
        <w:tab/>
      </w:r>
      <w:r w:rsidR="00E13ADB" w:rsidRPr="00DA31D6">
        <w:rPr>
          <w:rFonts w:cs="Arial"/>
          <w:b w:val="0"/>
          <w:bCs/>
          <w:sz w:val="24"/>
          <w:szCs w:val="24"/>
        </w:rPr>
        <w:t>R4-2307081</w:t>
      </w:r>
    </w:p>
    <w:p w14:paraId="56055C06" w14:textId="77777777" w:rsidR="001A6EEA" w:rsidRPr="00DA31D6" w:rsidRDefault="001A6EEA" w:rsidP="001A6EEA">
      <w:pPr>
        <w:pStyle w:val="Header"/>
        <w:tabs>
          <w:tab w:val="right" w:pos="9781"/>
          <w:tab w:val="right" w:pos="13323"/>
        </w:tabs>
        <w:spacing w:before="60" w:after="60"/>
        <w:outlineLvl w:val="0"/>
        <w:rPr>
          <w:rFonts w:eastAsia="SimSun" w:cs="Arial"/>
          <w:b w:val="0"/>
          <w:bCs/>
          <w:sz w:val="24"/>
          <w:szCs w:val="24"/>
          <w:lang w:eastAsia="zh-CN"/>
        </w:rPr>
      </w:pPr>
      <w:r w:rsidRPr="00DA31D6">
        <w:rPr>
          <w:rFonts w:eastAsia="SimSun" w:cs="Arial"/>
          <w:b w:val="0"/>
          <w:bCs/>
          <w:sz w:val="24"/>
          <w:szCs w:val="24"/>
          <w:lang w:eastAsia="zh-CN"/>
        </w:rPr>
        <w:t>Online, April 17 – April 26, 2023</w:t>
      </w:r>
    </w:p>
    <w:p w14:paraId="6DBA1303" w14:textId="77777777" w:rsidR="00DB3907" w:rsidRPr="00DA31D6" w:rsidRDefault="00DB3907" w:rsidP="00DB3907">
      <w:pPr>
        <w:pStyle w:val="Footer"/>
        <w:rPr>
          <w:b w:val="0"/>
          <w:bCs/>
        </w:rPr>
      </w:pPr>
    </w:p>
    <w:p w14:paraId="16783F2C" w14:textId="68DE60A9" w:rsidR="00DB3907" w:rsidRPr="00DA31D6" w:rsidRDefault="00DB3907" w:rsidP="0E2E4A4E">
      <w:pPr>
        <w:tabs>
          <w:tab w:val="left" w:pos="1985"/>
        </w:tabs>
        <w:rPr>
          <w:rFonts w:ascii="Arial" w:hAnsi="Arial"/>
          <w:bCs/>
          <w:sz w:val="24"/>
          <w:szCs w:val="24"/>
          <w:lang w:val="en-US"/>
        </w:rPr>
      </w:pPr>
      <w:r w:rsidRPr="00DA31D6">
        <w:rPr>
          <w:rFonts w:ascii="Arial" w:hAnsi="Arial"/>
          <w:bCs/>
          <w:sz w:val="24"/>
          <w:szCs w:val="24"/>
          <w:lang w:val="en-US"/>
        </w:rPr>
        <w:t>Agenda item:</w:t>
      </w:r>
      <w:r w:rsidRPr="00DA31D6">
        <w:rPr>
          <w:bCs/>
        </w:rPr>
        <w:tab/>
      </w:r>
      <w:r w:rsidR="00E13ADB" w:rsidRPr="00DA31D6">
        <w:rPr>
          <w:rFonts w:ascii="Arial" w:hAnsi="Arial"/>
          <w:bCs/>
          <w:sz w:val="24"/>
          <w:szCs w:val="24"/>
          <w:lang w:val="en-US"/>
        </w:rPr>
        <w:t>8</w:t>
      </w:r>
      <w:r w:rsidR="00A15D99" w:rsidRPr="00DA31D6">
        <w:rPr>
          <w:rFonts w:ascii="Arial" w:hAnsi="Arial"/>
          <w:bCs/>
          <w:sz w:val="24"/>
          <w:szCs w:val="24"/>
          <w:lang w:val="en-US"/>
        </w:rPr>
        <w:t>.5.</w:t>
      </w:r>
      <w:r w:rsidR="00E13ADB" w:rsidRPr="00DA31D6">
        <w:rPr>
          <w:rFonts w:ascii="Arial" w:hAnsi="Arial"/>
          <w:bCs/>
          <w:sz w:val="24"/>
          <w:szCs w:val="24"/>
          <w:lang w:val="en-US"/>
        </w:rPr>
        <w:t>1</w:t>
      </w:r>
      <w:r w:rsidR="00A15D99" w:rsidRPr="00DA31D6">
        <w:rPr>
          <w:rFonts w:ascii="Arial" w:hAnsi="Arial"/>
          <w:bCs/>
          <w:sz w:val="24"/>
          <w:szCs w:val="24"/>
          <w:lang w:val="en-US"/>
        </w:rPr>
        <w:t>.3.1</w:t>
      </w:r>
    </w:p>
    <w:p w14:paraId="1E1C2FD0" w14:textId="6B9393E4" w:rsidR="00DB3907" w:rsidRPr="00DA31D6" w:rsidRDefault="00DB3907" w:rsidP="00DB3907">
      <w:pPr>
        <w:tabs>
          <w:tab w:val="left" w:pos="1985"/>
        </w:tabs>
        <w:rPr>
          <w:rFonts w:ascii="Arial" w:hAnsi="Arial"/>
          <w:bCs/>
          <w:sz w:val="24"/>
          <w:lang w:val="en-US"/>
        </w:rPr>
      </w:pPr>
      <w:r w:rsidRPr="00DA31D6">
        <w:rPr>
          <w:rFonts w:ascii="Arial" w:hAnsi="Arial"/>
          <w:bCs/>
          <w:sz w:val="24"/>
          <w:lang w:val="en-US"/>
        </w:rPr>
        <w:t xml:space="preserve">Source: </w:t>
      </w:r>
      <w:r w:rsidRPr="00DA31D6">
        <w:rPr>
          <w:rFonts w:ascii="Arial" w:hAnsi="Arial"/>
          <w:bCs/>
          <w:sz w:val="24"/>
          <w:lang w:val="en-US"/>
        </w:rPr>
        <w:tab/>
      </w:r>
      <w:r w:rsidR="004A4802" w:rsidRPr="00DA31D6">
        <w:rPr>
          <w:rFonts w:ascii="Arial" w:hAnsi="Arial"/>
          <w:bCs/>
          <w:sz w:val="24"/>
          <w:lang w:val="en-US"/>
        </w:rPr>
        <w:t>Nokia, Nokia Shanghai Bell</w:t>
      </w:r>
    </w:p>
    <w:p w14:paraId="3A62F436" w14:textId="45E970BA" w:rsidR="00717421" w:rsidRPr="00DA31D6" w:rsidRDefault="00DB3907" w:rsidP="0E2E4A4E">
      <w:pPr>
        <w:tabs>
          <w:tab w:val="left" w:pos="1985"/>
        </w:tabs>
        <w:ind w:left="1980" w:hanging="1980"/>
        <w:rPr>
          <w:rFonts w:ascii="Arial" w:hAnsi="Arial"/>
          <w:bCs/>
          <w:sz w:val="24"/>
          <w:szCs w:val="24"/>
          <w:lang w:val="en-US"/>
        </w:rPr>
      </w:pPr>
      <w:r w:rsidRPr="00DA31D6">
        <w:rPr>
          <w:rFonts w:ascii="Arial" w:hAnsi="Arial"/>
          <w:bCs/>
          <w:sz w:val="24"/>
          <w:szCs w:val="24"/>
          <w:lang w:val="en-US"/>
        </w:rPr>
        <w:t xml:space="preserve">Title: </w:t>
      </w:r>
      <w:r w:rsidRPr="00DA31D6">
        <w:rPr>
          <w:bCs/>
        </w:rPr>
        <w:tab/>
      </w:r>
      <w:r w:rsidR="001A6EEA" w:rsidRPr="00DA31D6">
        <w:rPr>
          <w:rFonts w:ascii="Arial" w:hAnsi="Arial"/>
          <w:bCs/>
          <w:sz w:val="24"/>
          <w:szCs w:val="24"/>
          <w:lang w:val="en-US"/>
        </w:rPr>
        <w:t>Views on l</w:t>
      </w:r>
      <w:r w:rsidR="00F74253" w:rsidRPr="00DA31D6">
        <w:rPr>
          <w:rFonts w:ascii="Arial" w:hAnsi="Arial"/>
          <w:bCs/>
          <w:sz w:val="24"/>
          <w:szCs w:val="24"/>
          <w:lang w:val="en-US"/>
        </w:rPr>
        <w:t xml:space="preserve">ower MSD </w:t>
      </w:r>
      <w:r w:rsidR="000161F7" w:rsidRPr="00DA31D6">
        <w:rPr>
          <w:rFonts w:ascii="Arial" w:hAnsi="Arial"/>
          <w:bCs/>
          <w:sz w:val="24"/>
          <w:szCs w:val="24"/>
          <w:lang w:val="en-US"/>
        </w:rPr>
        <w:t>signaling</w:t>
      </w:r>
      <w:r w:rsidR="00E13ADB" w:rsidRPr="00DA31D6">
        <w:rPr>
          <w:rFonts w:ascii="Arial" w:hAnsi="Arial"/>
          <w:bCs/>
          <w:sz w:val="24"/>
          <w:szCs w:val="24"/>
          <w:lang w:val="en-US"/>
        </w:rPr>
        <w:t xml:space="preserve"> overhead</w:t>
      </w:r>
      <w:r w:rsidR="75A514FE" w:rsidRPr="00DA31D6">
        <w:rPr>
          <w:rFonts w:ascii="Arial" w:hAnsi="Arial"/>
          <w:bCs/>
          <w:sz w:val="24"/>
          <w:szCs w:val="24"/>
          <w:lang w:val="en-US"/>
        </w:rPr>
        <w:t xml:space="preserve"> </w:t>
      </w:r>
    </w:p>
    <w:p w14:paraId="013F978F" w14:textId="120767AC" w:rsidR="00DB3907" w:rsidRPr="00DA31D6" w:rsidRDefault="00DB3907" w:rsidP="00DB3907">
      <w:pPr>
        <w:tabs>
          <w:tab w:val="left" w:pos="1985"/>
        </w:tabs>
        <w:ind w:left="1980" w:hanging="1980"/>
        <w:rPr>
          <w:rFonts w:ascii="Arial" w:hAnsi="Arial"/>
          <w:bCs/>
          <w:sz w:val="24"/>
          <w:lang w:val="en-US"/>
        </w:rPr>
      </w:pPr>
      <w:r w:rsidRPr="00DA31D6">
        <w:rPr>
          <w:rFonts w:ascii="Arial" w:hAnsi="Arial"/>
          <w:bCs/>
          <w:sz w:val="24"/>
          <w:lang w:val="en-US"/>
        </w:rPr>
        <w:t>Document for:</w:t>
      </w:r>
      <w:r w:rsidR="00FF76CE" w:rsidRPr="00DA31D6">
        <w:rPr>
          <w:rFonts w:ascii="Arial" w:hAnsi="Arial"/>
          <w:bCs/>
          <w:sz w:val="24"/>
          <w:lang w:val="en-US"/>
        </w:rPr>
        <w:tab/>
      </w:r>
      <w:r w:rsidR="009D4E19" w:rsidRPr="00DA31D6">
        <w:rPr>
          <w:rFonts w:ascii="Arial" w:hAnsi="Arial"/>
          <w:bCs/>
          <w:sz w:val="24"/>
          <w:lang w:val="en-US"/>
        </w:rPr>
        <w:t>Approval</w:t>
      </w:r>
      <w:r w:rsidR="0091349A" w:rsidRPr="00DA31D6">
        <w:rPr>
          <w:rFonts w:ascii="Arial" w:hAnsi="Arial"/>
          <w:bCs/>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38F58D8A" w:rsidR="004A4802" w:rsidRDefault="00F74253" w:rsidP="000161F7">
      <w:r>
        <w:t>RAN4#</w:t>
      </w:r>
      <w:r w:rsidR="00E41A6F">
        <w:t>10</w:t>
      </w:r>
      <w:r w:rsidR="00A15D99">
        <w:t>6</w:t>
      </w:r>
      <w:r w:rsidR="001A39B1">
        <w:t>bis-e</w:t>
      </w:r>
      <w:r>
        <w:t xml:space="preserve"> </w:t>
      </w:r>
      <w:r w:rsidR="00372B91">
        <w:t>approved WF of [1]</w:t>
      </w:r>
      <w:r w:rsidR="00E3098A">
        <w:t xml:space="preserve">, where several </w:t>
      </w:r>
      <w:r w:rsidR="000421B1">
        <w:t>way forwards</w:t>
      </w:r>
      <w:r w:rsidR="00E3098A">
        <w:t xml:space="preserve"> related to </w:t>
      </w:r>
      <w:r w:rsidR="000161F7">
        <w:t>signalling</w:t>
      </w:r>
      <w:r w:rsidR="00E3098A">
        <w:t xml:space="preserve"> aspects are </w:t>
      </w:r>
      <w:r w:rsidR="00372B91">
        <w:t>captured</w:t>
      </w:r>
      <w:r w:rsidR="00E3098A">
        <w:t>.</w:t>
      </w:r>
      <w:r w:rsidR="000161F7">
        <w:t xml:space="preserve"> </w:t>
      </w:r>
      <w:r w:rsidR="001A39B1">
        <w:t xml:space="preserve">Thus far, as far as we have observed, a lack of progress on thresholds and associated parameters would come from concerns on signalling </w:t>
      </w:r>
      <w:r w:rsidR="00DA31D6">
        <w:t>overhead</w:t>
      </w:r>
      <w:r w:rsidR="001A39B1">
        <w:t>. Therefore, t</w:t>
      </w:r>
      <w:r w:rsidR="00372B91">
        <w:t xml:space="preserve">his contribution </w:t>
      </w:r>
      <w:r w:rsidR="001A39B1">
        <w:t>focuses on</w:t>
      </w:r>
      <w:r w:rsidR="00DA31D6">
        <w:t xml:space="preserve"> finding a way to mitigate </w:t>
      </w:r>
      <w:r w:rsidR="001A39B1">
        <w:t>the concerns.</w:t>
      </w:r>
      <w:r w:rsidR="00E3098A">
        <w:t xml:space="preserve"> </w:t>
      </w:r>
    </w:p>
    <w:p w14:paraId="10F6602E" w14:textId="23AB7BB1" w:rsidR="007E1E78" w:rsidRDefault="00ED3446" w:rsidP="0099327E">
      <w:pPr>
        <w:pStyle w:val="Heading1"/>
        <w:tabs>
          <w:tab w:val="clear" w:pos="432"/>
          <w:tab w:val="num" w:pos="522"/>
        </w:tabs>
        <w:ind w:left="522" w:hanging="522"/>
        <w:rPr>
          <w:lang w:val="en-US"/>
        </w:rPr>
      </w:pPr>
      <w:r>
        <w:rPr>
          <w:lang w:val="en-US"/>
        </w:rPr>
        <w:t>Discussion</w:t>
      </w:r>
    </w:p>
    <w:p w14:paraId="1B75810E" w14:textId="5CCEBD58" w:rsidR="007F6CEB" w:rsidRDefault="007F6CEB" w:rsidP="007F6CEB">
      <w:pPr>
        <w:pStyle w:val="Heading2"/>
        <w:rPr>
          <w:lang w:val="en-US"/>
        </w:rPr>
      </w:pPr>
      <w:r>
        <w:rPr>
          <w:lang w:val="en-US"/>
        </w:rPr>
        <w:t>Relation between relevant MSDs and frequency ranges</w:t>
      </w:r>
    </w:p>
    <w:p w14:paraId="722AD28B" w14:textId="7125A59B" w:rsidR="00944DEC" w:rsidRDefault="00944DEC" w:rsidP="00ED3446">
      <w:pPr>
        <w:rPr>
          <w:lang w:val="en-US"/>
        </w:rPr>
      </w:pPr>
      <w:r>
        <w:rPr>
          <w:lang w:val="en-US"/>
        </w:rPr>
        <w:t xml:space="preserve">When RAN4 discusses whether an MSD type like IMD falls into a victim band, RAN4 considers the respective bands’ entire </w:t>
      </w:r>
      <w:r w:rsidR="00DA31D6">
        <w:rPr>
          <w:lang w:val="en-US"/>
        </w:rPr>
        <w:t xml:space="preserve">UL and DL </w:t>
      </w:r>
      <w:r>
        <w:rPr>
          <w:lang w:val="en-US"/>
        </w:rPr>
        <w:t>frequency range</w:t>
      </w:r>
      <w:r w:rsidR="00DA31D6">
        <w:rPr>
          <w:lang w:val="en-US"/>
        </w:rPr>
        <w:t>(</w:t>
      </w:r>
      <w:r>
        <w:rPr>
          <w:lang w:val="en-US"/>
        </w:rPr>
        <w:t>s</w:t>
      </w:r>
      <w:r w:rsidR="00DA31D6">
        <w:rPr>
          <w:lang w:val="en-US"/>
        </w:rPr>
        <w:t>)</w:t>
      </w:r>
      <w:r>
        <w:rPr>
          <w:lang w:val="en-US"/>
        </w:rPr>
        <w:t>. More specifically, when IMD2 for CA_n3A-n77A was studied, 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was calculated assuming that 3300 </w:t>
      </w:r>
      <w:r w:rsidRPr="00944DEC">
        <w:rPr>
          <w:lang w:val="en-US"/>
        </w:rPr>
        <w:t xml:space="preserve">≤ </w:t>
      </w:r>
      <w:r>
        <w:rPr>
          <w:lang w:val="en-US"/>
        </w:rPr>
        <w:t>f</w:t>
      </w:r>
      <w:r w:rsidRPr="00944DEC">
        <w:rPr>
          <w:vertAlign w:val="subscript"/>
          <w:lang w:val="en-US"/>
        </w:rPr>
        <w:t>n77</w:t>
      </w:r>
      <w:r>
        <w:rPr>
          <w:lang w:val="en-US"/>
        </w:rPr>
        <w:t xml:space="preserve"> </w:t>
      </w:r>
      <w:r w:rsidRPr="00944DEC">
        <w:rPr>
          <w:lang w:val="en-US"/>
        </w:rPr>
        <w:t>≤</w:t>
      </w:r>
      <w:r>
        <w:rPr>
          <w:lang w:val="en-US"/>
        </w:rPr>
        <w:t xml:space="preserve"> 4200 MHz, 1710 </w:t>
      </w:r>
      <w:r w:rsidRPr="00944DEC">
        <w:rPr>
          <w:lang w:val="en-US"/>
        </w:rPr>
        <w:t xml:space="preserve">≤ </w:t>
      </w:r>
      <w:r>
        <w:rPr>
          <w:lang w:val="en-US"/>
        </w:rPr>
        <w:t>f</w:t>
      </w:r>
      <w:r w:rsidRPr="00944DEC">
        <w:rPr>
          <w:vertAlign w:val="subscript"/>
          <w:lang w:val="en-US"/>
        </w:rPr>
        <w:t>n</w:t>
      </w:r>
      <w:r>
        <w:rPr>
          <w:vertAlign w:val="subscript"/>
          <w:lang w:val="en-US"/>
        </w:rPr>
        <w:t>3</w:t>
      </w:r>
      <w:r>
        <w:rPr>
          <w:lang w:val="en-US"/>
        </w:rPr>
        <w:t>_</w:t>
      </w:r>
      <w:r>
        <w:rPr>
          <w:vertAlign w:val="subscript"/>
          <w:lang w:val="en-US"/>
        </w:rPr>
        <w:t>UL</w:t>
      </w:r>
      <w:r>
        <w:rPr>
          <w:lang w:val="en-US"/>
        </w:rPr>
        <w:t xml:space="preserve"> </w:t>
      </w:r>
      <w:r w:rsidRPr="00944DEC">
        <w:rPr>
          <w:lang w:val="en-US"/>
        </w:rPr>
        <w:t>≤</w:t>
      </w:r>
      <w:r>
        <w:rPr>
          <w:lang w:val="en-US"/>
        </w:rPr>
        <w:t xml:space="preserve"> 1785 MHz</w:t>
      </w:r>
      <w:r w:rsidR="00DA31D6">
        <w:rPr>
          <w:lang w:val="en-US"/>
        </w:rPr>
        <w:t xml:space="preserve"> as UL frequency ranges by two bands</w:t>
      </w:r>
      <w:r>
        <w:rPr>
          <w:lang w:val="en-US"/>
        </w:rPr>
        <w:t xml:space="preserve">. Accordingly, 1515 </w:t>
      </w:r>
      <w:r w:rsidRPr="00944DEC">
        <w:rPr>
          <w:lang w:val="en-US"/>
        </w:rPr>
        <w:t xml:space="preserve">≤ </w:t>
      </w:r>
      <w:r>
        <w:rPr>
          <w:lang w:val="en-US"/>
        </w:rPr>
        <w:t>f</w:t>
      </w:r>
      <w:r w:rsidRPr="00944DEC">
        <w:rPr>
          <w:vertAlign w:val="subscript"/>
          <w:lang w:val="en-US"/>
        </w:rPr>
        <w:t>n77</w:t>
      </w:r>
      <w:r>
        <w:rPr>
          <w:lang w:val="en-US"/>
        </w:rPr>
        <w:t xml:space="preserve"> – f</w:t>
      </w:r>
      <w:r w:rsidRPr="00944DEC">
        <w:rPr>
          <w:vertAlign w:val="subscript"/>
          <w:lang w:val="en-US"/>
        </w:rPr>
        <w:t>n3</w:t>
      </w:r>
      <w:r>
        <w:rPr>
          <w:lang w:val="en-US"/>
        </w:rPr>
        <w:t>_</w:t>
      </w:r>
      <w:r w:rsidRPr="00944DEC">
        <w:rPr>
          <w:vertAlign w:val="subscript"/>
          <w:lang w:val="en-US"/>
        </w:rPr>
        <w:t>UL</w:t>
      </w:r>
      <w:r>
        <w:rPr>
          <w:lang w:val="en-US"/>
        </w:rPr>
        <w:t xml:space="preserve"> </w:t>
      </w:r>
      <w:r w:rsidRPr="00944DEC">
        <w:rPr>
          <w:lang w:val="en-US"/>
        </w:rPr>
        <w:t>≤</w:t>
      </w:r>
      <w:r>
        <w:rPr>
          <w:lang w:val="en-US"/>
        </w:rPr>
        <w:t xml:space="preserve"> 2490 MHz was derived. Since the frequency range overlaps with 1805 </w:t>
      </w:r>
      <w:r w:rsidRPr="00944DEC">
        <w:rPr>
          <w:lang w:val="en-US"/>
        </w:rPr>
        <w:t xml:space="preserve">≤ </w:t>
      </w:r>
      <w:r>
        <w:rPr>
          <w:lang w:val="en-US"/>
        </w:rPr>
        <w:t>f</w:t>
      </w:r>
      <w:r w:rsidRPr="00944DEC">
        <w:rPr>
          <w:vertAlign w:val="subscript"/>
          <w:lang w:val="en-US"/>
        </w:rPr>
        <w:t>n</w:t>
      </w:r>
      <w:r>
        <w:rPr>
          <w:vertAlign w:val="subscript"/>
          <w:lang w:val="en-US"/>
        </w:rPr>
        <w:t>3</w:t>
      </w:r>
      <w:r>
        <w:rPr>
          <w:lang w:val="en-US"/>
        </w:rPr>
        <w:t>_</w:t>
      </w:r>
      <w:r>
        <w:rPr>
          <w:vertAlign w:val="subscript"/>
          <w:lang w:val="en-US"/>
        </w:rPr>
        <w:t>DL</w:t>
      </w:r>
      <w:r>
        <w:rPr>
          <w:lang w:val="en-US"/>
        </w:rPr>
        <w:t xml:space="preserve"> </w:t>
      </w:r>
      <w:r w:rsidRPr="00944DEC">
        <w:rPr>
          <w:lang w:val="en-US"/>
        </w:rPr>
        <w:t>≤</w:t>
      </w:r>
      <w:r>
        <w:rPr>
          <w:lang w:val="en-US"/>
        </w:rPr>
        <w:t xml:space="preserve"> 1880 MHz, MSD due to IMD2 was defined. </w:t>
      </w:r>
    </w:p>
    <w:p w14:paraId="5357A941" w14:textId="28F7B674" w:rsidR="00192E41" w:rsidRDefault="00192E41" w:rsidP="00ED3446">
      <w:pPr>
        <w:rPr>
          <w:lang w:val="en-US"/>
        </w:rPr>
      </w:pPr>
      <w:r>
        <w:rPr>
          <w:lang w:val="en-US"/>
        </w:rPr>
        <w:t xml:space="preserve">As some contributions have already mentioned, each operator has limited frequency range(s) per operation band, where there may be multiple frequency ranges in a band. Hence, MSD capabilities associated with MSD types and </w:t>
      </w:r>
      <w:r w:rsidR="00DA31D6">
        <w:rPr>
          <w:lang w:val="en-US"/>
        </w:rPr>
        <w:t xml:space="preserve">the associated </w:t>
      </w:r>
      <w:r>
        <w:rPr>
          <w:lang w:val="en-US"/>
        </w:rPr>
        <w:t>orders that each operator is interested in may be very limited.</w:t>
      </w:r>
    </w:p>
    <w:p w14:paraId="6592095C" w14:textId="5495ED40" w:rsidR="00192E41" w:rsidRDefault="00192E41" w:rsidP="00ED3446">
      <w:pPr>
        <w:rPr>
          <w:lang w:val="en-US"/>
        </w:rPr>
      </w:pPr>
      <w:r>
        <w:rPr>
          <w:lang w:val="en-US"/>
        </w:rPr>
        <w:t>Assume that an operator has following frequency ranges in n3 and n77.</w:t>
      </w:r>
    </w:p>
    <w:p w14:paraId="16BB8D04" w14:textId="43CAF68B" w:rsidR="00EA1EF6" w:rsidRPr="00EA1EF6" w:rsidRDefault="00EA1EF6" w:rsidP="00EA1EF6">
      <w:pPr>
        <w:jc w:val="center"/>
        <w:rPr>
          <w:rFonts w:ascii="Arial" w:hAnsi="Arial" w:cs="Arial"/>
          <w:lang w:val="en-US"/>
        </w:rPr>
      </w:pPr>
      <w:r w:rsidRPr="00ED3446">
        <w:rPr>
          <w:rFonts w:ascii="Arial" w:hAnsi="Arial" w:cs="Arial"/>
          <w:lang w:val="en-US"/>
        </w:rPr>
        <w:t xml:space="preserve">Table 1: </w:t>
      </w:r>
      <w:r>
        <w:rPr>
          <w:rFonts w:ascii="Arial" w:hAnsi="Arial" w:cs="Arial"/>
          <w:lang w:val="en-US"/>
        </w:rPr>
        <w:t>Hypothetical frequency ranges for an operator with n3 and n77</w:t>
      </w:r>
    </w:p>
    <w:tbl>
      <w:tblPr>
        <w:tblW w:w="4670" w:type="dxa"/>
        <w:jc w:val="center"/>
        <w:tblLook w:val="04A0" w:firstRow="1" w:lastRow="0" w:firstColumn="1" w:lastColumn="0" w:noHBand="0" w:noVBand="1"/>
      </w:tblPr>
      <w:tblGrid>
        <w:gridCol w:w="516"/>
        <w:gridCol w:w="1333"/>
        <w:gridCol w:w="1355"/>
        <w:gridCol w:w="1466"/>
      </w:tblGrid>
      <w:tr w:rsidR="00EA1EF6" w:rsidRPr="00ED3446" w14:paraId="132E06E2" w14:textId="77777777" w:rsidTr="00EA1EF6">
        <w:trPr>
          <w:trHeight w:val="290"/>
          <w:jc w:val="center"/>
        </w:trPr>
        <w:tc>
          <w:tcPr>
            <w:tcW w:w="516" w:type="dxa"/>
            <w:tcBorders>
              <w:top w:val="single" w:sz="4" w:space="0" w:color="auto"/>
              <w:left w:val="single" w:sz="4" w:space="0" w:color="auto"/>
              <w:bottom w:val="single" w:sz="4" w:space="0" w:color="auto"/>
              <w:right w:val="single" w:sz="4" w:space="0" w:color="auto"/>
            </w:tcBorders>
          </w:tcPr>
          <w:p w14:paraId="131504F5" w14:textId="77777777" w:rsidR="00EA1EF6" w:rsidRPr="00ED3446" w:rsidRDefault="00EA1EF6" w:rsidP="00C253E5">
            <w:pPr>
              <w:spacing w:after="0"/>
              <w:rPr>
                <w:rFonts w:eastAsia="Times New Roman"/>
                <w:color w:val="000000"/>
                <w:lang w:val="en-US" w:eastAsia="zh-CN"/>
              </w:rPr>
            </w:pP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91038" w14:textId="69132054" w:rsidR="00EA1EF6" w:rsidRPr="00ED3446" w:rsidRDefault="00EA1EF6" w:rsidP="00C253E5">
            <w:pPr>
              <w:spacing w:after="0"/>
              <w:rPr>
                <w:rFonts w:eastAsia="Times New Roman"/>
                <w:color w:val="000000"/>
                <w:lang w:val="en-US" w:eastAsia="zh-CN"/>
              </w:rPr>
            </w:pPr>
            <w:r>
              <w:rPr>
                <w:rFonts w:eastAsia="Times New Roman"/>
                <w:color w:val="000000"/>
                <w:lang w:val="en-US" w:eastAsia="zh-CN"/>
              </w:rPr>
              <w:t>UL (MHz)</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14:paraId="42400484" w14:textId="547982A6" w:rsidR="00EA1EF6" w:rsidRPr="00ED3446" w:rsidRDefault="00EA1EF6" w:rsidP="00C253E5">
            <w:pPr>
              <w:spacing w:after="0"/>
              <w:rPr>
                <w:rFonts w:eastAsia="Times New Roman"/>
                <w:color w:val="000000"/>
                <w:lang w:val="en-US" w:eastAsia="zh-CN"/>
              </w:rPr>
            </w:pPr>
            <w:r>
              <w:rPr>
                <w:rFonts w:eastAsia="Times New Roman"/>
                <w:color w:val="000000"/>
                <w:lang w:val="en-US" w:eastAsia="zh-CN"/>
              </w:rPr>
              <w:t>DL (MHz)</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14:paraId="2CFA236E" w14:textId="0F5AFD40" w:rsidR="00EA1EF6" w:rsidRPr="00ED3446" w:rsidRDefault="00EA1EF6" w:rsidP="00C253E5">
            <w:pPr>
              <w:spacing w:after="0"/>
              <w:rPr>
                <w:rFonts w:eastAsia="Times New Roman"/>
                <w:color w:val="000000"/>
                <w:lang w:val="en-US" w:eastAsia="zh-CN"/>
              </w:rPr>
            </w:pPr>
            <w:r>
              <w:rPr>
                <w:rFonts w:eastAsia="Times New Roman"/>
                <w:color w:val="000000"/>
                <w:lang w:val="en-US" w:eastAsia="zh-CN"/>
              </w:rPr>
              <w:t>Width (MHz)</w:t>
            </w:r>
          </w:p>
        </w:tc>
      </w:tr>
      <w:tr w:rsidR="00EA1EF6" w:rsidRPr="00ED3446" w14:paraId="7C90C6E8" w14:textId="77777777" w:rsidTr="00EA1EF6">
        <w:trPr>
          <w:trHeight w:val="290"/>
          <w:jc w:val="center"/>
        </w:trPr>
        <w:tc>
          <w:tcPr>
            <w:tcW w:w="516" w:type="dxa"/>
            <w:tcBorders>
              <w:top w:val="nil"/>
              <w:left w:val="single" w:sz="4" w:space="0" w:color="auto"/>
              <w:bottom w:val="single" w:sz="4" w:space="0" w:color="auto"/>
              <w:right w:val="single" w:sz="4" w:space="0" w:color="auto"/>
            </w:tcBorders>
          </w:tcPr>
          <w:p w14:paraId="4DF0CFB0" w14:textId="767F30F5" w:rsidR="00EA1EF6" w:rsidRPr="00ED3446" w:rsidRDefault="00EA1EF6" w:rsidP="00C253E5">
            <w:pPr>
              <w:spacing w:after="0"/>
              <w:rPr>
                <w:rFonts w:eastAsia="Times New Roman"/>
                <w:color w:val="000000"/>
                <w:szCs w:val="14"/>
                <w:lang w:eastAsia="zh-CN"/>
              </w:rPr>
            </w:pPr>
            <w:r>
              <w:rPr>
                <w:rFonts w:eastAsia="Times New Roman"/>
                <w:color w:val="000000"/>
                <w:szCs w:val="14"/>
                <w:lang w:eastAsia="zh-CN"/>
              </w:rPr>
              <w:t>n3</w:t>
            </w:r>
          </w:p>
        </w:tc>
        <w:tc>
          <w:tcPr>
            <w:tcW w:w="1333" w:type="dxa"/>
            <w:tcBorders>
              <w:top w:val="nil"/>
              <w:left w:val="single" w:sz="4" w:space="0" w:color="auto"/>
              <w:bottom w:val="single" w:sz="4" w:space="0" w:color="auto"/>
              <w:right w:val="single" w:sz="4" w:space="0" w:color="auto"/>
            </w:tcBorders>
            <w:shd w:val="clear" w:color="auto" w:fill="auto"/>
            <w:vAlign w:val="center"/>
            <w:hideMark/>
          </w:tcPr>
          <w:p w14:paraId="67CAD05C" w14:textId="5A5F17BB" w:rsidR="00EA1EF6" w:rsidRPr="00ED3446" w:rsidRDefault="00EA1EF6" w:rsidP="00C253E5">
            <w:pPr>
              <w:spacing w:after="0"/>
              <w:rPr>
                <w:rFonts w:eastAsia="Times New Roman"/>
                <w:color w:val="000000"/>
                <w:lang w:val="en-US" w:eastAsia="zh-CN"/>
              </w:rPr>
            </w:pPr>
            <w:r>
              <w:rPr>
                <w:rFonts w:eastAsia="Times New Roman"/>
                <w:color w:val="000000"/>
                <w:szCs w:val="14"/>
                <w:lang w:eastAsia="zh-CN"/>
              </w:rPr>
              <w:t>1710 - 1730</w:t>
            </w:r>
          </w:p>
        </w:tc>
        <w:tc>
          <w:tcPr>
            <w:tcW w:w="1355" w:type="dxa"/>
            <w:tcBorders>
              <w:top w:val="nil"/>
              <w:left w:val="nil"/>
              <w:bottom w:val="single" w:sz="4" w:space="0" w:color="auto"/>
              <w:right w:val="single" w:sz="4" w:space="0" w:color="auto"/>
            </w:tcBorders>
            <w:shd w:val="clear" w:color="auto" w:fill="auto"/>
            <w:vAlign w:val="center"/>
            <w:hideMark/>
          </w:tcPr>
          <w:p w14:paraId="6AA84577" w14:textId="57EDFD37" w:rsidR="00EA1EF6" w:rsidRPr="00ED3446" w:rsidRDefault="00EA1EF6" w:rsidP="00C253E5">
            <w:pPr>
              <w:spacing w:after="0"/>
              <w:jc w:val="center"/>
              <w:rPr>
                <w:rFonts w:eastAsia="Times New Roman"/>
                <w:color w:val="000000"/>
                <w:lang w:val="en-US" w:eastAsia="zh-CN"/>
              </w:rPr>
            </w:pPr>
            <w:r>
              <w:rPr>
                <w:rFonts w:eastAsia="Times New Roman"/>
                <w:color w:val="000000"/>
                <w:szCs w:val="14"/>
                <w:lang w:eastAsia="zh-CN"/>
              </w:rPr>
              <w:t>1805 - 1825</w:t>
            </w:r>
          </w:p>
        </w:tc>
        <w:tc>
          <w:tcPr>
            <w:tcW w:w="1466" w:type="dxa"/>
            <w:tcBorders>
              <w:top w:val="nil"/>
              <w:left w:val="nil"/>
              <w:bottom w:val="single" w:sz="4" w:space="0" w:color="auto"/>
              <w:right w:val="single" w:sz="4" w:space="0" w:color="auto"/>
            </w:tcBorders>
            <w:shd w:val="clear" w:color="auto" w:fill="auto"/>
            <w:vAlign w:val="center"/>
            <w:hideMark/>
          </w:tcPr>
          <w:p w14:paraId="547DE396" w14:textId="50F3303A" w:rsidR="00EA1EF6" w:rsidRPr="00ED3446" w:rsidRDefault="00EA1EF6" w:rsidP="00C253E5">
            <w:pPr>
              <w:spacing w:after="0"/>
              <w:jc w:val="right"/>
              <w:rPr>
                <w:rFonts w:eastAsia="Times New Roman"/>
                <w:color w:val="000000"/>
                <w:lang w:val="en-US" w:eastAsia="zh-CN"/>
              </w:rPr>
            </w:pPr>
            <w:r>
              <w:rPr>
                <w:rFonts w:eastAsia="Times New Roman"/>
                <w:color w:val="000000"/>
                <w:lang w:val="en-US" w:eastAsia="zh-CN"/>
              </w:rPr>
              <w:t>20 x 2</w:t>
            </w:r>
          </w:p>
        </w:tc>
      </w:tr>
      <w:tr w:rsidR="00EA1EF6" w:rsidRPr="00ED3446" w14:paraId="08AE495E" w14:textId="77777777" w:rsidTr="00EA1EF6">
        <w:trPr>
          <w:trHeight w:val="290"/>
          <w:jc w:val="center"/>
        </w:trPr>
        <w:tc>
          <w:tcPr>
            <w:tcW w:w="516" w:type="dxa"/>
            <w:tcBorders>
              <w:top w:val="nil"/>
              <w:left w:val="single" w:sz="4" w:space="0" w:color="auto"/>
              <w:bottom w:val="single" w:sz="4" w:space="0" w:color="auto"/>
              <w:right w:val="single" w:sz="4" w:space="0" w:color="auto"/>
            </w:tcBorders>
          </w:tcPr>
          <w:p w14:paraId="7FB844F5" w14:textId="0E879593" w:rsidR="00EA1EF6" w:rsidRPr="00ED3446" w:rsidRDefault="00EA1EF6" w:rsidP="00C253E5">
            <w:pPr>
              <w:spacing w:after="0"/>
              <w:rPr>
                <w:rFonts w:eastAsia="Times New Roman"/>
                <w:color w:val="000000"/>
                <w:szCs w:val="14"/>
                <w:lang w:eastAsia="zh-CN"/>
              </w:rPr>
            </w:pPr>
            <w:r>
              <w:rPr>
                <w:rFonts w:eastAsia="Times New Roman"/>
                <w:color w:val="000000"/>
                <w:szCs w:val="14"/>
                <w:lang w:eastAsia="zh-CN"/>
              </w:rPr>
              <w:t>n77</w:t>
            </w:r>
          </w:p>
        </w:tc>
        <w:tc>
          <w:tcPr>
            <w:tcW w:w="1333" w:type="dxa"/>
            <w:tcBorders>
              <w:top w:val="nil"/>
              <w:left w:val="single" w:sz="4" w:space="0" w:color="auto"/>
              <w:bottom w:val="single" w:sz="4" w:space="0" w:color="auto"/>
              <w:right w:val="single" w:sz="4" w:space="0" w:color="auto"/>
            </w:tcBorders>
            <w:shd w:val="clear" w:color="auto" w:fill="auto"/>
            <w:vAlign w:val="center"/>
            <w:hideMark/>
          </w:tcPr>
          <w:p w14:paraId="592BB52E" w14:textId="5C234B34" w:rsidR="00EA1EF6" w:rsidRPr="00ED3446" w:rsidRDefault="00EA1EF6" w:rsidP="00C253E5">
            <w:pPr>
              <w:spacing w:after="0"/>
              <w:rPr>
                <w:rFonts w:eastAsia="Times New Roman"/>
                <w:color w:val="000000"/>
                <w:lang w:val="en-US" w:eastAsia="zh-CN"/>
              </w:rPr>
            </w:pPr>
            <w:r>
              <w:rPr>
                <w:rFonts w:eastAsia="Times New Roman"/>
                <w:color w:val="000000"/>
                <w:szCs w:val="14"/>
                <w:lang w:eastAsia="zh-CN"/>
              </w:rPr>
              <w:t xml:space="preserve">3520 - 3560 </w:t>
            </w:r>
          </w:p>
        </w:tc>
        <w:tc>
          <w:tcPr>
            <w:tcW w:w="1355" w:type="dxa"/>
            <w:tcBorders>
              <w:top w:val="nil"/>
              <w:left w:val="nil"/>
              <w:bottom w:val="single" w:sz="4" w:space="0" w:color="auto"/>
              <w:right w:val="single" w:sz="4" w:space="0" w:color="auto"/>
            </w:tcBorders>
            <w:shd w:val="clear" w:color="auto" w:fill="auto"/>
            <w:vAlign w:val="center"/>
            <w:hideMark/>
          </w:tcPr>
          <w:p w14:paraId="7CD28C22" w14:textId="2CC48EE5" w:rsidR="00EA1EF6" w:rsidRPr="00ED3446" w:rsidRDefault="00EA1EF6" w:rsidP="00C253E5">
            <w:pPr>
              <w:spacing w:after="0"/>
              <w:jc w:val="center"/>
              <w:rPr>
                <w:rFonts w:eastAsia="Times New Roman"/>
                <w:color w:val="000000"/>
                <w:lang w:val="en-US" w:eastAsia="zh-CN"/>
              </w:rPr>
            </w:pPr>
            <w:r>
              <w:rPr>
                <w:rFonts w:eastAsia="Times New Roman"/>
                <w:color w:val="000000"/>
                <w:szCs w:val="14"/>
                <w:lang w:eastAsia="zh-CN"/>
              </w:rPr>
              <w:t>3520 - 3560</w:t>
            </w:r>
          </w:p>
        </w:tc>
        <w:tc>
          <w:tcPr>
            <w:tcW w:w="1466" w:type="dxa"/>
            <w:tcBorders>
              <w:top w:val="nil"/>
              <w:left w:val="nil"/>
              <w:bottom w:val="single" w:sz="4" w:space="0" w:color="auto"/>
              <w:right w:val="single" w:sz="4" w:space="0" w:color="auto"/>
            </w:tcBorders>
            <w:shd w:val="clear" w:color="auto" w:fill="auto"/>
            <w:vAlign w:val="center"/>
            <w:hideMark/>
          </w:tcPr>
          <w:p w14:paraId="3457002B" w14:textId="0E82F4BA" w:rsidR="00EA1EF6" w:rsidRPr="00ED3446" w:rsidRDefault="00EA1EF6" w:rsidP="00C253E5">
            <w:pPr>
              <w:spacing w:after="0"/>
              <w:jc w:val="right"/>
              <w:rPr>
                <w:rFonts w:eastAsia="Times New Roman"/>
                <w:color w:val="000000"/>
                <w:lang w:val="en-US" w:eastAsia="zh-CN"/>
              </w:rPr>
            </w:pPr>
            <w:r>
              <w:rPr>
                <w:rFonts w:eastAsia="Times New Roman"/>
                <w:color w:val="000000"/>
                <w:lang w:eastAsia="zh-CN"/>
              </w:rPr>
              <w:t>40</w:t>
            </w:r>
          </w:p>
        </w:tc>
      </w:tr>
      <w:tr w:rsidR="00EA1EF6" w:rsidRPr="00ED3446" w14:paraId="5724D5B3" w14:textId="77777777" w:rsidTr="00EA1EF6">
        <w:trPr>
          <w:trHeight w:val="290"/>
          <w:jc w:val="center"/>
        </w:trPr>
        <w:tc>
          <w:tcPr>
            <w:tcW w:w="516" w:type="dxa"/>
            <w:tcBorders>
              <w:top w:val="nil"/>
              <w:left w:val="single" w:sz="4" w:space="0" w:color="auto"/>
              <w:bottom w:val="single" w:sz="4" w:space="0" w:color="auto"/>
              <w:right w:val="single" w:sz="4" w:space="0" w:color="auto"/>
            </w:tcBorders>
          </w:tcPr>
          <w:p w14:paraId="14CDBE03" w14:textId="3D4BFD87" w:rsidR="00EA1EF6" w:rsidRPr="00ED3446" w:rsidRDefault="00EA1EF6" w:rsidP="00EA1EF6">
            <w:pPr>
              <w:spacing w:after="0"/>
              <w:rPr>
                <w:rFonts w:eastAsia="Times New Roman"/>
                <w:color w:val="000000"/>
                <w:szCs w:val="14"/>
                <w:lang w:eastAsia="zh-CN"/>
              </w:rPr>
            </w:pPr>
            <w:r>
              <w:rPr>
                <w:rFonts w:eastAsia="Times New Roman"/>
                <w:color w:val="000000"/>
                <w:szCs w:val="14"/>
                <w:lang w:eastAsia="zh-CN"/>
              </w:rPr>
              <w:t>n77</w:t>
            </w:r>
          </w:p>
        </w:tc>
        <w:tc>
          <w:tcPr>
            <w:tcW w:w="1333" w:type="dxa"/>
            <w:tcBorders>
              <w:top w:val="nil"/>
              <w:left w:val="single" w:sz="4" w:space="0" w:color="auto"/>
              <w:bottom w:val="single" w:sz="4" w:space="0" w:color="auto"/>
              <w:right w:val="single" w:sz="4" w:space="0" w:color="auto"/>
            </w:tcBorders>
            <w:shd w:val="clear" w:color="auto" w:fill="auto"/>
            <w:vAlign w:val="center"/>
            <w:hideMark/>
          </w:tcPr>
          <w:p w14:paraId="2141432A" w14:textId="5A9F8E74" w:rsidR="00EA1EF6" w:rsidRPr="00ED3446" w:rsidRDefault="00EA1EF6" w:rsidP="00EA1EF6">
            <w:pPr>
              <w:spacing w:after="0"/>
              <w:rPr>
                <w:rFonts w:eastAsia="Times New Roman"/>
                <w:color w:val="000000"/>
                <w:lang w:val="en-US" w:eastAsia="zh-CN"/>
              </w:rPr>
            </w:pPr>
            <w:r>
              <w:rPr>
                <w:rFonts w:eastAsia="Times New Roman"/>
                <w:color w:val="000000"/>
                <w:szCs w:val="14"/>
                <w:lang w:eastAsia="zh-CN"/>
              </w:rPr>
              <w:t xml:space="preserve">3700 - 3800 </w:t>
            </w:r>
          </w:p>
        </w:tc>
        <w:tc>
          <w:tcPr>
            <w:tcW w:w="1355" w:type="dxa"/>
            <w:tcBorders>
              <w:top w:val="nil"/>
              <w:left w:val="nil"/>
              <w:bottom w:val="single" w:sz="4" w:space="0" w:color="auto"/>
              <w:right w:val="single" w:sz="4" w:space="0" w:color="auto"/>
            </w:tcBorders>
            <w:shd w:val="clear" w:color="auto" w:fill="auto"/>
            <w:vAlign w:val="center"/>
            <w:hideMark/>
          </w:tcPr>
          <w:p w14:paraId="5FBA5595" w14:textId="667EA8BA" w:rsidR="00EA1EF6" w:rsidRPr="00ED3446" w:rsidRDefault="00EA1EF6" w:rsidP="00EA1EF6">
            <w:pPr>
              <w:spacing w:after="0"/>
              <w:jc w:val="center"/>
              <w:rPr>
                <w:rFonts w:eastAsia="Times New Roman"/>
                <w:color w:val="000000"/>
                <w:lang w:val="en-US" w:eastAsia="zh-CN"/>
              </w:rPr>
            </w:pPr>
            <w:r>
              <w:rPr>
                <w:rFonts w:eastAsia="Times New Roman"/>
                <w:color w:val="000000"/>
                <w:szCs w:val="14"/>
                <w:lang w:eastAsia="zh-CN"/>
              </w:rPr>
              <w:t>3700 - 3800</w:t>
            </w:r>
          </w:p>
        </w:tc>
        <w:tc>
          <w:tcPr>
            <w:tcW w:w="1466" w:type="dxa"/>
            <w:tcBorders>
              <w:top w:val="nil"/>
              <w:left w:val="nil"/>
              <w:bottom w:val="single" w:sz="4" w:space="0" w:color="auto"/>
              <w:right w:val="single" w:sz="4" w:space="0" w:color="auto"/>
            </w:tcBorders>
            <w:shd w:val="clear" w:color="auto" w:fill="auto"/>
            <w:vAlign w:val="center"/>
            <w:hideMark/>
          </w:tcPr>
          <w:p w14:paraId="0A721F3B" w14:textId="1928DA5D" w:rsidR="00EA1EF6" w:rsidRPr="00ED3446" w:rsidRDefault="00EA1EF6" w:rsidP="00EA1EF6">
            <w:pPr>
              <w:spacing w:after="0"/>
              <w:jc w:val="right"/>
              <w:rPr>
                <w:rFonts w:eastAsia="Times New Roman"/>
                <w:color w:val="000000"/>
                <w:lang w:val="en-US" w:eastAsia="zh-CN"/>
              </w:rPr>
            </w:pPr>
            <w:r>
              <w:rPr>
                <w:rFonts w:eastAsia="Times New Roman"/>
                <w:color w:val="000000"/>
                <w:szCs w:val="14"/>
                <w:lang w:eastAsia="zh-CN"/>
              </w:rPr>
              <w:t>100</w:t>
            </w:r>
          </w:p>
        </w:tc>
      </w:tr>
      <w:tr w:rsidR="00EA1EF6" w:rsidRPr="00ED3446" w14:paraId="4F30A74C" w14:textId="77777777" w:rsidTr="00EA1EF6">
        <w:trPr>
          <w:trHeight w:val="290"/>
          <w:jc w:val="center"/>
        </w:trPr>
        <w:tc>
          <w:tcPr>
            <w:tcW w:w="516" w:type="dxa"/>
            <w:tcBorders>
              <w:top w:val="nil"/>
              <w:left w:val="single" w:sz="4" w:space="0" w:color="auto"/>
              <w:bottom w:val="single" w:sz="4" w:space="0" w:color="auto"/>
              <w:right w:val="single" w:sz="4" w:space="0" w:color="auto"/>
            </w:tcBorders>
          </w:tcPr>
          <w:p w14:paraId="2BFFD16B" w14:textId="52CD4CBC" w:rsidR="00EA1EF6" w:rsidRPr="00ED3446" w:rsidRDefault="00EA1EF6" w:rsidP="00EA1EF6">
            <w:pPr>
              <w:spacing w:after="0"/>
              <w:rPr>
                <w:rFonts w:eastAsia="Times New Roman"/>
                <w:color w:val="000000"/>
                <w:lang w:val="en-US" w:eastAsia="zh-CN"/>
              </w:rPr>
            </w:pPr>
            <w:r>
              <w:rPr>
                <w:rFonts w:eastAsia="Times New Roman"/>
                <w:color w:val="000000"/>
                <w:szCs w:val="14"/>
                <w:lang w:eastAsia="zh-CN"/>
              </w:rPr>
              <w:t>n77</w:t>
            </w:r>
          </w:p>
        </w:tc>
        <w:tc>
          <w:tcPr>
            <w:tcW w:w="1333" w:type="dxa"/>
            <w:tcBorders>
              <w:top w:val="nil"/>
              <w:left w:val="single" w:sz="4" w:space="0" w:color="auto"/>
              <w:bottom w:val="single" w:sz="4" w:space="0" w:color="auto"/>
              <w:right w:val="single" w:sz="4" w:space="0" w:color="auto"/>
            </w:tcBorders>
            <w:shd w:val="clear" w:color="auto" w:fill="auto"/>
            <w:vAlign w:val="center"/>
            <w:hideMark/>
          </w:tcPr>
          <w:p w14:paraId="3B2727DE" w14:textId="51AFBA3E" w:rsidR="00EA1EF6" w:rsidRPr="00ED3446" w:rsidRDefault="00EA1EF6" w:rsidP="00EA1EF6">
            <w:pPr>
              <w:spacing w:after="0"/>
              <w:rPr>
                <w:rFonts w:eastAsia="Times New Roman"/>
                <w:color w:val="000000"/>
                <w:lang w:val="en-US" w:eastAsia="zh-CN"/>
              </w:rPr>
            </w:pPr>
            <w:r>
              <w:rPr>
                <w:rFonts w:eastAsia="Times New Roman"/>
                <w:color w:val="000000"/>
                <w:szCs w:val="14"/>
                <w:lang w:eastAsia="zh-CN"/>
              </w:rPr>
              <w:t xml:space="preserve">4000 - 4100 </w:t>
            </w:r>
          </w:p>
        </w:tc>
        <w:tc>
          <w:tcPr>
            <w:tcW w:w="1355" w:type="dxa"/>
            <w:tcBorders>
              <w:top w:val="nil"/>
              <w:left w:val="nil"/>
              <w:bottom w:val="single" w:sz="4" w:space="0" w:color="auto"/>
              <w:right w:val="single" w:sz="4" w:space="0" w:color="auto"/>
            </w:tcBorders>
            <w:shd w:val="clear" w:color="auto" w:fill="auto"/>
            <w:vAlign w:val="center"/>
            <w:hideMark/>
          </w:tcPr>
          <w:p w14:paraId="68314271" w14:textId="55E69CB6" w:rsidR="00EA1EF6" w:rsidRPr="00ED3446" w:rsidRDefault="00EA1EF6" w:rsidP="00EA1EF6">
            <w:pPr>
              <w:spacing w:after="0"/>
              <w:jc w:val="center"/>
              <w:rPr>
                <w:rFonts w:eastAsia="Times New Roman"/>
                <w:color w:val="000000"/>
                <w:lang w:val="en-US" w:eastAsia="zh-CN"/>
              </w:rPr>
            </w:pPr>
            <w:r>
              <w:rPr>
                <w:rFonts w:eastAsia="Times New Roman"/>
                <w:color w:val="000000"/>
                <w:szCs w:val="14"/>
                <w:lang w:eastAsia="zh-CN"/>
              </w:rPr>
              <w:t>4000 - 4100</w:t>
            </w:r>
          </w:p>
        </w:tc>
        <w:tc>
          <w:tcPr>
            <w:tcW w:w="1466" w:type="dxa"/>
            <w:tcBorders>
              <w:top w:val="nil"/>
              <w:left w:val="nil"/>
              <w:bottom w:val="single" w:sz="4" w:space="0" w:color="auto"/>
              <w:right w:val="single" w:sz="4" w:space="0" w:color="auto"/>
            </w:tcBorders>
            <w:shd w:val="clear" w:color="auto" w:fill="auto"/>
            <w:vAlign w:val="center"/>
            <w:hideMark/>
          </w:tcPr>
          <w:p w14:paraId="44CEDE3D" w14:textId="41849F46" w:rsidR="00EA1EF6" w:rsidRPr="00ED3446" w:rsidRDefault="00EA1EF6" w:rsidP="00EA1EF6">
            <w:pPr>
              <w:spacing w:after="0"/>
              <w:jc w:val="right"/>
              <w:rPr>
                <w:rFonts w:eastAsia="Times New Roman"/>
                <w:color w:val="000000"/>
                <w:lang w:val="en-US" w:eastAsia="zh-CN"/>
              </w:rPr>
            </w:pPr>
            <w:r>
              <w:rPr>
                <w:rFonts w:eastAsia="Times New Roman"/>
                <w:color w:val="000000"/>
                <w:szCs w:val="14"/>
                <w:lang w:eastAsia="zh-CN"/>
              </w:rPr>
              <w:t>100</w:t>
            </w:r>
          </w:p>
        </w:tc>
      </w:tr>
    </w:tbl>
    <w:p w14:paraId="47FF09F4" w14:textId="77777777" w:rsidR="00765BF3" w:rsidRDefault="00EA1EF6" w:rsidP="00EA1EF6">
      <w:pPr>
        <w:spacing w:before="120"/>
        <w:rPr>
          <w:lang w:val="en-US"/>
        </w:rPr>
      </w:pPr>
      <w:r>
        <w:rPr>
          <w:lang w:val="en-US"/>
        </w:rPr>
        <w:t xml:space="preserve">As defined in 38.101-1, CA_n3A-n77A has multiple MSD due to several MSD types and associated orders, i.e., </w:t>
      </w:r>
    </w:p>
    <w:p w14:paraId="3DECA0BF" w14:textId="5AF02DCF" w:rsidR="00E94A17" w:rsidRDefault="00EA1EF6" w:rsidP="00765BF3">
      <w:pPr>
        <w:pStyle w:val="ListParagraph"/>
        <w:numPr>
          <w:ilvl w:val="0"/>
          <w:numId w:val="42"/>
        </w:numPr>
        <w:spacing w:before="120"/>
        <w:rPr>
          <w:lang w:val="en-US"/>
        </w:rPr>
      </w:pPr>
      <w:r w:rsidRPr="00765BF3">
        <w:rPr>
          <w:lang w:val="en-US"/>
        </w:rPr>
        <w:t>2</w:t>
      </w:r>
      <w:r w:rsidRPr="00765BF3">
        <w:rPr>
          <w:vertAlign w:val="superscript"/>
          <w:lang w:val="en-US"/>
        </w:rPr>
        <w:t>nd</w:t>
      </w:r>
      <w:r w:rsidRPr="00765BF3">
        <w:rPr>
          <w:lang w:val="en-US"/>
        </w:rPr>
        <w:t xml:space="preserve"> </w:t>
      </w:r>
      <w:r w:rsidR="00DA31D6">
        <w:rPr>
          <w:lang w:val="en-US"/>
        </w:rPr>
        <w:t>order</w:t>
      </w:r>
      <w:r w:rsidRPr="00765BF3">
        <w:rPr>
          <w:lang w:val="en-US"/>
        </w:rPr>
        <w:t xml:space="preserve"> harmonic</w:t>
      </w:r>
      <w:r w:rsidR="00E94A17">
        <w:rPr>
          <w:lang w:val="en-US"/>
        </w:rPr>
        <w:t>:</w:t>
      </w:r>
    </w:p>
    <w:p w14:paraId="08A311E0" w14:textId="0831E1C0" w:rsidR="00765BF3" w:rsidRPr="00E94A17" w:rsidRDefault="00EA1EF6" w:rsidP="003D0906">
      <w:pPr>
        <w:pStyle w:val="ListParagraph"/>
        <w:numPr>
          <w:ilvl w:val="0"/>
          <w:numId w:val="42"/>
        </w:numPr>
        <w:spacing w:before="120"/>
        <w:rPr>
          <w:lang w:val="en-US"/>
        </w:rPr>
      </w:pPr>
      <w:r w:rsidRPr="00E94A17">
        <w:rPr>
          <w:lang w:val="en-US"/>
        </w:rPr>
        <w:t>IMD2</w:t>
      </w:r>
      <w:r w:rsidR="00E94A17" w:rsidRPr="00E94A17">
        <w:rPr>
          <w:lang w:val="en-US"/>
        </w:rPr>
        <w:t>, IMD4 and IMD7</w:t>
      </w:r>
    </w:p>
    <w:p w14:paraId="794BD10D" w14:textId="7CAE3373" w:rsidR="005E71E9" w:rsidRPr="00765BF3" w:rsidRDefault="00765BF3" w:rsidP="00765BF3">
      <w:pPr>
        <w:pStyle w:val="ListParagraph"/>
        <w:numPr>
          <w:ilvl w:val="0"/>
          <w:numId w:val="42"/>
        </w:numPr>
        <w:spacing w:before="120"/>
        <w:rPr>
          <w:lang w:val="en-US"/>
        </w:rPr>
      </w:pPr>
      <w:r>
        <w:rPr>
          <w:lang w:val="en-US"/>
        </w:rPr>
        <w:t>H</w:t>
      </w:r>
      <w:r w:rsidR="00EA1EF6" w:rsidRPr="00765BF3">
        <w:rPr>
          <w:lang w:val="en-US"/>
        </w:rPr>
        <w:t>armonic mixing (UL1/DL2)</w:t>
      </w:r>
      <w:r w:rsidR="005E71E9" w:rsidRPr="00765BF3">
        <w:rPr>
          <w:lang w:val="en-US"/>
        </w:rPr>
        <w:t xml:space="preserve"> </w:t>
      </w:r>
    </w:p>
    <w:p w14:paraId="532FB499" w14:textId="2A7FC8BE" w:rsidR="00192E41" w:rsidRDefault="005E71E9" w:rsidP="00EA1EF6">
      <w:pPr>
        <w:spacing w:before="120"/>
        <w:rPr>
          <w:lang w:val="en-US"/>
        </w:rPr>
      </w:pPr>
      <w:r>
        <w:rPr>
          <w:lang w:val="en-US"/>
        </w:rPr>
        <w:t xml:space="preserve">Though we omitted details on calculation, </w:t>
      </w:r>
      <w:r w:rsidR="00507838">
        <w:rPr>
          <w:lang w:val="en-US"/>
        </w:rPr>
        <w:t xml:space="preserve">both </w:t>
      </w:r>
      <w:r>
        <w:rPr>
          <w:lang w:val="en-US"/>
        </w:rPr>
        <w:t>IMD7 (5*f</w:t>
      </w:r>
      <w:r w:rsidRPr="00944DEC">
        <w:rPr>
          <w:vertAlign w:val="subscript"/>
          <w:lang w:val="en-US"/>
        </w:rPr>
        <w:t>n3</w:t>
      </w:r>
      <w:r>
        <w:rPr>
          <w:lang w:val="en-US"/>
        </w:rPr>
        <w:t>_</w:t>
      </w:r>
      <w:r w:rsidRPr="00944DEC">
        <w:rPr>
          <w:vertAlign w:val="subscript"/>
          <w:lang w:val="en-US"/>
        </w:rPr>
        <w:t>UL</w:t>
      </w:r>
      <w:r>
        <w:rPr>
          <w:lang w:val="en-US"/>
        </w:rPr>
        <w:t xml:space="preserve"> – 2*f</w:t>
      </w:r>
      <w:r w:rsidRPr="00944DEC">
        <w:rPr>
          <w:vertAlign w:val="subscript"/>
          <w:lang w:val="en-US"/>
        </w:rPr>
        <w:t>n77</w:t>
      </w:r>
      <w:r>
        <w:rPr>
          <w:lang w:val="en-US"/>
        </w:rPr>
        <w:t xml:space="preserve">) and harmonic mixing (UL1/DL2) don’t hit n3 DL if the calculation is conducted with frequency ranges in Table 1. </w:t>
      </w:r>
    </w:p>
    <w:p w14:paraId="4C786703" w14:textId="08FEE108" w:rsidR="00D31EF5" w:rsidRDefault="005E71E9" w:rsidP="00D31EF5">
      <w:pPr>
        <w:rPr>
          <w:lang w:val="en-US"/>
        </w:rPr>
      </w:pPr>
      <w:r>
        <w:rPr>
          <w:lang w:val="en-US"/>
        </w:rPr>
        <w:t>For 2</w:t>
      </w:r>
      <w:r w:rsidRPr="005E71E9">
        <w:rPr>
          <w:vertAlign w:val="superscript"/>
          <w:lang w:val="en-US"/>
        </w:rPr>
        <w:t>nd</w:t>
      </w:r>
      <w:r>
        <w:rPr>
          <w:lang w:val="en-US"/>
        </w:rPr>
        <w:t xml:space="preserve"> </w:t>
      </w:r>
      <w:r w:rsidR="00507838">
        <w:rPr>
          <w:lang w:val="en-US"/>
        </w:rPr>
        <w:t>order</w:t>
      </w:r>
      <w:r>
        <w:rPr>
          <w:lang w:val="en-US"/>
        </w:rPr>
        <w:t xml:space="preserve"> harmonic and IMD2 and IMD4</w:t>
      </w:r>
      <w:r w:rsidR="00765BF3">
        <w:rPr>
          <w:lang w:val="en-US"/>
        </w:rPr>
        <w:t>, according to Figure 1, only IMD2 hits n3 DL. The frequency region to cause IMD2 is enclosed in red lines. It’s noted that 4100 – 4200 MHz is clearly irrelevant so that the range is omitted from the Figure 1.</w:t>
      </w:r>
      <w:r w:rsidR="00D31EF5">
        <w:rPr>
          <w:lang w:val="en-US"/>
        </w:rPr>
        <w:t xml:space="preserve"> Hence, in the example with Table 1, </w:t>
      </w:r>
      <w:r w:rsidR="00507838">
        <w:rPr>
          <w:lang w:val="en-US"/>
        </w:rPr>
        <w:t xml:space="preserve">MSD values and associated information that the network operated by the operator is interested in </w:t>
      </w:r>
      <w:r w:rsidR="00D31EF5">
        <w:rPr>
          <w:lang w:val="en-US"/>
        </w:rPr>
        <w:t xml:space="preserve">is </w:t>
      </w:r>
      <w:r w:rsidR="00507838">
        <w:rPr>
          <w:lang w:val="en-US"/>
        </w:rPr>
        <w:t>only a</w:t>
      </w:r>
      <w:r w:rsidR="00E94A17">
        <w:rPr>
          <w:lang w:val="en-US"/>
        </w:rPr>
        <w:t xml:space="preserve"> </w:t>
      </w:r>
      <w:r w:rsidR="00D31EF5">
        <w:rPr>
          <w:lang w:val="en-US"/>
        </w:rPr>
        <w:t>lower MSD capability for IMD2 among five MSDs for CA-n3A-n78</w:t>
      </w:r>
      <w:r w:rsidR="00507838">
        <w:rPr>
          <w:lang w:val="en-US"/>
        </w:rPr>
        <w:t xml:space="preserve"> per power class, i.e., four MSD capabilities and associated information are reduced. Given that lower MSD capabilities are reported per power class, </w:t>
      </w:r>
      <w:r w:rsidR="00E94A17">
        <w:rPr>
          <w:lang w:val="en-US"/>
        </w:rPr>
        <w:t>the effect of this will</w:t>
      </w:r>
      <w:r w:rsidR="00507838">
        <w:rPr>
          <w:lang w:val="en-US"/>
        </w:rPr>
        <w:t xml:space="preserve"> become close to </w:t>
      </w:r>
      <w:r w:rsidR="00E94A17">
        <w:rPr>
          <w:lang w:val="en-US"/>
        </w:rPr>
        <w:t xml:space="preserve">increase </w:t>
      </w:r>
      <w:r w:rsidR="00507838">
        <w:rPr>
          <w:lang w:val="en-US"/>
        </w:rPr>
        <w:t>and close to double for PC2 or triple for PC1.5.</w:t>
      </w:r>
      <w:r w:rsidR="00E94A17">
        <w:rPr>
          <w:lang w:val="en-US"/>
        </w:rPr>
        <w:t xml:space="preserve"> </w:t>
      </w:r>
    </w:p>
    <w:p w14:paraId="3505D66B" w14:textId="4214A965" w:rsidR="00765BF3" w:rsidRDefault="00765BF3" w:rsidP="00ED3446">
      <w:pPr>
        <w:rPr>
          <w:lang w:val="en-US"/>
        </w:rPr>
      </w:pPr>
    </w:p>
    <w:p w14:paraId="457617EC" w14:textId="2650DDD5" w:rsidR="00192E41" w:rsidRDefault="00765BF3" w:rsidP="00765BF3">
      <w:pPr>
        <w:jc w:val="center"/>
        <w:rPr>
          <w:lang w:val="en-US"/>
        </w:rPr>
      </w:pPr>
      <w:r>
        <w:rPr>
          <w:noProof/>
          <w:lang w:val="en-US"/>
        </w:rPr>
        <w:lastRenderedPageBreak/>
        <w:drawing>
          <wp:inline distT="0" distB="0" distL="0" distR="0" wp14:anchorId="6871339B" wp14:editId="6CDE77D5">
            <wp:extent cx="4948750" cy="1499372"/>
            <wp:effectExtent l="19050" t="19050" r="23495" b="247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4774" cy="1507257"/>
                    </a:xfrm>
                    <a:prstGeom prst="rect">
                      <a:avLst/>
                    </a:prstGeom>
                    <a:ln>
                      <a:solidFill>
                        <a:schemeClr val="tx1"/>
                      </a:solidFill>
                    </a:ln>
                  </pic:spPr>
                </pic:pic>
              </a:graphicData>
            </a:graphic>
          </wp:inline>
        </w:drawing>
      </w:r>
    </w:p>
    <w:p w14:paraId="4AF28F61" w14:textId="2801BBFB" w:rsidR="00765BF3" w:rsidRPr="00EA1EF6" w:rsidRDefault="00765BF3" w:rsidP="00765BF3">
      <w:pPr>
        <w:jc w:val="center"/>
        <w:rPr>
          <w:rFonts w:ascii="Arial" w:hAnsi="Arial" w:cs="Arial"/>
          <w:lang w:val="en-US"/>
        </w:rPr>
      </w:pPr>
      <w:r>
        <w:rPr>
          <w:rFonts w:ascii="Arial" w:hAnsi="Arial" w:cs="Arial"/>
          <w:lang w:val="en-US"/>
        </w:rPr>
        <w:t>Figure 1</w:t>
      </w:r>
      <w:r w:rsidRPr="00ED3446">
        <w:rPr>
          <w:rFonts w:ascii="Arial" w:hAnsi="Arial" w:cs="Arial"/>
          <w:lang w:val="en-US"/>
        </w:rPr>
        <w:t xml:space="preserve">: </w:t>
      </w:r>
      <w:r>
        <w:rPr>
          <w:rFonts w:ascii="Arial" w:hAnsi="Arial" w:cs="Arial"/>
          <w:lang w:val="en-US"/>
        </w:rPr>
        <w:t>Rough sketch of MSD regions for specific frequency ranges</w:t>
      </w:r>
    </w:p>
    <w:p w14:paraId="28FD531B" w14:textId="42D5DCEC" w:rsidR="00D31EF5" w:rsidRDefault="007F6CEB" w:rsidP="00ED3446">
      <w:pPr>
        <w:rPr>
          <w:lang w:val="en-US"/>
        </w:rPr>
      </w:pPr>
      <w:r w:rsidRPr="007F6CEB">
        <w:rPr>
          <w:b/>
          <w:bCs/>
          <w:lang w:val="en-US"/>
        </w:rPr>
        <w:t>Observation 1</w:t>
      </w:r>
      <w:r>
        <w:rPr>
          <w:lang w:val="en-US"/>
        </w:rPr>
        <w:t>: I</w:t>
      </w:r>
      <w:r w:rsidR="00765BF3">
        <w:rPr>
          <w:lang w:val="en-US"/>
        </w:rPr>
        <w:t>f frequency range</w:t>
      </w:r>
      <w:r w:rsidR="00507838">
        <w:rPr>
          <w:lang w:val="en-US"/>
        </w:rPr>
        <w:t>s</w:t>
      </w:r>
      <w:r w:rsidR="00765BF3">
        <w:rPr>
          <w:lang w:val="en-US"/>
        </w:rPr>
        <w:t xml:space="preserve"> </w:t>
      </w:r>
      <w:r>
        <w:rPr>
          <w:lang w:val="en-US"/>
        </w:rPr>
        <w:t xml:space="preserve">available per band under a network </w:t>
      </w:r>
      <w:r w:rsidR="00765BF3">
        <w:rPr>
          <w:lang w:val="en-US"/>
        </w:rPr>
        <w:t xml:space="preserve">are </w:t>
      </w:r>
      <w:proofErr w:type="gramStart"/>
      <w:r w:rsidR="00765BF3">
        <w:rPr>
          <w:lang w:val="en-US"/>
        </w:rPr>
        <w:t>taken into account</w:t>
      </w:r>
      <w:proofErr w:type="gramEnd"/>
      <w:r>
        <w:rPr>
          <w:lang w:val="en-US"/>
        </w:rPr>
        <w:t xml:space="preserve"> by a UE, the UE can report lower MSD capabilities</w:t>
      </w:r>
      <w:r w:rsidR="00507838">
        <w:rPr>
          <w:lang w:val="en-US"/>
        </w:rPr>
        <w:t xml:space="preserve"> and associated information</w:t>
      </w:r>
      <w:r>
        <w:rPr>
          <w:lang w:val="en-US"/>
        </w:rPr>
        <w:t xml:space="preserve"> only relevant to the network. </w:t>
      </w:r>
      <w:r w:rsidR="00A64B56">
        <w:rPr>
          <w:lang w:val="en-US"/>
        </w:rPr>
        <w:t xml:space="preserve">This would significantly reduce the number of lower MSD capabilities to be reported. </w:t>
      </w:r>
      <w:r w:rsidR="00E94A17">
        <w:rPr>
          <w:lang w:val="en-US"/>
        </w:rPr>
        <w:t>The effect will even increase if lower MSD capabilities are signaled per power class.</w:t>
      </w:r>
    </w:p>
    <w:p w14:paraId="02D2DA50" w14:textId="3E24E80E" w:rsidR="00502381" w:rsidRDefault="007F6CEB" w:rsidP="00502381">
      <w:pPr>
        <w:pStyle w:val="Heading2"/>
        <w:rPr>
          <w:lang w:val="en-US"/>
        </w:rPr>
      </w:pPr>
      <w:r>
        <w:rPr>
          <w:lang w:val="en-US" w:eastAsia="ja-JP"/>
        </w:rPr>
        <w:t xml:space="preserve">UL harmonic </w:t>
      </w:r>
      <w:r w:rsidR="00507838">
        <w:rPr>
          <w:lang w:val="en-US" w:eastAsia="ja-JP"/>
        </w:rPr>
        <w:t>and harmonic mixing order</w:t>
      </w:r>
    </w:p>
    <w:p w14:paraId="7EF45893" w14:textId="49D4C906" w:rsidR="00ED3446" w:rsidRDefault="00C66B9C" w:rsidP="00502381">
      <w:pPr>
        <w:rPr>
          <w:lang w:val="en-US"/>
        </w:rPr>
      </w:pPr>
      <w:r>
        <w:rPr>
          <w:lang w:val="en-US"/>
        </w:rPr>
        <w:t>We have showed concern on not reporting UL harmonic order in a few meetings. The reason is that if a network just receives a lower MSD capability for e.g., UL harmonics</w:t>
      </w:r>
      <w:r w:rsidR="008368A1">
        <w:rPr>
          <w:lang w:val="en-US"/>
        </w:rPr>
        <w:t xml:space="preserve"> without any its order information</w:t>
      </w:r>
      <w:r>
        <w:rPr>
          <w:lang w:val="en-US"/>
        </w:rPr>
        <w:t xml:space="preserve"> for CA_n5-n77, the network has no idea on the reported value is for 4</w:t>
      </w:r>
      <w:r w:rsidRPr="00C66B9C">
        <w:rPr>
          <w:vertAlign w:val="superscript"/>
          <w:lang w:val="en-US"/>
        </w:rPr>
        <w:t>th</w:t>
      </w:r>
      <w:r>
        <w:rPr>
          <w:lang w:val="en-US"/>
        </w:rPr>
        <w:t xml:space="preserve"> harmonic or 5</w:t>
      </w:r>
      <w:r w:rsidRPr="00C66B9C">
        <w:rPr>
          <w:vertAlign w:val="superscript"/>
          <w:lang w:val="en-US"/>
        </w:rPr>
        <w:t>th</w:t>
      </w:r>
      <w:r>
        <w:rPr>
          <w:lang w:val="en-US"/>
        </w:rPr>
        <w:t xml:space="preserve"> harmonic.</w:t>
      </w:r>
      <w:r w:rsidR="00884D05">
        <w:rPr>
          <w:lang w:val="en-US"/>
        </w:rPr>
        <w:t xml:space="preserve"> If a network knows the lower MSD capability is about 4</w:t>
      </w:r>
      <w:r w:rsidR="00884D05" w:rsidRPr="00884D05">
        <w:rPr>
          <w:vertAlign w:val="superscript"/>
          <w:lang w:val="en-US"/>
        </w:rPr>
        <w:t>th</w:t>
      </w:r>
      <w:r w:rsidR="00884D05">
        <w:rPr>
          <w:lang w:val="en-US"/>
        </w:rPr>
        <w:t xml:space="preserve"> harmonic, the network may schedule n5 UL and n77 DL frequency resources even if 4</w:t>
      </w:r>
      <w:r w:rsidR="00884D05" w:rsidRPr="00884D05">
        <w:rPr>
          <w:vertAlign w:val="superscript"/>
          <w:lang w:val="en-US"/>
        </w:rPr>
        <w:t>th</w:t>
      </w:r>
      <w:r w:rsidR="00884D05">
        <w:rPr>
          <w:lang w:val="en-US"/>
        </w:rPr>
        <w:t xml:space="preserve"> harmonic of n5 frequency resources hits the n77 DL frequency resources and may refrain from doing a similar action for 5</w:t>
      </w:r>
      <w:r w:rsidR="00884D05" w:rsidRPr="00884D05">
        <w:rPr>
          <w:vertAlign w:val="superscript"/>
          <w:lang w:val="en-US"/>
        </w:rPr>
        <w:t>th</w:t>
      </w:r>
      <w:r w:rsidR="00884D05">
        <w:rPr>
          <w:lang w:val="en-US"/>
        </w:rPr>
        <w:t xml:space="preserve"> harmonic. But if the network doesn’t know for which order UL harmonic the MSD means, the </w:t>
      </w:r>
      <w:proofErr w:type="gramStart"/>
      <w:r w:rsidR="00884D05">
        <w:rPr>
          <w:lang w:val="en-US"/>
        </w:rPr>
        <w:t>aforementioned action</w:t>
      </w:r>
      <w:proofErr w:type="gramEnd"/>
      <w:r w:rsidR="00884D05">
        <w:rPr>
          <w:lang w:val="en-US"/>
        </w:rPr>
        <w:t xml:space="preserve"> may not be taken at all. For the UL harmonic, it would be true that it would be less likely that the same operator suffers from 4</w:t>
      </w:r>
      <w:r w:rsidR="00884D05" w:rsidRPr="00884D05">
        <w:rPr>
          <w:vertAlign w:val="superscript"/>
          <w:lang w:val="en-US"/>
        </w:rPr>
        <w:t>th</w:t>
      </w:r>
      <w:r w:rsidR="00884D05">
        <w:rPr>
          <w:lang w:val="en-US"/>
        </w:rPr>
        <w:t xml:space="preserve"> and 5</w:t>
      </w:r>
      <w:r w:rsidR="00884D05" w:rsidRPr="00884D05">
        <w:rPr>
          <w:vertAlign w:val="superscript"/>
          <w:lang w:val="en-US"/>
        </w:rPr>
        <w:t>th</w:t>
      </w:r>
      <w:r w:rsidR="00884D05">
        <w:rPr>
          <w:lang w:val="en-US"/>
        </w:rPr>
        <w:t xml:space="preserve"> UL harmonic, but still if </w:t>
      </w:r>
      <w:r w:rsidR="008368A1">
        <w:rPr>
          <w:lang w:val="en-US"/>
        </w:rPr>
        <w:t xml:space="preserve">MSD </w:t>
      </w:r>
      <w:r w:rsidR="00884D05">
        <w:rPr>
          <w:lang w:val="en-US"/>
        </w:rPr>
        <w:t>information is sent, the information shall be useful</w:t>
      </w:r>
      <w:r w:rsidR="008368A1">
        <w:rPr>
          <w:lang w:val="en-US"/>
        </w:rPr>
        <w:t xml:space="preserve"> by a network</w:t>
      </w:r>
      <w:r w:rsidR="00884D05">
        <w:rPr>
          <w:lang w:val="en-US"/>
        </w:rPr>
        <w:t>.</w:t>
      </w:r>
    </w:p>
    <w:p w14:paraId="0AEE180A" w14:textId="6ADABD98" w:rsidR="00884D05" w:rsidRDefault="00884D05" w:rsidP="00502381">
      <w:pPr>
        <w:rPr>
          <w:lang w:val="en-US"/>
        </w:rPr>
      </w:pPr>
      <w:r w:rsidRPr="007F6CEB">
        <w:rPr>
          <w:b/>
          <w:bCs/>
          <w:lang w:val="en-US"/>
        </w:rPr>
        <w:t xml:space="preserve">Observation </w:t>
      </w:r>
      <w:r>
        <w:rPr>
          <w:b/>
          <w:bCs/>
          <w:lang w:val="en-US"/>
        </w:rPr>
        <w:t>2</w:t>
      </w:r>
      <w:r>
        <w:rPr>
          <w:lang w:val="en-US"/>
        </w:rPr>
        <w:t>: For 4</w:t>
      </w:r>
      <w:r w:rsidRPr="00884D05">
        <w:rPr>
          <w:vertAlign w:val="superscript"/>
          <w:lang w:val="en-US"/>
        </w:rPr>
        <w:t>th</w:t>
      </w:r>
      <w:r>
        <w:rPr>
          <w:lang w:val="en-US"/>
        </w:rPr>
        <w:t xml:space="preserve"> and 5</w:t>
      </w:r>
      <w:r w:rsidRPr="00884D05">
        <w:rPr>
          <w:vertAlign w:val="superscript"/>
          <w:lang w:val="en-US"/>
        </w:rPr>
        <w:t>th</w:t>
      </w:r>
      <w:r>
        <w:rPr>
          <w:lang w:val="en-US"/>
        </w:rPr>
        <w:t xml:space="preserve"> harmonic for CA_n5-n77, without the information of the order, network cannot take a suitable measure.</w:t>
      </w:r>
    </w:p>
    <w:p w14:paraId="61E82C57" w14:textId="77777777" w:rsidR="00884D05" w:rsidRDefault="00884D05" w:rsidP="00884D05">
      <w:pPr>
        <w:pStyle w:val="ListParagraph"/>
        <w:numPr>
          <w:ilvl w:val="0"/>
          <w:numId w:val="42"/>
        </w:numPr>
        <w:rPr>
          <w:lang w:val="en-US"/>
        </w:rPr>
      </w:pPr>
      <w:r>
        <w:rPr>
          <w:lang w:val="en-US"/>
        </w:rPr>
        <w:t>If a network knows the lower MSD capability is about 4</w:t>
      </w:r>
      <w:r w:rsidRPr="00884D05">
        <w:rPr>
          <w:vertAlign w:val="superscript"/>
          <w:lang w:val="en-US"/>
        </w:rPr>
        <w:t>th</w:t>
      </w:r>
      <w:r>
        <w:rPr>
          <w:lang w:val="en-US"/>
        </w:rPr>
        <w:t xml:space="preserve"> harmonic, the network may schedule n5 UL and n77 DL frequency resources even if 4</w:t>
      </w:r>
      <w:r w:rsidRPr="00884D05">
        <w:rPr>
          <w:vertAlign w:val="superscript"/>
          <w:lang w:val="en-US"/>
        </w:rPr>
        <w:t>th</w:t>
      </w:r>
      <w:r>
        <w:rPr>
          <w:lang w:val="en-US"/>
        </w:rPr>
        <w:t xml:space="preserve"> harmonic of n5 frequency resources hits the n77 DL frequency resources and may refrain from doing a similar action for 5</w:t>
      </w:r>
      <w:r w:rsidRPr="00884D05">
        <w:rPr>
          <w:vertAlign w:val="superscript"/>
          <w:lang w:val="en-US"/>
        </w:rPr>
        <w:t>th</w:t>
      </w:r>
      <w:r>
        <w:rPr>
          <w:lang w:val="en-US"/>
        </w:rPr>
        <w:t xml:space="preserve"> harmonic</w:t>
      </w:r>
    </w:p>
    <w:p w14:paraId="1E2AC526" w14:textId="5523C6AB" w:rsidR="00B87BDE" w:rsidRDefault="00884D05" w:rsidP="00884D05">
      <w:pPr>
        <w:rPr>
          <w:lang w:val="en-US"/>
        </w:rPr>
      </w:pPr>
      <w:r>
        <w:rPr>
          <w:lang w:val="en-US"/>
        </w:rPr>
        <w:t xml:space="preserve">One possible way is RAN4 sets </w:t>
      </w:r>
      <w:r w:rsidR="00D31EF5">
        <w:rPr>
          <w:lang w:val="en-US"/>
        </w:rPr>
        <w:t>a</w:t>
      </w:r>
      <w:r>
        <w:rPr>
          <w:lang w:val="en-US"/>
        </w:rPr>
        <w:t xml:space="preserve"> rule that in case multiple UL harmonics </w:t>
      </w:r>
      <w:r w:rsidR="00B87BDE">
        <w:rPr>
          <w:lang w:val="en-US"/>
        </w:rPr>
        <w:t xml:space="preserve">are defined for a CA configuration, lower MSD capability applies all UL harmonic orders, though this is not preferred way since this is implicit unless networks know the special rule. Or as elaborated in Section 2.1, if </w:t>
      </w:r>
      <w:proofErr w:type="spellStart"/>
      <w:r w:rsidR="00B87BDE">
        <w:rPr>
          <w:lang w:val="en-US"/>
        </w:rPr>
        <w:t>filterization</w:t>
      </w:r>
      <w:proofErr w:type="spellEnd"/>
      <w:r w:rsidR="00B87BDE">
        <w:rPr>
          <w:lang w:val="en-US"/>
        </w:rPr>
        <w:t xml:space="preserve"> is conducted via </w:t>
      </w:r>
      <w:proofErr w:type="gramStart"/>
      <w:r w:rsidR="00B87BDE">
        <w:rPr>
          <w:lang w:val="en-US"/>
        </w:rPr>
        <w:t>actually available</w:t>
      </w:r>
      <w:proofErr w:type="gramEnd"/>
      <w:r w:rsidR="00B87BDE">
        <w:rPr>
          <w:lang w:val="en-US"/>
        </w:rPr>
        <w:t xml:space="preserve"> frequency ranges per band under a network, in most of the cases, the ambiguity can be resolved</w:t>
      </w:r>
      <w:r w:rsidR="00056043">
        <w:rPr>
          <w:lang w:val="en-US"/>
        </w:rPr>
        <w:t xml:space="preserve">. Assume that an operator holds the entire n5 spectrum whose UL is 824 – 849 </w:t>
      </w:r>
      <w:proofErr w:type="spellStart"/>
      <w:r w:rsidR="00056043">
        <w:rPr>
          <w:lang w:val="en-US"/>
        </w:rPr>
        <w:t>MHz.</w:t>
      </w:r>
      <w:proofErr w:type="spellEnd"/>
      <w:r w:rsidR="00056043">
        <w:rPr>
          <w:lang w:val="en-US"/>
        </w:rPr>
        <w:t xml:space="preserve"> The 4</w:t>
      </w:r>
      <w:r w:rsidR="00056043" w:rsidRPr="00056043">
        <w:rPr>
          <w:vertAlign w:val="superscript"/>
          <w:lang w:val="en-US"/>
        </w:rPr>
        <w:t>th</w:t>
      </w:r>
      <w:r w:rsidR="00056043">
        <w:rPr>
          <w:lang w:val="en-US"/>
        </w:rPr>
        <w:t xml:space="preserve"> and 5</w:t>
      </w:r>
      <w:r w:rsidR="00056043" w:rsidRPr="00056043">
        <w:rPr>
          <w:vertAlign w:val="superscript"/>
          <w:lang w:val="en-US"/>
        </w:rPr>
        <w:t>th</w:t>
      </w:r>
      <w:r w:rsidR="00056043">
        <w:rPr>
          <w:lang w:val="en-US"/>
        </w:rPr>
        <w:t xml:space="preserve"> harmonics are as follows.</w:t>
      </w:r>
    </w:p>
    <w:p w14:paraId="5F953D86" w14:textId="4B445145" w:rsidR="00056043" w:rsidRDefault="00056043" w:rsidP="00056043">
      <w:pPr>
        <w:pStyle w:val="ListParagraph"/>
        <w:numPr>
          <w:ilvl w:val="0"/>
          <w:numId w:val="42"/>
        </w:numPr>
        <w:rPr>
          <w:lang w:val="en-US"/>
        </w:rPr>
      </w:pPr>
      <w:r>
        <w:rPr>
          <w:lang w:val="en-US"/>
        </w:rPr>
        <w:t>4</w:t>
      </w:r>
      <w:proofErr w:type="gramStart"/>
      <w:r w:rsidRPr="00056043">
        <w:rPr>
          <w:vertAlign w:val="superscript"/>
          <w:lang w:val="en-US"/>
        </w:rPr>
        <w:t>th</w:t>
      </w:r>
      <w:r>
        <w:rPr>
          <w:lang w:val="en-US"/>
        </w:rPr>
        <w:t xml:space="preserve"> :</w:t>
      </w:r>
      <w:proofErr w:type="gramEnd"/>
      <w:r>
        <w:rPr>
          <w:lang w:val="en-US"/>
        </w:rPr>
        <w:t xml:space="preserve"> 3300 - 3396 MHz</w:t>
      </w:r>
    </w:p>
    <w:p w14:paraId="1489347C" w14:textId="40DCF880" w:rsidR="00056043" w:rsidRPr="00056043" w:rsidRDefault="00056043" w:rsidP="00056043">
      <w:pPr>
        <w:pStyle w:val="ListParagraph"/>
        <w:numPr>
          <w:ilvl w:val="0"/>
          <w:numId w:val="42"/>
        </w:numPr>
        <w:rPr>
          <w:lang w:val="en-US"/>
        </w:rPr>
      </w:pPr>
      <w:r>
        <w:rPr>
          <w:lang w:val="en-US"/>
        </w:rPr>
        <w:t>5</w:t>
      </w:r>
      <w:r w:rsidRPr="00056043">
        <w:rPr>
          <w:vertAlign w:val="superscript"/>
          <w:lang w:val="en-US"/>
        </w:rPr>
        <w:t>th</w:t>
      </w:r>
      <w:r>
        <w:rPr>
          <w:lang w:val="en-US"/>
        </w:rPr>
        <w:t>:  4120 - 4200 MHz</w:t>
      </w:r>
    </w:p>
    <w:p w14:paraId="0AB32935" w14:textId="221297D1" w:rsidR="00B87BDE" w:rsidRPr="00884D05" w:rsidRDefault="00056043" w:rsidP="00884D05">
      <w:pPr>
        <w:rPr>
          <w:lang w:val="en-US"/>
        </w:rPr>
      </w:pPr>
      <w:r>
        <w:rPr>
          <w:lang w:val="en-US"/>
        </w:rPr>
        <w:t xml:space="preserve">It is possible for an operator to have such frequency ranges or parts of the frequency ranges, but it may be rare </w:t>
      </w:r>
      <w:r w:rsidR="00D31EF5">
        <w:rPr>
          <w:lang w:val="en-US"/>
        </w:rPr>
        <w:t xml:space="preserve">to see this situation </w:t>
      </w:r>
      <w:r>
        <w:rPr>
          <w:lang w:val="en-US"/>
        </w:rPr>
        <w:t xml:space="preserve">that the operator aims at getting these frequency portions intentionally since it requires intra band non-contiguous CA with the maximum frequency distance. Thus, if </w:t>
      </w:r>
      <w:proofErr w:type="spellStart"/>
      <w:r>
        <w:rPr>
          <w:lang w:val="en-US"/>
        </w:rPr>
        <w:t>filterization</w:t>
      </w:r>
      <w:proofErr w:type="spellEnd"/>
      <w:r>
        <w:rPr>
          <w:lang w:val="en-US"/>
        </w:rPr>
        <w:t xml:space="preserve"> is conducted via actual frequency ranges per band under the network, the UE would report lower MSD capability for 4</w:t>
      </w:r>
      <w:r w:rsidRPr="00056043">
        <w:rPr>
          <w:vertAlign w:val="superscript"/>
          <w:lang w:val="en-US"/>
        </w:rPr>
        <w:t>th</w:t>
      </w:r>
      <w:r>
        <w:rPr>
          <w:lang w:val="en-US"/>
        </w:rPr>
        <w:t xml:space="preserve"> or 5</w:t>
      </w:r>
      <w:r w:rsidRPr="00056043">
        <w:rPr>
          <w:vertAlign w:val="superscript"/>
          <w:lang w:val="en-US"/>
        </w:rPr>
        <w:t>th</w:t>
      </w:r>
      <w:r>
        <w:rPr>
          <w:lang w:val="en-US"/>
        </w:rPr>
        <w:t xml:space="preserve"> accordingly, if one of them is supported. </w:t>
      </w:r>
    </w:p>
    <w:p w14:paraId="19391F61" w14:textId="36CFEB9A" w:rsidR="00D31EF5" w:rsidRDefault="00D31EF5" w:rsidP="00D31EF5">
      <w:pPr>
        <w:rPr>
          <w:lang w:val="en-US"/>
        </w:rPr>
      </w:pPr>
      <w:r w:rsidRPr="007F6CEB">
        <w:rPr>
          <w:b/>
          <w:bCs/>
          <w:lang w:val="en-US"/>
        </w:rPr>
        <w:t xml:space="preserve">Observation </w:t>
      </w:r>
      <w:r>
        <w:rPr>
          <w:b/>
          <w:bCs/>
          <w:lang w:val="en-US"/>
        </w:rPr>
        <w:t>3</w:t>
      </w:r>
      <w:r>
        <w:rPr>
          <w:lang w:val="en-US"/>
        </w:rPr>
        <w:t>: Possible ways to resolve the issue mentioned in Observation 2 are</w:t>
      </w:r>
      <w:r w:rsidR="00A64B56">
        <w:rPr>
          <w:lang w:val="en-US"/>
        </w:rPr>
        <w:t xml:space="preserve"> as follows.</w:t>
      </w:r>
    </w:p>
    <w:p w14:paraId="621E4497" w14:textId="77777777" w:rsidR="00D31EF5" w:rsidRDefault="00D31EF5" w:rsidP="00D31EF5">
      <w:pPr>
        <w:pStyle w:val="ListParagraph"/>
        <w:numPr>
          <w:ilvl w:val="0"/>
          <w:numId w:val="42"/>
        </w:numPr>
        <w:rPr>
          <w:lang w:val="en-US"/>
        </w:rPr>
      </w:pPr>
      <w:r>
        <w:rPr>
          <w:lang w:val="en-US"/>
        </w:rPr>
        <w:t>S</w:t>
      </w:r>
      <w:r w:rsidRPr="00D31EF5">
        <w:rPr>
          <w:lang w:val="en-US"/>
        </w:rPr>
        <w:t>etting a rule that in case multiple UL harmonics are defined for a CA configuration, lower MSD capability applies all UL harmonic orders</w:t>
      </w:r>
      <w:r>
        <w:rPr>
          <w:lang w:val="en-US"/>
        </w:rPr>
        <w:t xml:space="preserve"> (N</w:t>
      </w:r>
      <w:r w:rsidRPr="00D31EF5">
        <w:rPr>
          <w:lang w:val="en-US"/>
        </w:rPr>
        <w:t xml:space="preserve">ot preferred way since this </w:t>
      </w:r>
      <w:r>
        <w:rPr>
          <w:lang w:val="en-US"/>
        </w:rPr>
        <w:t xml:space="preserve">requires network to store </w:t>
      </w:r>
      <w:r w:rsidRPr="00D31EF5">
        <w:rPr>
          <w:lang w:val="en-US"/>
        </w:rPr>
        <w:t>the rule.</w:t>
      </w:r>
    </w:p>
    <w:p w14:paraId="3513602D" w14:textId="6A74FAEF" w:rsidR="00D31EF5" w:rsidRPr="00D31EF5" w:rsidRDefault="00D31EF5" w:rsidP="00D31EF5">
      <w:pPr>
        <w:pStyle w:val="ListParagraph"/>
        <w:numPr>
          <w:ilvl w:val="0"/>
          <w:numId w:val="42"/>
        </w:numPr>
        <w:rPr>
          <w:lang w:val="en-US"/>
        </w:rPr>
      </w:pPr>
      <w:proofErr w:type="spellStart"/>
      <w:r>
        <w:rPr>
          <w:lang w:val="en-US"/>
        </w:rPr>
        <w:t>F</w:t>
      </w:r>
      <w:r w:rsidRPr="00D31EF5">
        <w:rPr>
          <w:lang w:val="en-US"/>
        </w:rPr>
        <w:t>ilterization</w:t>
      </w:r>
      <w:proofErr w:type="spellEnd"/>
      <w:r w:rsidRPr="00D31EF5">
        <w:rPr>
          <w:lang w:val="en-US"/>
        </w:rPr>
        <w:t xml:space="preserve"> </w:t>
      </w:r>
      <w:r>
        <w:rPr>
          <w:lang w:val="en-US"/>
        </w:rPr>
        <w:t>mentioned in Section 2.1. this is not perfect</w:t>
      </w:r>
      <w:r w:rsidRPr="00D31EF5">
        <w:rPr>
          <w:lang w:val="en-US"/>
        </w:rPr>
        <w:t xml:space="preserve">, </w:t>
      </w:r>
      <w:r>
        <w:rPr>
          <w:lang w:val="en-US"/>
        </w:rPr>
        <w:t xml:space="preserve">while it can address most of the cases. </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799CBEAF" w:rsidR="006F4C85" w:rsidRDefault="006F4C85" w:rsidP="006F4C85">
      <w:r>
        <w:t>This document has made the following observations</w:t>
      </w:r>
      <w:r w:rsidR="00BA7722">
        <w:t xml:space="preserve"> and proposal</w:t>
      </w:r>
      <w:r>
        <w:t>:</w:t>
      </w:r>
    </w:p>
    <w:p w14:paraId="60184793" w14:textId="77777777" w:rsidR="008368A1" w:rsidRDefault="008368A1" w:rsidP="008368A1">
      <w:pPr>
        <w:rPr>
          <w:lang w:val="en-US"/>
        </w:rPr>
      </w:pPr>
      <w:r w:rsidRPr="007F6CEB">
        <w:rPr>
          <w:b/>
          <w:bCs/>
          <w:lang w:val="en-US"/>
        </w:rPr>
        <w:lastRenderedPageBreak/>
        <w:t>Observation 1</w:t>
      </w:r>
      <w:r>
        <w:rPr>
          <w:lang w:val="en-US"/>
        </w:rPr>
        <w:t xml:space="preserve">: If frequency ranges available per band under a network are </w:t>
      </w:r>
      <w:proofErr w:type="gramStart"/>
      <w:r>
        <w:rPr>
          <w:lang w:val="en-US"/>
        </w:rPr>
        <w:t>taken into account</w:t>
      </w:r>
      <w:proofErr w:type="gramEnd"/>
      <w:r>
        <w:rPr>
          <w:lang w:val="en-US"/>
        </w:rPr>
        <w:t xml:space="preserve"> by a UE, the UE can report lower MSD capabilities and associated information only relevant to the network. This would significantly reduce the number of lower MSD capabilities to be reported. The effect will even increase if lower MSD capabilities are signaled per power class.</w:t>
      </w:r>
    </w:p>
    <w:p w14:paraId="4AE510C2" w14:textId="77777777" w:rsidR="00E94A17" w:rsidRDefault="00E94A17" w:rsidP="00E94A17">
      <w:pPr>
        <w:rPr>
          <w:lang w:val="en-US"/>
        </w:rPr>
      </w:pPr>
      <w:r w:rsidRPr="007F6CEB">
        <w:rPr>
          <w:b/>
          <w:bCs/>
          <w:lang w:val="en-US"/>
        </w:rPr>
        <w:t xml:space="preserve">Observation </w:t>
      </w:r>
      <w:r>
        <w:rPr>
          <w:b/>
          <w:bCs/>
          <w:lang w:val="en-US"/>
        </w:rPr>
        <w:t>2</w:t>
      </w:r>
      <w:r>
        <w:rPr>
          <w:lang w:val="en-US"/>
        </w:rPr>
        <w:t>: For 4</w:t>
      </w:r>
      <w:r w:rsidRPr="00884D05">
        <w:rPr>
          <w:vertAlign w:val="superscript"/>
          <w:lang w:val="en-US"/>
        </w:rPr>
        <w:t>th</w:t>
      </w:r>
      <w:r>
        <w:rPr>
          <w:lang w:val="en-US"/>
        </w:rPr>
        <w:t xml:space="preserve"> and 5</w:t>
      </w:r>
      <w:r w:rsidRPr="00884D05">
        <w:rPr>
          <w:vertAlign w:val="superscript"/>
          <w:lang w:val="en-US"/>
        </w:rPr>
        <w:t>th</w:t>
      </w:r>
      <w:r>
        <w:rPr>
          <w:lang w:val="en-US"/>
        </w:rPr>
        <w:t xml:space="preserve"> harmonic for CA_n5-n77, without the information of the order, network cannot take a suitable measure.</w:t>
      </w:r>
    </w:p>
    <w:p w14:paraId="50C0C3CF" w14:textId="77777777" w:rsidR="00E94A17" w:rsidRDefault="00E94A17" w:rsidP="00E94A17">
      <w:pPr>
        <w:pStyle w:val="ListParagraph"/>
        <w:numPr>
          <w:ilvl w:val="0"/>
          <w:numId w:val="42"/>
        </w:numPr>
        <w:rPr>
          <w:lang w:val="en-US"/>
        </w:rPr>
      </w:pPr>
      <w:r>
        <w:rPr>
          <w:lang w:val="en-US"/>
        </w:rPr>
        <w:t>If a network knows the lower MSD capability is about 4</w:t>
      </w:r>
      <w:r w:rsidRPr="00884D05">
        <w:rPr>
          <w:vertAlign w:val="superscript"/>
          <w:lang w:val="en-US"/>
        </w:rPr>
        <w:t>th</w:t>
      </w:r>
      <w:r>
        <w:rPr>
          <w:lang w:val="en-US"/>
        </w:rPr>
        <w:t xml:space="preserve"> harmonic, the network may schedule n5 UL and n77 DL frequency resources even if 4</w:t>
      </w:r>
      <w:r w:rsidRPr="00884D05">
        <w:rPr>
          <w:vertAlign w:val="superscript"/>
          <w:lang w:val="en-US"/>
        </w:rPr>
        <w:t>th</w:t>
      </w:r>
      <w:r>
        <w:rPr>
          <w:lang w:val="en-US"/>
        </w:rPr>
        <w:t xml:space="preserve"> harmonic of n5 frequency resources hits the n77 DL frequency resources and may refrain from doing a similar action for 5</w:t>
      </w:r>
      <w:r w:rsidRPr="00884D05">
        <w:rPr>
          <w:vertAlign w:val="superscript"/>
          <w:lang w:val="en-US"/>
        </w:rPr>
        <w:t>th</w:t>
      </w:r>
      <w:r>
        <w:rPr>
          <w:lang w:val="en-US"/>
        </w:rPr>
        <w:t xml:space="preserve"> harmonic</w:t>
      </w:r>
    </w:p>
    <w:p w14:paraId="7AE6C4B9" w14:textId="77777777" w:rsidR="00E94A17" w:rsidRDefault="00E94A17" w:rsidP="00E94A17">
      <w:pPr>
        <w:rPr>
          <w:lang w:val="en-US"/>
        </w:rPr>
      </w:pPr>
      <w:r w:rsidRPr="007F6CEB">
        <w:rPr>
          <w:b/>
          <w:bCs/>
          <w:lang w:val="en-US"/>
        </w:rPr>
        <w:t xml:space="preserve">Observation </w:t>
      </w:r>
      <w:r>
        <w:rPr>
          <w:b/>
          <w:bCs/>
          <w:lang w:val="en-US"/>
        </w:rPr>
        <w:t>3</w:t>
      </w:r>
      <w:r>
        <w:rPr>
          <w:lang w:val="en-US"/>
        </w:rPr>
        <w:t>: Possible ways to resolve the issue mentioned in Observation 2 are</w:t>
      </w:r>
    </w:p>
    <w:p w14:paraId="0215EAA4" w14:textId="77777777" w:rsidR="00E94A17" w:rsidRDefault="00E94A17" w:rsidP="00E94A17">
      <w:pPr>
        <w:pStyle w:val="ListParagraph"/>
        <w:numPr>
          <w:ilvl w:val="0"/>
          <w:numId w:val="42"/>
        </w:numPr>
        <w:rPr>
          <w:lang w:val="en-US"/>
        </w:rPr>
      </w:pPr>
      <w:r>
        <w:rPr>
          <w:lang w:val="en-US"/>
        </w:rPr>
        <w:t>S</w:t>
      </w:r>
      <w:r w:rsidRPr="00D31EF5">
        <w:rPr>
          <w:lang w:val="en-US"/>
        </w:rPr>
        <w:t>etting a rule that in case multiple UL harmonics are defined for a CA configuration, lower MSD capability applies all UL harmonic orders</w:t>
      </w:r>
      <w:r>
        <w:rPr>
          <w:lang w:val="en-US"/>
        </w:rPr>
        <w:t xml:space="preserve"> (N</w:t>
      </w:r>
      <w:r w:rsidRPr="00D31EF5">
        <w:rPr>
          <w:lang w:val="en-US"/>
        </w:rPr>
        <w:t xml:space="preserve">ot preferred way since this </w:t>
      </w:r>
      <w:r>
        <w:rPr>
          <w:lang w:val="en-US"/>
        </w:rPr>
        <w:t xml:space="preserve">requires network to store </w:t>
      </w:r>
      <w:r w:rsidRPr="00D31EF5">
        <w:rPr>
          <w:lang w:val="en-US"/>
        </w:rPr>
        <w:t>the rule.</w:t>
      </w:r>
    </w:p>
    <w:p w14:paraId="1DD74BC1" w14:textId="77777777" w:rsidR="00E94A17" w:rsidRPr="00D31EF5" w:rsidRDefault="00E94A17" w:rsidP="00E94A17">
      <w:pPr>
        <w:pStyle w:val="ListParagraph"/>
        <w:numPr>
          <w:ilvl w:val="0"/>
          <w:numId w:val="42"/>
        </w:numPr>
        <w:rPr>
          <w:lang w:val="en-US"/>
        </w:rPr>
      </w:pPr>
      <w:proofErr w:type="spellStart"/>
      <w:r>
        <w:rPr>
          <w:lang w:val="en-US"/>
        </w:rPr>
        <w:t>F</w:t>
      </w:r>
      <w:r w:rsidRPr="00D31EF5">
        <w:rPr>
          <w:lang w:val="en-US"/>
        </w:rPr>
        <w:t>ilterization</w:t>
      </w:r>
      <w:proofErr w:type="spellEnd"/>
      <w:r w:rsidRPr="00D31EF5">
        <w:rPr>
          <w:lang w:val="en-US"/>
        </w:rPr>
        <w:t xml:space="preserve"> </w:t>
      </w:r>
      <w:r>
        <w:rPr>
          <w:lang w:val="en-US"/>
        </w:rPr>
        <w:t>mentioned in Section 2.1. this is not perfect</w:t>
      </w:r>
      <w:r w:rsidRPr="00D31EF5">
        <w:rPr>
          <w:lang w:val="en-US"/>
        </w:rPr>
        <w:t xml:space="preserve">, </w:t>
      </w:r>
      <w:r>
        <w:rPr>
          <w:lang w:val="en-US"/>
        </w:rPr>
        <w:t xml:space="preserve">while it can address most of the cases. </w:t>
      </w:r>
    </w:p>
    <w:p w14:paraId="68998087" w14:textId="70EFFDB3" w:rsidR="00A64B56" w:rsidRDefault="00DA209F" w:rsidP="006F4C85">
      <w:pPr>
        <w:rPr>
          <w:lang w:val="en-US"/>
        </w:rPr>
      </w:pPr>
      <w:r w:rsidRPr="001C408E">
        <w:rPr>
          <w:b/>
          <w:bCs/>
          <w:lang w:val="en-US"/>
        </w:rPr>
        <w:t>Proposal</w:t>
      </w:r>
      <w:r>
        <w:rPr>
          <w:lang w:val="en-US"/>
        </w:rPr>
        <w:t xml:space="preserve">: </w:t>
      </w:r>
      <w:r w:rsidR="00E94A17">
        <w:rPr>
          <w:lang w:val="en-US"/>
        </w:rPr>
        <w:t xml:space="preserve">Consider </w:t>
      </w:r>
      <w:r w:rsidR="00A64B56">
        <w:rPr>
          <w:lang w:val="en-US"/>
        </w:rPr>
        <w:t xml:space="preserve">a following </w:t>
      </w:r>
      <w:r w:rsidR="00E94A17">
        <w:rPr>
          <w:lang w:val="en-US"/>
        </w:rPr>
        <w:t xml:space="preserve">lower MSD capability </w:t>
      </w:r>
      <w:proofErr w:type="spellStart"/>
      <w:r w:rsidR="00E94A17">
        <w:rPr>
          <w:lang w:val="en-US"/>
        </w:rPr>
        <w:t>filterizatio</w:t>
      </w:r>
      <w:r w:rsidR="00A64B56">
        <w:rPr>
          <w:lang w:val="en-US"/>
        </w:rPr>
        <w:t>n</w:t>
      </w:r>
      <w:proofErr w:type="spellEnd"/>
      <w:r w:rsidR="00A64B56">
        <w:rPr>
          <w:lang w:val="en-US"/>
        </w:rPr>
        <w:t xml:space="preserve"> as one possible approach.</w:t>
      </w:r>
    </w:p>
    <w:p w14:paraId="59BA396A" w14:textId="77777777" w:rsidR="00A64B56" w:rsidRDefault="00A64B56" w:rsidP="00A64B56">
      <w:pPr>
        <w:pStyle w:val="ListParagraph"/>
        <w:numPr>
          <w:ilvl w:val="0"/>
          <w:numId w:val="42"/>
        </w:numPr>
        <w:rPr>
          <w:lang w:val="en-US"/>
        </w:rPr>
      </w:pPr>
      <w:r>
        <w:rPr>
          <w:lang w:val="en-US"/>
        </w:rPr>
        <w:t>C</w:t>
      </w:r>
      <w:r w:rsidRPr="00A64B56">
        <w:rPr>
          <w:lang w:val="en-US"/>
        </w:rPr>
        <w:t xml:space="preserve">onveying </w:t>
      </w:r>
      <w:proofErr w:type="gramStart"/>
      <w:r w:rsidRPr="00A64B56">
        <w:rPr>
          <w:lang w:val="en-US"/>
        </w:rPr>
        <w:t>actually available</w:t>
      </w:r>
      <w:proofErr w:type="gramEnd"/>
      <w:r w:rsidRPr="00A64B56">
        <w:rPr>
          <w:lang w:val="en-US"/>
        </w:rPr>
        <w:t xml:space="preserve"> frequency ranges per band under a network to a UE</w:t>
      </w:r>
    </w:p>
    <w:p w14:paraId="1A5A31A6" w14:textId="77777777" w:rsidR="00A64B56" w:rsidRDefault="00A64B56" w:rsidP="00A64B56">
      <w:pPr>
        <w:pStyle w:val="ListParagraph"/>
        <w:numPr>
          <w:ilvl w:val="1"/>
          <w:numId w:val="42"/>
        </w:numPr>
        <w:rPr>
          <w:lang w:val="en-US"/>
        </w:rPr>
      </w:pPr>
      <w:r>
        <w:rPr>
          <w:lang w:val="en-US"/>
        </w:rPr>
        <w:t xml:space="preserve">Note that even now network conveys available bands under the network as </w:t>
      </w:r>
      <w:proofErr w:type="spellStart"/>
      <w:r>
        <w:rPr>
          <w:lang w:val="en-US"/>
        </w:rPr>
        <w:t>filterizaiton</w:t>
      </w:r>
      <w:proofErr w:type="spellEnd"/>
    </w:p>
    <w:p w14:paraId="20A3890F" w14:textId="2EAB5FAD" w:rsidR="00DA209F" w:rsidRPr="00A64B56" w:rsidRDefault="00A64B56" w:rsidP="00A64B56">
      <w:pPr>
        <w:pStyle w:val="ListParagraph"/>
        <w:numPr>
          <w:ilvl w:val="0"/>
          <w:numId w:val="42"/>
        </w:numPr>
        <w:rPr>
          <w:lang w:val="en-US"/>
        </w:rPr>
      </w:pPr>
      <w:r>
        <w:rPr>
          <w:lang w:val="en-US"/>
        </w:rPr>
        <w:t>UE reports only relevant lower MSD capabilities relevant to the network</w:t>
      </w:r>
      <w:r w:rsidRPr="00A64B56">
        <w:rPr>
          <w:lang w:val="en-US"/>
        </w:rPr>
        <w:t xml:space="preserv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C937805" w14:textId="0FF4EDBB" w:rsidR="00E41A6F" w:rsidRDefault="001A39B1" w:rsidP="00763887">
      <w:pPr>
        <w:pStyle w:val="ListParagraph"/>
        <w:numPr>
          <w:ilvl w:val="0"/>
          <w:numId w:val="2"/>
        </w:numPr>
        <w:overflowPunct/>
        <w:autoSpaceDE/>
        <w:autoSpaceDN/>
        <w:adjustRightInd/>
        <w:spacing w:after="160" w:line="259" w:lineRule="auto"/>
        <w:ind w:right="-22"/>
        <w:textAlignment w:val="auto"/>
      </w:pPr>
      <w:bookmarkStart w:id="2" w:name="_Hlk859252"/>
      <w:r w:rsidRPr="001A39B1">
        <w:t>R4-2306590</w:t>
      </w:r>
      <w:r w:rsidR="00E41A6F">
        <w:rPr>
          <w:rFonts w:hint="eastAsia"/>
          <w:lang w:eastAsia="ja-JP"/>
        </w:rPr>
        <w:t>,</w:t>
      </w:r>
      <w:r w:rsidR="00E41A6F">
        <w:rPr>
          <w:lang w:eastAsia="ja-JP"/>
        </w:rPr>
        <w:t xml:space="preserve"> </w:t>
      </w:r>
      <w:r w:rsidRPr="001A39B1">
        <w:rPr>
          <w:lang w:eastAsia="ja-JP"/>
        </w:rPr>
        <w:t>WF on lower MSD</w:t>
      </w:r>
      <w:r w:rsidR="00E41A6F">
        <w:rPr>
          <w:rFonts w:hint="eastAsia"/>
          <w:lang w:eastAsia="ja-JP"/>
        </w:rPr>
        <w:t>,</w:t>
      </w:r>
      <w:r w:rsidR="00E41A6F">
        <w:rPr>
          <w:lang w:eastAsia="ja-JP"/>
        </w:rPr>
        <w:t xml:space="preserve"> </w:t>
      </w:r>
      <w:r w:rsidR="00E41A6F" w:rsidRPr="00E41A6F">
        <w:rPr>
          <w:lang w:eastAsia="ja-JP"/>
        </w:rPr>
        <w:t xml:space="preserve">Huawei, </w:t>
      </w:r>
      <w:proofErr w:type="spellStart"/>
      <w:r w:rsidR="00E41A6F" w:rsidRPr="00E41A6F">
        <w:rPr>
          <w:lang w:eastAsia="ja-JP"/>
        </w:rPr>
        <w:t>HiSilicon</w:t>
      </w:r>
      <w:proofErr w:type="spellEnd"/>
      <w:r w:rsidR="00E41A6F">
        <w:rPr>
          <w:rFonts w:hint="eastAsia"/>
          <w:lang w:eastAsia="ja-JP"/>
        </w:rPr>
        <w:t>,</w:t>
      </w:r>
      <w:r w:rsidR="00E41A6F">
        <w:rPr>
          <w:lang w:eastAsia="ja-JP"/>
        </w:rPr>
        <w:t xml:space="preserve"> </w:t>
      </w:r>
      <w:r w:rsidR="00E41A6F" w:rsidRPr="00EF24F2">
        <w:t>TSG-</w:t>
      </w:r>
      <w:r w:rsidR="00E41A6F">
        <w:t>RAN WG4#10</w:t>
      </w:r>
      <w:r w:rsidR="00A15D99">
        <w:t>6</w:t>
      </w:r>
      <w:r>
        <w:t>bis-e</w:t>
      </w:r>
    </w:p>
    <w:bookmarkEnd w:id="2"/>
    <w:p w14:paraId="0384EF07" w14:textId="206C6D94" w:rsidR="00716A1D" w:rsidRPr="00D03918" w:rsidRDefault="00716A1D" w:rsidP="00716A1D">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716A1D" w:rsidRPr="00D03918"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AF60A3"/>
    <w:multiLevelType w:val="hybridMultilevel"/>
    <w:tmpl w:val="B1582D1E"/>
    <w:lvl w:ilvl="0" w:tplc="7AEE8206">
      <w:start w:val="40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264"/>
        </w:tabs>
        <w:ind w:left="426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80248460">
    <w:abstractNumId w:val="15"/>
  </w:num>
  <w:num w:numId="2" w16cid:durableId="1817913544">
    <w:abstractNumId w:val="30"/>
  </w:num>
  <w:num w:numId="3" w16cid:durableId="398525668">
    <w:abstractNumId w:val="33"/>
  </w:num>
  <w:num w:numId="4" w16cid:durableId="1489323502">
    <w:abstractNumId w:val="37"/>
  </w:num>
  <w:num w:numId="5" w16cid:durableId="663360532">
    <w:abstractNumId w:val="27"/>
  </w:num>
  <w:num w:numId="6" w16cid:durableId="763500958">
    <w:abstractNumId w:val="9"/>
  </w:num>
  <w:num w:numId="7" w16cid:durableId="1579709206">
    <w:abstractNumId w:val="2"/>
  </w:num>
  <w:num w:numId="8" w16cid:durableId="595481449">
    <w:abstractNumId w:val="32"/>
  </w:num>
  <w:num w:numId="9" w16cid:durableId="749619174">
    <w:abstractNumId w:val="10"/>
  </w:num>
  <w:num w:numId="10" w16cid:durableId="2126730966">
    <w:abstractNumId w:val="23"/>
  </w:num>
  <w:num w:numId="11" w16cid:durableId="1679191683">
    <w:abstractNumId w:val="40"/>
  </w:num>
  <w:num w:numId="12" w16cid:durableId="334698082">
    <w:abstractNumId w:val="8"/>
  </w:num>
  <w:num w:numId="13" w16cid:durableId="1440445006">
    <w:abstractNumId w:val="21"/>
  </w:num>
  <w:num w:numId="14" w16cid:durableId="1821460678">
    <w:abstractNumId w:val="4"/>
  </w:num>
  <w:num w:numId="15" w16cid:durableId="279149625">
    <w:abstractNumId w:val="20"/>
  </w:num>
  <w:num w:numId="16" w16cid:durableId="1556157106">
    <w:abstractNumId w:val="38"/>
  </w:num>
  <w:num w:numId="17" w16cid:durableId="189954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138063608">
    <w:abstractNumId w:val="18"/>
  </w:num>
  <w:num w:numId="19" w16cid:durableId="1769961016">
    <w:abstractNumId w:val="16"/>
  </w:num>
  <w:num w:numId="20" w16cid:durableId="5534680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65362756">
    <w:abstractNumId w:val="5"/>
  </w:num>
  <w:num w:numId="22" w16cid:durableId="590236177">
    <w:abstractNumId w:val="13"/>
  </w:num>
  <w:num w:numId="23" w16cid:durableId="150947253">
    <w:abstractNumId w:val="25"/>
  </w:num>
  <w:num w:numId="24" w16cid:durableId="447047567">
    <w:abstractNumId w:val="34"/>
  </w:num>
  <w:num w:numId="25" w16cid:durableId="413087534">
    <w:abstractNumId w:val="35"/>
  </w:num>
  <w:num w:numId="26" w16cid:durableId="1622494828">
    <w:abstractNumId w:val="3"/>
  </w:num>
  <w:num w:numId="27" w16cid:durableId="2071222476">
    <w:abstractNumId w:val="22"/>
  </w:num>
  <w:num w:numId="28" w16cid:durableId="926500289">
    <w:abstractNumId w:val="24"/>
  </w:num>
  <w:num w:numId="29" w16cid:durableId="1906991825">
    <w:abstractNumId w:val="31"/>
  </w:num>
  <w:num w:numId="30" w16cid:durableId="1407259834">
    <w:abstractNumId w:val="12"/>
  </w:num>
  <w:num w:numId="31" w16cid:durableId="674961691">
    <w:abstractNumId w:val="39"/>
  </w:num>
  <w:num w:numId="32" w16cid:durableId="1352798596">
    <w:abstractNumId w:val="14"/>
  </w:num>
  <w:num w:numId="33" w16cid:durableId="1683362890">
    <w:abstractNumId w:val="6"/>
  </w:num>
  <w:num w:numId="34" w16cid:durableId="1550529102">
    <w:abstractNumId w:val="28"/>
  </w:num>
  <w:num w:numId="35" w16cid:durableId="1091849402">
    <w:abstractNumId w:val="1"/>
  </w:num>
  <w:num w:numId="36" w16cid:durableId="1383015436">
    <w:abstractNumId w:val="11"/>
  </w:num>
  <w:num w:numId="37" w16cid:durableId="811748160">
    <w:abstractNumId w:val="26"/>
  </w:num>
  <w:num w:numId="38" w16cid:durableId="1621909789">
    <w:abstractNumId w:val="29"/>
  </w:num>
  <w:num w:numId="39" w16cid:durableId="1439058587">
    <w:abstractNumId w:val="36"/>
  </w:num>
  <w:num w:numId="40" w16cid:durableId="1393383415">
    <w:abstractNumId w:val="17"/>
  </w:num>
  <w:num w:numId="41" w16cid:durableId="215820515">
    <w:abstractNumId w:val="19"/>
  </w:num>
  <w:num w:numId="42" w16cid:durableId="37723953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043"/>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E4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CA"/>
    <w:rsid w:val="001A24F6"/>
    <w:rsid w:val="001A2832"/>
    <w:rsid w:val="001A39B1"/>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6DD2"/>
    <w:rsid w:val="001F71C6"/>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072"/>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CDF"/>
    <w:rsid w:val="00504DAC"/>
    <w:rsid w:val="00505386"/>
    <w:rsid w:val="0050583D"/>
    <w:rsid w:val="00505D2D"/>
    <w:rsid w:val="005068E4"/>
    <w:rsid w:val="00506A2A"/>
    <w:rsid w:val="00506CAE"/>
    <w:rsid w:val="00507279"/>
    <w:rsid w:val="00507514"/>
    <w:rsid w:val="00507838"/>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1E9"/>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3527"/>
    <w:rsid w:val="006E42B8"/>
    <w:rsid w:val="006E4356"/>
    <w:rsid w:val="006E46D0"/>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A93"/>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5BF3"/>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3A5"/>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CEB"/>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8A1"/>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4D05"/>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DEC"/>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AA8"/>
    <w:rsid w:val="00A13D4D"/>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4B56"/>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0593"/>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2D7"/>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87BDE"/>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347"/>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33AE"/>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707E"/>
    <w:rsid w:val="00C47419"/>
    <w:rsid w:val="00C476E8"/>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B9C"/>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EF5"/>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1D6"/>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ADB"/>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A17"/>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1EF6"/>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A5B"/>
    <w:rsid w:val="00FF3CB3"/>
    <w:rsid w:val="00FF3F30"/>
    <w:rsid w:val="00FF4511"/>
    <w:rsid w:val="00FF4517"/>
    <w:rsid w:val="00FF4771"/>
    <w:rsid w:val="00FF4B26"/>
    <w:rsid w:val="00FF4BEE"/>
    <w:rsid w:val="00FF4EC6"/>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5AIRPNAIUNRU-1328258698-23458</_dlc_DocId>
    <_dlc_DocIdUrl xmlns="71c5aaf6-e6ce-465b-b873-5148d2a4c105">
      <Url>https://nokia.sharepoint.com/sites/c5g/5gradio/_layouts/15/DocIdRedir.aspx?ID=5AIRPNAIUNRU-1328258698-23458</Url>
      <Description>5AIRPNAIUNRU-1328258698-23458</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3b34c8f0-1ef5-4d1e-bb66-517ce7fe7356"/>
    <ds:schemaRef ds:uri="http://schemas.openxmlformats.org/package/2006/metadata/core-properties"/>
    <ds:schemaRef ds:uri="0b6aed8e-0313-4d17-80ff-d0e5da4931c5"/>
    <ds:schemaRef ds:uri="71c5aaf6-e6ce-465b-b873-5148d2a4c105"/>
    <ds:schemaRef ds:uri="http://purl.org/dc/dcmitype/"/>
  </ds:schemaRefs>
</ds:datastoreItem>
</file>

<file path=customXml/itemProps5.xml><?xml version="1.0" encoding="utf-8"?>
<ds:datastoreItem xmlns:ds="http://schemas.openxmlformats.org/officeDocument/2006/customXml" ds:itemID="{3EEADBAA-950E-44A7-8BF2-AD02B5E44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2023-05-14T04:53:00Z</dcterms:created>
  <dcterms:modified xsi:type="dcterms:W3CDTF">2023-05-14T04:53:00Z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0x01010000E5007003D3004E92B8EDD86D20E8CD</vt:lpwstr>
  </property>
  <property fmtid="{D5CDD505-2E9C-101B-9397-08002B2CF9AE}" pid="17" name="_dlc_DocIdItemGuid">
    <vt:lpwstr>7a6163ef-8073-4978-b210-6e56d71aa416</vt:lpwstr>
  </property>
  <property fmtid="{D5CDD505-2E9C-101B-9397-08002B2CF9AE}" pid="18" name="MediaServiceImageTags">
    <vt:lpwstr/>
  </property>
</Properties>
</file>