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036B69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w:t>
      </w:r>
      <w:r w:rsidR="00682712" w:rsidRPr="00682712">
        <w:rPr>
          <w:rFonts w:ascii="Arial" w:eastAsiaTheme="minorEastAsia" w:hAnsi="Arial" w:cs="Arial"/>
          <w:b/>
          <w:sz w:val="24"/>
          <w:szCs w:val="24"/>
          <w:lang w:eastAsia="zh-CN"/>
        </w:rPr>
        <w:t>#106-bis-e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82712">
        <w:rPr>
          <w:rFonts w:ascii="Arial" w:eastAsiaTheme="minorEastAsia" w:hAnsi="Arial" w:cs="Arial"/>
          <w:b/>
          <w:sz w:val="24"/>
          <w:szCs w:val="24"/>
          <w:lang w:eastAsia="zh-CN"/>
        </w:rPr>
        <w:t xml:space="preserve">        </w:t>
      </w:r>
      <w:r w:rsidR="00073099" w:rsidRPr="00073099">
        <w:rPr>
          <w:rFonts w:ascii="Arial" w:eastAsiaTheme="minorEastAsia" w:hAnsi="Arial" w:cs="Arial"/>
          <w:b/>
          <w:sz w:val="24"/>
          <w:szCs w:val="24"/>
          <w:lang w:eastAsia="zh-CN"/>
        </w:rPr>
        <w:t>R4-23</w:t>
      </w:r>
      <w:r w:rsidR="00682712">
        <w:rPr>
          <w:rFonts w:ascii="Arial" w:eastAsiaTheme="minorEastAsia" w:hAnsi="Arial" w:cs="Arial"/>
          <w:b/>
          <w:sz w:val="24"/>
          <w:szCs w:val="24"/>
          <w:lang w:eastAsia="zh-CN"/>
        </w:rPr>
        <w:t>xxxxx</w:t>
      </w:r>
    </w:p>
    <w:p w14:paraId="7C831082" w14:textId="3AE9CF0E" w:rsidR="009365A8" w:rsidRDefault="009365A8" w:rsidP="009365A8">
      <w:pPr>
        <w:pStyle w:val="a4"/>
        <w:jc w:val="both"/>
        <w:rPr>
          <w:i w:val="0"/>
          <w:sz w:val="24"/>
        </w:rPr>
      </w:pPr>
      <w:r w:rsidRPr="00905237">
        <w:rPr>
          <w:i w:val="0"/>
          <w:sz w:val="24"/>
        </w:rPr>
        <w:t>Online, April 17 – April 26, 2023</w:t>
      </w:r>
    </w:p>
    <w:p w14:paraId="0E0F466F" w14:textId="51AEDF71" w:rsidR="00615EBB" w:rsidRPr="009365A8" w:rsidRDefault="00615EBB" w:rsidP="009365A8">
      <w:pPr>
        <w:spacing w:after="120"/>
        <w:rPr>
          <w:rFonts w:ascii="Arial" w:eastAsiaTheme="minorEastAsia" w:hAnsi="Arial" w:cs="Arial"/>
          <w:b/>
          <w:sz w:val="24"/>
          <w:szCs w:val="24"/>
          <w:lang w:eastAsia="zh-CN"/>
        </w:rPr>
      </w:pPr>
    </w:p>
    <w:p w14:paraId="282755FA" w14:textId="2620493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5A8">
        <w:rPr>
          <w:rFonts w:ascii="Arial" w:eastAsiaTheme="minorEastAsia" w:hAnsi="Arial" w:cs="Arial"/>
          <w:color w:val="000000"/>
          <w:sz w:val="22"/>
          <w:lang w:eastAsia="zh-CN"/>
        </w:rPr>
        <w:t>5.24.4</w:t>
      </w:r>
    </w:p>
    <w:p w14:paraId="50D5329D" w14:textId="340D1FC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F5E06" w:rsidRPr="00937D4B">
        <w:rPr>
          <w:rFonts w:ascii="Arial" w:hAnsi="Arial" w:cs="Arial"/>
          <w:color w:val="000000"/>
          <w:sz w:val="22"/>
          <w:lang w:eastAsia="zh-CN"/>
        </w:rPr>
        <w:t>Huawei, HiSilicon</w:t>
      </w:r>
    </w:p>
    <w:p w14:paraId="1E0389E7" w14:textId="20B1D841" w:rsidR="00915D73" w:rsidRPr="0070222F"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F5E06" w:rsidRPr="00CF5E06">
        <w:rPr>
          <w:rFonts w:ascii="Arial" w:eastAsiaTheme="minorEastAsia" w:hAnsi="Arial" w:cs="Arial"/>
          <w:color w:val="000000"/>
          <w:sz w:val="22"/>
          <w:lang w:eastAsia="zh-CN"/>
        </w:rPr>
        <w:t>WF on RRM requirements for MC enhancements for NR</w:t>
      </w:r>
    </w:p>
    <w:p w14:paraId="67B0962B" w14:textId="7FA556F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CF5E06">
        <w:rPr>
          <w:rFonts w:ascii="Arial" w:eastAsiaTheme="minorEastAsia" w:hAnsi="Arial" w:cs="Arial"/>
          <w:color w:val="000000"/>
          <w:sz w:val="22"/>
          <w:lang w:eastAsia="zh-CN"/>
        </w:rPr>
        <w:t>Approval</w:t>
      </w:r>
    </w:p>
    <w:p w14:paraId="0DA0D5AB" w14:textId="77777777" w:rsidR="00B83F1F" w:rsidRPr="00193F16" w:rsidRDefault="00B83F1F" w:rsidP="00B83F1F">
      <w:pPr>
        <w:pStyle w:val="1"/>
        <w:numPr>
          <w:ilvl w:val="0"/>
          <w:numId w:val="0"/>
        </w:numPr>
        <w:ind w:left="432" w:hanging="432"/>
        <w:rPr>
          <w:sz w:val="28"/>
          <w:szCs w:val="28"/>
          <w:lang w:eastAsia="zh-CN"/>
        </w:rPr>
      </w:pPr>
      <w:r w:rsidRPr="00193F16">
        <w:rPr>
          <w:sz w:val="28"/>
          <w:szCs w:val="28"/>
          <w:lang w:eastAsia="zh-CN"/>
        </w:rPr>
        <w:t>Notes:</w:t>
      </w:r>
    </w:p>
    <w:p w14:paraId="6E31CC32" w14:textId="77777777" w:rsidR="00B83F1F" w:rsidRDefault="00B83F1F" w:rsidP="00B83F1F">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07739A85" w14:textId="77777777" w:rsidR="00B83F1F" w:rsidRDefault="00B83F1F" w:rsidP="00B83F1F">
      <w:pPr>
        <w:numPr>
          <w:ilvl w:val="0"/>
          <w:numId w:val="29"/>
        </w:numPr>
        <w:tabs>
          <w:tab w:val="left" w:pos="426"/>
        </w:tabs>
        <w:jc w:val="both"/>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78FB99A2" w14:textId="77777777" w:rsidR="00B83F1F" w:rsidRPr="00193F16" w:rsidRDefault="00B83F1F" w:rsidP="00B83F1F">
      <w:pPr>
        <w:numPr>
          <w:ilvl w:val="0"/>
          <w:numId w:val="29"/>
        </w:numPr>
        <w:tabs>
          <w:tab w:val="left" w:pos="426"/>
        </w:tabs>
        <w:jc w:val="both"/>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Wayforward</w:t>
      </w:r>
      <w:r>
        <w:rPr>
          <w:rFonts w:eastAsia="PMingLiU"/>
          <w:szCs w:val="24"/>
          <w:lang w:eastAsia="zh-TW"/>
        </w:rPr>
        <w:t xml:space="preserve"> &gt; represents the next step in later meetings</w:t>
      </w:r>
    </w:p>
    <w:p w14:paraId="7CBD56D7" w14:textId="06B980CD" w:rsidR="00CF5E06" w:rsidRPr="002D2EE7" w:rsidRDefault="00CF5E06" w:rsidP="00CF5E06">
      <w:pPr>
        <w:pStyle w:val="1"/>
        <w:numPr>
          <w:ilvl w:val="0"/>
          <w:numId w:val="0"/>
        </w:numPr>
        <w:ind w:left="432" w:hanging="432"/>
        <w:rPr>
          <w:sz w:val="28"/>
          <w:szCs w:val="28"/>
        </w:rPr>
      </w:pPr>
      <w:r w:rsidRPr="002D2EE7">
        <w:rPr>
          <w:sz w:val="28"/>
          <w:szCs w:val="28"/>
        </w:rPr>
        <w:t>Topic #1:</w:t>
      </w:r>
      <w:r w:rsidRPr="002D2EE7">
        <w:rPr>
          <w:sz w:val="28"/>
          <w:szCs w:val="28"/>
        </w:rPr>
        <w:tab/>
        <w:t>DL interruption for Tx switching across 3/4 bands</w:t>
      </w:r>
    </w:p>
    <w:p w14:paraId="30CCD17D" w14:textId="03DE5E41" w:rsidR="009365A8" w:rsidRDefault="009365A8" w:rsidP="009365A8">
      <w:pPr>
        <w:spacing w:after="120"/>
        <w:rPr>
          <w:b/>
          <w:szCs w:val="24"/>
          <w:u w:val="single"/>
          <w:lang w:eastAsia="zh-CN"/>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w:t>
      </w:r>
      <w:r w:rsidRPr="0066332A">
        <w:rPr>
          <w:b/>
          <w:szCs w:val="24"/>
          <w:u w:val="single"/>
          <w:lang w:eastAsia="zh-CN"/>
        </w:rPr>
        <w:t>Issue 1-1: If one downlink carrier is indicated to be interrupted by two band pairs for dynamic switching simultaneously</w:t>
      </w:r>
      <w:r w:rsidRPr="00E96998">
        <w:rPr>
          <w:b/>
          <w:szCs w:val="24"/>
          <w:u w:val="single"/>
          <w:lang w:eastAsia="zh-CN"/>
        </w:rPr>
        <w:t xml:space="preserve"> </w:t>
      </w:r>
    </w:p>
    <w:p w14:paraId="4E0A31BE" w14:textId="6D9A4E5C" w:rsidR="009365A8" w:rsidRDefault="00DB3763" w:rsidP="009365A8">
      <w:pPr>
        <w:spacing w:after="120"/>
      </w:pPr>
      <w:r>
        <w:rPr>
          <w:highlight w:val="green"/>
        </w:rPr>
        <w:t xml:space="preserve">Wait for </w:t>
      </w:r>
      <w:r w:rsidR="009365A8" w:rsidRPr="006243E6">
        <w:rPr>
          <w:highlight w:val="green"/>
        </w:rPr>
        <w:t>RF agreement o</w:t>
      </w:r>
      <w:r w:rsidR="009365A8" w:rsidRPr="00DB3763">
        <w:rPr>
          <w:highlight w:val="green"/>
        </w:rPr>
        <w:t xml:space="preserve">n </w:t>
      </w:r>
      <w:r w:rsidRPr="00DB3763">
        <w:rPr>
          <w:highlight w:val="green"/>
        </w:rPr>
        <w:t>the length of switching time for simultaneous switching of two band pairs</w:t>
      </w:r>
      <w:r w:rsidR="009365A8" w:rsidRPr="00DB3763">
        <w:rPr>
          <w:highlight w:val="green"/>
        </w:rPr>
        <w:t>.</w:t>
      </w:r>
      <w:bookmarkStart w:id="0" w:name="_GoBack"/>
      <w:bookmarkEnd w:id="0"/>
    </w:p>
    <w:p w14:paraId="0E520E1E" w14:textId="77777777" w:rsidR="009365A8" w:rsidRDefault="009365A8" w:rsidP="009365A8">
      <w:pPr>
        <w:spacing w:after="120"/>
        <w:rPr>
          <w:b/>
          <w:szCs w:val="24"/>
          <w:u w:val="single"/>
          <w:lang w:eastAsia="zh-CN"/>
        </w:rPr>
      </w:pPr>
    </w:p>
    <w:p w14:paraId="77C384DB" w14:textId="04D2A81A" w:rsidR="009365A8" w:rsidRPr="00586ED9" w:rsidRDefault="009365A8" w:rsidP="009365A8">
      <w:pPr>
        <w:spacing w:after="120"/>
        <w:rPr>
          <w:b/>
          <w:szCs w:val="24"/>
          <w:u w:val="single"/>
          <w:lang w:eastAsia="zh-CN"/>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w:t>
      </w:r>
      <w:r w:rsidRPr="0066332A">
        <w:rPr>
          <w:b/>
          <w:szCs w:val="24"/>
          <w:u w:val="single"/>
          <w:lang w:eastAsia="zh-CN"/>
        </w:rPr>
        <w:t>Issue 1-</w:t>
      </w:r>
      <w:r>
        <w:rPr>
          <w:b/>
          <w:szCs w:val="24"/>
          <w:u w:val="single"/>
          <w:lang w:eastAsia="zh-CN"/>
        </w:rPr>
        <w:t>2</w:t>
      </w:r>
      <w:r w:rsidRPr="0066332A">
        <w:rPr>
          <w:b/>
          <w:szCs w:val="24"/>
          <w:u w:val="single"/>
          <w:lang w:eastAsia="zh-CN"/>
        </w:rPr>
        <w:t>: Additional signalling for Tx switching with 2 TAGs</w:t>
      </w:r>
    </w:p>
    <w:p w14:paraId="39B83A1B" w14:textId="77777777" w:rsidR="009365A8" w:rsidRDefault="009365A8" w:rsidP="009365A8">
      <w:pPr>
        <w:spacing w:after="120"/>
        <w:rPr>
          <w:lang w:val="en-US" w:eastAsia="zh-CN"/>
        </w:rPr>
      </w:pPr>
      <w:r w:rsidRPr="00C17259">
        <w:rPr>
          <w:highlight w:val="green"/>
          <w:lang w:val="en-US" w:eastAsia="zh-CN"/>
        </w:rPr>
        <w:t>RTD value reporting is not preferred.</w:t>
      </w:r>
    </w:p>
    <w:p w14:paraId="7CF44513" w14:textId="77777777" w:rsidR="009365A8" w:rsidRDefault="009365A8" w:rsidP="009365A8">
      <w:pPr>
        <w:spacing w:after="120"/>
        <w:rPr>
          <w:b/>
          <w:szCs w:val="24"/>
          <w:u w:val="single"/>
          <w:lang w:eastAsia="zh-CN"/>
        </w:rPr>
      </w:pPr>
    </w:p>
    <w:p w14:paraId="0CB8AD3D" w14:textId="2087A1AC" w:rsidR="009365A8" w:rsidRDefault="009365A8" w:rsidP="009365A8">
      <w:pPr>
        <w:spacing w:after="120"/>
        <w:rPr>
          <w:b/>
          <w:szCs w:val="24"/>
          <w:u w:val="single"/>
          <w:lang w:eastAsia="zh-CN"/>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w:t>
      </w:r>
      <w:r w:rsidRPr="0066332A">
        <w:rPr>
          <w:b/>
          <w:szCs w:val="24"/>
          <w:u w:val="single"/>
          <w:lang w:eastAsia="zh-CN"/>
        </w:rPr>
        <w:t>Issue 1-3: Minimum Separation Time between two consecutive UL Tx Switching</w:t>
      </w:r>
    </w:p>
    <w:tbl>
      <w:tblPr>
        <w:tblStyle w:val="afd"/>
        <w:tblW w:w="0" w:type="auto"/>
        <w:tblLook w:val="04A0" w:firstRow="1" w:lastRow="0" w:firstColumn="1" w:lastColumn="0" w:noHBand="0" w:noVBand="1"/>
      </w:tblPr>
      <w:tblGrid>
        <w:gridCol w:w="9631"/>
      </w:tblGrid>
      <w:tr w:rsidR="009365A8" w14:paraId="0E266D80" w14:textId="77777777" w:rsidTr="009365A8">
        <w:tc>
          <w:tcPr>
            <w:tcW w:w="9631" w:type="dxa"/>
          </w:tcPr>
          <w:p w14:paraId="2AAC4499" w14:textId="77777777" w:rsidR="009365A8" w:rsidRPr="009365A8" w:rsidRDefault="009365A8" w:rsidP="009365A8">
            <w:pPr>
              <w:spacing w:after="120"/>
              <w:rPr>
                <w:i/>
                <w:color w:val="4472C4" w:themeColor="accent1"/>
                <w:szCs w:val="24"/>
                <w:lang w:eastAsia="zh-CN"/>
              </w:rPr>
            </w:pPr>
            <w:r w:rsidRPr="009365A8">
              <w:rPr>
                <w:i/>
                <w:color w:val="4472C4" w:themeColor="accent1"/>
                <w:szCs w:val="24"/>
                <w:lang w:eastAsia="zh-CN"/>
              </w:rPr>
              <w:t>The following is agreed in RAN1#112:</w:t>
            </w:r>
          </w:p>
          <w:p w14:paraId="2DD073A1" w14:textId="77777777" w:rsidR="009365A8" w:rsidRPr="009365A8" w:rsidRDefault="009365A8" w:rsidP="009365A8">
            <w:pPr>
              <w:rPr>
                <w:rFonts w:eastAsia="MS Mincho" w:cs="Times"/>
                <w:color w:val="4472C4" w:themeColor="accent1"/>
              </w:rPr>
            </w:pPr>
            <w:r w:rsidRPr="009365A8">
              <w:rPr>
                <w:rFonts w:eastAsia="MS Mincho" w:cs="Times"/>
                <w:color w:val="4472C4" w:themeColor="accent1"/>
              </w:rPr>
              <w:t>Confirm the working assumption with following updates</w:t>
            </w:r>
          </w:p>
          <w:p w14:paraId="30F0BD5B" w14:textId="77777777" w:rsidR="009365A8" w:rsidRPr="009365A8" w:rsidRDefault="009365A8" w:rsidP="009365A8">
            <w:pPr>
              <w:pStyle w:val="12"/>
              <w:spacing w:after="0" w:line="240" w:lineRule="auto"/>
              <w:ind w:leftChars="0" w:left="0"/>
              <w:rPr>
                <w:rFonts w:ascii="Times" w:eastAsia="MS Mincho" w:hAnsi="Times"/>
                <w:color w:val="4472C4" w:themeColor="accent1"/>
                <w:lang w:val="en-AU"/>
              </w:rPr>
            </w:pPr>
            <w:r w:rsidRPr="009365A8">
              <w:rPr>
                <w:rFonts w:ascii="Times" w:eastAsia="MS Mincho" w:hAnsi="Times"/>
                <w:color w:val="4472C4" w:themeColor="accent1"/>
                <w:lang w:val="en-AU"/>
              </w:rPr>
              <w:t xml:space="preserve">(working assumption) If two uplink switching are triggered and UL transmissions involved in the two uplink switching are on more than 2 bands within any two consecutive reference slots, then the time duration between the start of </w:t>
            </w:r>
            <w:r w:rsidRPr="009365A8">
              <w:rPr>
                <w:rFonts w:ascii="Times" w:hAnsi="Times"/>
                <w:color w:val="4472C4" w:themeColor="accent1"/>
              </w:rPr>
              <w:t xml:space="preserve">all </w:t>
            </w:r>
            <w:r w:rsidRPr="009365A8">
              <w:rPr>
                <w:rFonts w:ascii="Times" w:eastAsia="MS Mincho" w:hAnsi="Times"/>
                <w:color w:val="4472C4" w:themeColor="accent1"/>
                <w:lang w:val="en-AU"/>
              </w:rPr>
              <w:t>transmission</w:t>
            </w:r>
            <w:r w:rsidRPr="009365A8">
              <w:rPr>
                <w:rFonts w:ascii="Times" w:hAnsi="Times"/>
                <w:color w:val="4472C4" w:themeColor="accent1"/>
              </w:rPr>
              <w:t>(s) after the first uplink switching</w:t>
            </w:r>
            <w:r w:rsidRPr="009365A8">
              <w:rPr>
                <w:rFonts w:ascii="Times" w:eastAsia="MS Mincho" w:hAnsi="Times"/>
                <w:color w:val="4472C4" w:themeColor="accent1"/>
                <w:lang w:val="en-AU"/>
              </w:rPr>
              <w:t xml:space="preserve"> and the start of </w:t>
            </w:r>
            <w:r w:rsidRPr="009365A8">
              <w:rPr>
                <w:rFonts w:ascii="Times" w:hAnsi="Times"/>
                <w:color w:val="4472C4" w:themeColor="accent1"/>
              </w:rPr>
              <w:t>all</w:t>
            </w:r>
            <w:r w:rsidRPr="009365A8">
              <w:rPr>
                <w:rFonts w:ascii="Times" w:eastAsia="MS Mincho" w:hAnsi="Times"/>
                <w:color w:val="4472C4" w:themeColor="accent1"/>
                <w:lang w:val="en-AU"/>
              </w:rPr>
              <w:t xml:space="preserve"> transmission</w:t>
            </w:r>
            <w:r w:rsidRPr="009365A8">
              <w:rPr>
                <w:rFonts w:ascii="Times" w:hAnsi="Times"/>
                <w:color w:val="4472C4" w:themeColor="accent1"/>
              </w:rPr>
              <w:t>(s) after the second uplink switching</w:t>
            </w:r>
            <w:r w:rsidRPr="009365A8">
              <w:rPr>
                <w:rFonts w:ascii="Times" w:eastAsia="MS Mincho" w:hAnsi="Times"/>
                <w:color w:val="4472C4" w:themeColor="accent1"/>
                <w:lang w:val="en-AU"/>
              </w:rPr>
              <w:t xml:space="preserve"> within the two reference slots is expected to be not less than a minimum separation time </w:t>
            </w:r>
          </w:p>
          <w:p w14:paraId="1E9D2C0B" w14:textId="77777777" w:rsidR="009365A8" w:rsidRPr="009365A8" w:rsidRDefault="009365A8" w:rsidP="009365A8">
            <w:pPr>
              <w:pStyle w:val="12"/>
              <w:numPr>
                <w:ilvl w:val="0"/>
                <w:numId w:val="2"/>
              </w:numPr>
              <w:spacing w:after="0" w:line="240" w:lineRule="auto"/>
              <w:ind w:leftChars="0"/>
              <w:rPr>
                <w:rFonts w:ascii="Times" w:eastAsia="MS Mincho" w:hAnsi="Times"/>
                <w:color w:val="4472C4" w:themeColor="accent1"/>
                <w:lang w:val="en-AU"/>
              </w:rPr>
            </w:pPr>
            <w:r w:rsidRPr="009365A8">
              <w:rPr>
                <w:rFonts w:ascii="Times" w:eastAsia="MS Mincho" w:hAnsi="Times"/>
                <w:color w:val="4472C4" w:themeColor="accent1"/>
                <w:lang w:val="en-AU"/>
              </w:rPr>
              <w:t xml:space="preserve">The minimum separation time is a maximum of X us and the switching gap required for </w:t>
            </w:r>
            <w:r w:rsidRPr="009365A8">
              <w:rPr>
                <w:rFonts w:ascii="Times" w:hAnsi="Times"/>
                <w:color w:val="4472C4" w:themeColor="accent1"/>
              </w:rPr>
              <w:t>the second uplink switching</w:t>
            </w:r>
            <w:r w:rsidRPr="009365A8">
              <w:rPr>
                <w:rFonts w:ascii="Times" w:eastAsia="MS Mincho" w:hAnsi="Times"/>
                <w:color w:val="4472C4" w:themeColor="accent1"/>
                <w:lang w:val="en-AU"/>
              </w:rPr>
              <w:t>.</w:t>
            </w:r>
          </w:p>
          <w:p w14:paraId="5615673D" w14:textId="4AFF49E7" w:rsidR="009365A8" w:rsidRPr="009365A8" w:rsidRDefault="009365A8" w:rsidP="009365A8">
            <w:pPr>
              <w:pStyle w:val="12"/>
              <w:numPr>
                <w:ilvl w:val="0"/>
                <w:numId w:val="2"/>
              </w:numPr>
              <w:spacing w:after="0" w:line="240" w:lineRule="auto"/>
              <w:ind w:leftChars="0"/>
              <w:rPr>
                <w:rFonts w:ascii="Times" w:eastAsia="MS Mincho" w:hAnsi="Times"/>
                <w:color w:val="4472C4" w:themeColor="accent1"/>
                <w:lang w:val="en-AU"/>
              </w:rPr>
            </w:pPr>
            <w:r w:rsidRPr="009365A8">
              <w:rPr>
                <w:rFonts w:ascii="Times" w:eastAsia="MS Mincho" w:hAnsi="Times"/>
                <w:color w:val="4472C4" w:themeColor="accent1"/>
                <w:lang w:val="en-AU"/>
              </w:rPr>
              <w:t>X us is subject to UE capability with a value set of {0us, 500us}</w:t>
            </w:r>
          </w:p>
        </w:tc>
      </w:tr>
    </w:tbl>
    <w:p w14:paraId="6CD6E07A" w14:textId="77777777" w:rsidR="009365A8" w:rsidRPr="009365A8" w:rsidRDefault="009365A8" w:rsidP="009365A8">
      <w:pPr>
        <w:spacing w:after="120"/>
        <w:rPr>
          <w:highlight w:val="green"/>
          <w:lang w:val="en-AU" w:eastAsia="zh-CN"/>
        </w:rPr>
      </w:pPr>
    </w:p>
    <w:p w14:paraId="3629987C" w14:textId="77777777" w:rsidR="009365A8" w:rsidRPr="00C17259" w:rsidRDefault="009365A8" w:rsidP="009365A8">
      <w:pPr>
        <w:spacing w:after="120"/>
        <w:rPr>
          <w:highlight w:val="green"/>
          <w:lang w:val="en-US" w:eastAsia="zh-CN"/>
        </w:rPr>
      </w:pPr>
      <w:r w:rsidRPr="00C17259">
        <w:rPr>
          <w:highlight w:val="green"/>
          <w:lang w:val="en-US" w:eastAsia="zh-CN"/>
        </w:rPr>
        <w:t>No RRM impact is observed regarding minimum separation time between two consecutive UL Tx Switching.</w:t>
      </w:r>
    </w:p>
    <w:p w14:paraId="073B0B46" w14:textId="77777777" w:rsidR="009365A8" w:rsidRPr="009365A8" w:rsidRDefault="009365A8" w:rsidP="009365A8">
      <w:pPr>
        <w:rPr>
          <w:rFonts w:ascii="Times" w:eastAsiaTheme="minorEastAsia" w:hAnsi="Times"/>
          <w:iCs/>
          <w:lang w:eastAsia="zh-CN"/>
        </w:rPr>
      </w:pPr>
    </w:p>
    <w:sectPr w:rsidR="009365A8" w:rsidRPr="009365A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81A27" w14:textId="77777777" w:rsidR="00151C94" w:rsidRDefault="00151C94">
      <w:r>
        <w:separator/>
      </w:r>
    </w:p>
  </w:endnote>
  <w:endnote w:type="continuationSeparator" w:id="0">
    <w:p w14:paraId="049A9A47" w14:textId="77777777" w:rsidR="00151C94" w:rsidRDefault="0015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CC331" w14:textId="77777777" w:rsidR="00151C94" w:rsidRDefault="00151C94">
      <w:r>
        <w:separator/>
      </w:r>
    </w:p>
  </w:footnote>
  <w:footnote w:type="continuationSeparator" w:id="0">
    <w:p w14:paraId="646EBE22" w14:textId="77777777" w:rsidR="00151C94" w:rsidRDefault="00151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3"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2"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4"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5"/>
  </w:num>
  <w:num w:numId="2">
    <w:abstractNumId w:val="22"/>
  </w:num>
  <w:num w:numId="3">
    <w:abstractNumId w:val="14"/>
  </w:num>
  <w:num w:numId="4">
    <w:abstractNumId w:val="4"/>
  </w:num>
  <w:num w:numId="5">
    <w:abstractNumId w:val="2"/>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18"/>
  </w:num>
  <w:num w:numId="10">
    <w:abstractNumId w:val="20"/>
  </w:num>
  <w:num w:numId="11">
    <w:abstractNumId w:val="9"/>
  </w:num>
  <w:num w:numId="12">
    <w:abstractNumId w:val="11"/>
  </w:num>
  <w:num w:numId="13">
    <w:abstractNumId w:val="3"/>
  </w:num>
  <w:num w:numId="14">
    <w:abstractNumId w:val="16"/>
  </w:num>
  <w:num w:numId="15">
    <w:abstractNumId w:val="16"/>
  </w:num>
  <w:num w:numId="16">
    <w:abstractNumId w:val="19"/>
  </w:num>
  <w:num w:numId="17">
    <w:abstractNumId w:val="0"/>
  </w:num>
  <w:num w:numId="18">
    <w:abstractNumId w:val="8"/>
  </w:num>
  <w:num w:numId="19">
    <w:abstractNumId w:val="7"/>
  </w:num>
  <w:num w:numId="20">
    <w:abstractNumId w:val="6"/>
  </w:num>
  <w:num w:numId="21">
    <w:abstractNumId w:val="12"/>
  </w:num>
  <w:num w:numId="22">
    <w:abstractNumId w:val="15"/>
  </w:num>
  <w:num w:numId="23">
    <w:abstractNumId w:val="10"/>
  </w:num>
  <w:num w:numId="24">
    <w:abstractNumId w:val="24"/>
  </w:num>
  <w:num w:numId="25">
    <w:abstractNumId w:val="13"/>
  </w:num>
  <w:num w:numId="26">
    <w:abstractNumId w:val="21"/>
  </w:num>
  <w:num w:numId="27">
    <w:abstractNumId w:val="5"/>
  </w:num>
  <w:num w:numId="28">
    <w:abstractNumId w:val="1"/>
  </w:num>
  <w:num w:numId="29">
    <w:abstractNumId w:val="23"/>
  </w:num>
  <w:num w:numId="30">
    <w:abstractNumId w:val="14"/>
  </w:num>
  <w:num w:numId="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E"/>
    <w:rsid w:val="00071753"/>
    <w:rsid w:val="00071B18"/>
    <w:rsid w:val="00073045"/>
    <w:rsid w:val="00073099"/>
    <w:rsid w:val="000734B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C94"/>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CB"/>
    <w:rsid w:val="001A6913"/>
    <w:rsid w:val="001B10ED"/>
    <w:rsid w:val="001B530E"/>
    <w:rsid w:val="001B7991"/>
    <w:rsid w:val="001B7EB3"/>
    <w:rsid w:val="001C1409"/>
    <w:rsid w:val="001C2AE6"/>
    <w:rsid w:val="001C4A89"/>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E1D"/>
    <w:rsid w:val="002B60C1"/>
    <w:rsid w:val="002B6369"/>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3022A5"/>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6685"/>
    <w:rsid w:val="003D7719"/>
    <w:rsid w:val="003E062C"/>
    <w:rsid w:val="003E30B7"/>
    <w:rsid w:val="003E40EE"/>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6BAB"/>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7D5E"/>
    <w:rsid w:val="00550DE1"/>
    <w:rsid w:val="00554211"/>
    <w:rsid w:val="005544D9"/>
    <w:rsid w:val="00555E8E"/>
    <w:rsid w:val="00557DF0"/>
    <w:rsid w:val="005601D3"/>
    <w:rsid w:val="005633D4"/>
    <w:rsid w:val="005660A2"/>
    <w:rsid w:val="005670F1"/>
    <w:rsid w:val="00571777"/>
    <w:rsid w:val="00573C7B"/>
    <w:rsid w:val="0057447E"/>
    <w:rsid w:val="00574491"/>
    <w:rsid w:val="005747F3"/>
    <w:rsid w:val="005749F6"/>
    <w:rsid w:val="00575B3A"/>
    <w:rsid w:val="00577DBB"/>
    <w:rsid w:val="00580258"/>
    <w:rsid w:val="00580FF5"/>
    <w:rsid w:val="00582DDF"/>
    <w:rsid w:val="0058519C"/>
    <w:rsid w:val="00586ED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B6FF3"/>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2712"/>
    <w:rsid w:val="00684706"/>
    <w:rsid w:val="0068662B"/>
    <w:rsid w:val="00690337"/>
    <w:rsid w:val="00691530"/>
    <w:rsid w:val="00692A68"/>
    <w:rsid w:val="00692E2A"/>
    <w:rsid w:val="00694116"/>
    <w:rsid w:val="006950C0"/>
    <w:rsid w:val="00695D85"/>
    <w:rsid w:val="006A30A2"/>
    <w:rsid w:val="006A6D23"/>
    <w:rsid w:val="006A7ECB"/>
    <w:rsid w:val="006B0A3E"/>
    <w:rsid w:val="006B19DA"/>
    <w:rsid w:val="006B1FD4"/>
    <w:rsid w:val="006B25DE"/>
    <w:rsid w:val="006B269C"/>
    <w:rsid w:val="006B6251"/>
    <w:rsid w:val="006B691E"/>
    <w:rsid w:val="006C14AB"/>
    <w:rsid w:val="006C1C3B"/>
    <w:rsid w:val="006C4E43"/>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C0C"/>
    <w:rsid w:val="006F7E88"/>
    <w:rsid w:val="00700755"/>
    <w:rsid w:val="00701C3C"/>
    <w:rsid w:val="0070222F"/>
    <w:rsid w:val="007039CC"/>
    <w:rsid w:val="00703B05"/>
    <w:rsid w:val="00705077"/>
    <w:rsid w:val="0070646B"/>
    <w:rsid w:val="007065B9"/>
    <w:rsid w:val="00712DF4"/>
    <w:rsid w:val="007130A2"/>
    <w:rsid w:val="00715463"/>
    <w:rsid w:val="0071642C"/>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4B9E"/>
    <w:rsid w:val="007452B6"/>
    <w:rsid w:val="00745C3E"/>
    <w:rsid w:val="0074632B"/>
    <w:rsid w:val="00750234"/>
    <w:rsid w:val="00750F54"/>
    <w:rsid w:val="007520B4"/>
    <w:rsid w:val="00753DDC"/>
    <w:rsid w:val="00755BE6"/>
    <w:rsid w:val="00756430"/>
    <w:rsid w:val="00760AE2"/>
    <w:rsid w:val="00764645"/>
    <w:rsid w:val="007655D5"/>
    <w:rsid w:val="00766507"/>
    <w:rsid w:val="00767392"/>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1741"/>
    <w:rsid w:val="007B1C53"/>
    <w:rsid w:val="007B26E3"/>
    <w:rsid w:val="007B4B3C"/>
    <w:rsid w:val="007B5606"/>
    <w:rsid w:val="007B5A43"/>
    <w:rsid w:val="007B709B"/>
    <w:rsid w:val="007C06F0"/>
    <w:rsid w:val="007C1343"/>
    <w:rsid w:val="007C334A"/>
    <w:rsid w:val="007C558E"/>
    <w:rsid w:val="007C5EF1"/>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9F3"/>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07A"/>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5CC2"/>
    <w:rsid w:val="008D6657"/>
    <w:rsid w:val="008E03F4"/>
    <w:rsid w:val="008E0ED7"/>
    <w:rsid w:val="008E1F60"/>
    <w:rsid w:val="008E2CB0"/>
    <w:rsid w:val="008E307E"/>
    <w:rsid w:val="008E3F4F"/>
    <w:rsid w:val="008F0CB5"/>
    <w:rsid w:val="008F13A3"/>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6944"/>
    <w:rsid w:val="00927316"/>
    <w:rsid w:val="00927DA3"/>
    <w:rsid w:val="0093133D"/>
    <w:rsid w:val="0093276D"/>
    <w:rsid w:val="00933D12"/>
    <w:rsid w:val="009365A8"/>
    <w:rsid w:val="00937065"/>
    <w:rsid w:val="00937D4B"/>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C38"/>
    <w:rsid w:val="00A06404"/>
    <w:rsid w:val="00A0758F"/>
    <w:rsid w:val="00A11BB7"/>
    <w:rsid w:val="00A13FDD"/>
    <w:rsid w:val="00A1570A"/>
    <w:rsid w:val="00A16206"/>
    <w:rsid w:val="00A168E9"/>
    <w:rsid w:val="00A168F1"/>
    <w:rsid w:val="00A211B4"/>
    <w:rsid w:val="00A233CE"/>
    <w:rsid w:val="00A23F98"/>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1B7D"/>
    <w:rsid w:val="00A628AF"/>
    <w:rsid w:val="00A6605B"/>
    <w:rsid w:val="00A66ADC"/>
    <w:rsid w:val="00A7147D"/>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31D8"/>
    <w:rsid w:val="00AB4182"/>
    <w:rsid w:val="00AB4D87"/>
    <w:rsid w:val="00AB797C"/>
    <w:rsid w:val="00AC01DB"/>
    <w:rsid w:val="00AC27DB"/>
    <w:rsid w:val="00AC352E"/>
    <w:rsid w:val="00AC4B4D"/>
    <w:rsid w:val="00AC6D6B"/>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4759"/>
    <w:rsid w:val="00B067CA"/>
    <w:rsid w:val="00B06C16"/>
    <w:rsid w:val="00B10F2F"/>
    <w:rsid w:val="00B129F4"/>
    <w:rsid w:val="00B12B26"/>
    <w:rsid w:val="00B143B2"/>
    <w:rsid w:val="00B163F8"/>
    <w:rsid w:val="00B16A79"/>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F046F"/>
    <w:rsid w:val="00BF1177"/>
    <w:rsid w:val="00BF14CB"/>
    <w:rsid w:val="00BF1513"/>
    <w:rsid w:val="00BF3548"/>
    <w:rsid w:val="00BF5424"/>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5E06"/>
    <w:rsid w:val="00CF635D"/>
    <w:rsid w:val="00D0036C"/>
    <w:rsid w:val="00D03D00"/>
    <w:rsid w:val="00D055D4"/>
    <w:rsid w:val="00D05C30"/>
    <w:rsid w:val="00D10052"/>
    <w:rsid w:val="00D10B22"/>
    <w:rsid w:val="00D10BBF"/>
    <w:rsid w:val="00D11359"/>
    <w:rsid w:val="00D13129"/>
    <w:rsid w:val="00D147CC"/>
    <w:rsid w:val="00D174AD"/>
    <w:rsid w:val="00D175E7"/>
    <w:rsid w:val="00D3125F"/>
    <w:rsid w:val="00D3188C"/>
    <w:rsid w:val="00D31C1D"/>
    <w:rsid w:val="00D32293"/>
    <w:rsid w:val="00D33023"/>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75DD"/>
    <w:rsid w:val="00D57DFA"/>
    <w:rsid w:val="00D60895"/>
    <w:rsid w:val="00D640FC"/>
    <w:rsid w:val="00D654C2"/>
    <w:rsid w:val="00D67FCF"/>
    <w:rsid w:val="00D704AE"/>
    <w:rsid w:val="00D709CE"/>
    <w:rsid w:val="00D70E35"/>
    <w:rsid w:val="00D718AC"/>
    <w:rsid w:val="00D71F73"/>
    <w:rsid w:val="00D7317B"/>
    <w:rsid w:val="00D74AFD"/>
    <w:rsid w:val="00D76D96"/>
    <w:rsid w:val="00D77648"/>
    <w:rsid w:val="00D80786"/>
    <w:rsid w:val="00D80C0F"/>
    <w:rsid w:val="00D814AE"/>
    <w:rsid w:val="00D81666"/>
    <w:rsid w:val="00D81B21"/>
    <w:rsid w:val="00D81CAB"/>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4C44"/>
    <w:rsid w:val="00DA7CC0"/>
    <w:rsid w:val="00DB1BBC"/>
    <w:rsid w:val="00DB3763"/>
    <w:rsid w:val="00DB3A7B"/>
    <w:rsid w:val="00DB473D"/>
    <w:rsid w:val="00DB5098"/>
    <w:rsid w:val="00DC050A"/>
    <w:rsid w:val="00DC06B8"/>
    <w:rsid w:val="00DC0CE1"/>
    <w:rsid w:val="00DC18A4"/>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557"/>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41FA"/>
    <w:rsid w:val="00E64388"/>
    <w:rsid w:val="00E65B6B"/>
    <w:rsid w:val="00E65BC6"/>
    <w:rsid w:val="00E661FF"/>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AD5"/>
    <w:rsid w:val="00EA1111"/>
    <w:rsid w:val="00EA1EE1"/>
    <w:rsid w:val="00EA2BE8"/>
    <w:rsid w:val="00EA33BD"/>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7691"/>
    <w:rsid w:val="00EE1080"/>
    <w:rsid w:val="00EE13BE"/>
    <w:rsid w:val="00EF0B01"/>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3245"/>
    <w:rsid w:val="00FB38D8"/>
    <w:rsid w:val="00FC051F"/>
    <w:rsid w:val="00FC06FF"/>
    <w:rsid w:val="00FC16DF"/>
    <w:rsid w:val="00FC1A43"/>
    <w:rsid w:val="00FC2D53"/>
    <w:rsid w:val="00FC69B4"/>
    <w:rsid w:val="00FD0694"/>
    <w:rsid w:val="00FD25BE"/>
    <w:rsid w:val="00FD2E70"/>
    <w:rsid w:val="00FD329C"/>
    <w:rsid w:val="00FD3CF2"/>
    <w:rsid w:val="00FD4569"/>
    <w:rsid w:val="00FD4590"/>
    <w:rsid w:val="00FD7AA7"/>
    <w:rsid w:val="00FE0783"/>
    <w:rsid w:val="00FE1E1F"/>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e"/>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b"/>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e"/>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character" w:customStyle="1" w:styleId="a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2"/>
    <w:uiPriority w:val="34"/>
    <w:qFormat/>
    <w:locked/>
    <w:rsid w:val="009365A8"/>
    <w:rPr>
      <w:rFonts w:ascii="MS Gothic" w:eastAsia="MS Gothic" w:hAnsi="MS Gothic"/>
    </w:rPr>
  </w:style>
  <w:style w:type="paragraph" w:customStyle="1" w:styleId="12">
    <w:name w:val="목록 단락1"/>
    <w:basedOn w:val="a"/>
    <w:link w:val="aff"/>
    <w:uiPriority w:val="34"/>
    <w:qFormat/>
    <w:rsid w:val="009365A8"/>
    <w:pPr>
      <w:spacing w:after="160" w:line="256" w:lineRule="auto"/>
      <w:ind w:leftChars="400" w:left="840"/>
    </w:pPr>
    <w:rPr>
      <w:rFonts w:ascii="MS Gothic" w:eastAsia="MS Gothic" w:hAnsi="MS Gothic"/>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8A9-E85B-42BD-AE06-0B5688E1EA5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Pages>
  <Words>252</Words>
  <Characters>1439</Characters>
  <Application>Microsoft Office Word</Application>
  <DocSecurity>0</DocSecurity>
  <Lines>11</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4</cp:revision>
  <cp:lastPrinted>2019-04-25T01:09:00Z</cp:lastPrinted>
  <dcterms:created xsi:type="dcterms:W3CDTF">2023-04-21T09:48:00Z</dcterms:created>
  <dcterms:modified xsi:type="dcterms:W3CDTF">2023-04-21T10:01:00Z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(3)6whVIF6nhRVBejAKKrRG3DDsBVm72h9RX6UiFS69XsaL561mT0S14tVcMAHxwQppxv2jIY+K
z3wn9kTA772KIDzrIkZ8Pa25c3dwLbtHlFJ2oO64r8cMk4y9G0gIkyJLyU/FvhMwL/hW+WOx
SvV3WmUVhGxXjF6mBCGU95OnJ67zQ9f/zBBoeUX+3y3DLKO8WT1Hsdsm3qGqK009zMBO1mi9
XfgNiV7rachreMUbGh</vt:lpwstr>
  </property>
  <property fmtid="{D5CDD505-2E9C-101B-9397-08002B2CF9AE}" pid="10" name="_2015_ms_pID_7253431">
    <vt:lpwstr>HekBJ39ifvQngsQqlKvJA0qW7nN/JTyyNcp911nW+WGEthNOJjucJd
0HTZtAuVFg6uLO9uQhtUmZnCSnv7rpdVG7kluAKEmKDL4lL1CVMB7dqyuRZ1UJofRP8vsy90
PqHLVKkXiNviy8j0PEsoCKacQ4O89OyWp6wgOE/mJLrH5XVd27jR3nIvAlTOwUMAgYsYlyJV
c6UxmRAV70KphwW0iDHOHfuPPbfGTtfoMQzH</vt:lpwstr>
  </property>
  <property fmtid="{D5CDD505-2E9C-101B-9397-08002B2CF9AE}" pid="11" name="_2015_ms_pID_7253432">
    <vt:lpwstr>Cg==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ies>
</file>