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3074DFD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EF698B">
        <w:rPr>
          <w:rFonts w:ascii="Arial" w:eastAsia="SimSun" w:hAnsi="Arial" w:cs="Times New Roman"/>
          <w:b/>
          <w:bCs/>
          <w:sz w:val="24"/>
          <w:szCs w:val="20"/>
          <w:highlight w:val="yellow"/>
          <w:lang w:eastAsia="ja-JP"/>
        </w:rPr>
        <w:t>R4-</w:t>
      </w:r>
      <w:r w:rsidR="00AE2BA5" w:rsidRPr="00EF698B">
        <w:rPr>
          <w:rFonts w:ascii="Arial" w:eastAsia="SimSun" w:hAnsi="Arial" w:cs="Times New Roman"/>
          <w:b/>
          <w:bCs/>
          <w:sz w:val="24"/>
          <w:szCs w:val="20"/>
          <w:highlight w:val="yellow"/>
          <w:lang w:eastAsia="zh-CN"/>
        </w:rPr>
        <w:t>2</w:t>
      </w:r>
      <w:r w:rsidR="00D6204A">
        <w:rPr>
          <w:rFonts w:ascii="Arial" w:eastAsia="SimSun" w:hAnsi="Arial" w:cs="Times New Roman"/>
          <w:b/>
          <w:bCs/>
          <w:sz w:val="24"/>
          <w:szCs w:val="20"/>
          <w:highlight w:val="yellow"/>
          <w:lang w:eastAsia="zh-CN"/>
        </w:rPr>
        <w:t>3</w:t>
      </w:r>
      <w:r w:rsidR="00DE57C3" w:rsidRPr="00DE57C3">
        <w:rPr>
          <w:rFonts w:ascii="Arial" w:eastAsia="SimSun" w:hAnsi="Arial" w:cs="Times New Roman"/>
          <w:b/>
          <w:bCs/>
          <w:sz w:val="24"/>
          <w:szCs w:val="20"/>
          <w:lang w:eastAsia="zh-CN"/>
        </w:rPr>
        <w:t>05547</w:t>
      </w:r>
    </w:p>
    <w:p w14:paraId="7EA9E287"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28B29F0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B30C9">
        <w:rPr>
          <w:rFonts w:ascii="Arial" w:eastAsia="Calibri" w:hAnsi="Arial" w:cs="Arial"/>
          <w:b/>
          <w:bCs/>
          <w:sz w:val="24"/>
        </w:rPr>
        <w:t xml:space="preserve">RRM requirements for </w:t>
      </w:r>
      <w:r w:rsidR="000B30C9">
        <w:rPr>
          <w:rFonts w:ascii="Arial" w:hAnsi="Arial" w:cs="Arial"/>
          <w:b/>
          <w:sz w:val="24"/>
        </w:rPr>
        <w:t xml:space="preserve">co-channel coexistence for LTE </w:t>
      </w:r>
      <w:proofErr w:type="spellStart"/>
      <w:r w:rsidR="000B30C9">
        <w:rPr>
          <w:rFonts w:ascii="Arial" w:hAnsi="Arial" w:cs="Arial"/>
          <w:b/>
          <w:sz w:val="24"/>
        </w:rPr>
        <w:t>sidelink</w:t>
      </w:r>
      <w:proofErr w:type="spellEnd"/>
      <w:r w:rsidR="000B30C9">
        <w:rPr>
          <w:rFonts w:ascii="Arial" w:hAnsi="Arial" w:cs="Arial"/>
          <w:b/>
          <w:sz w:val="24"/>
        </w:rPr>
        <w:t xml:space="preserve"> and NR </w:t>
      </w:r>
      <w:proofErr w:type="spellStart"/>
      <w:r w:rsidR="000B30C9">
        <w:rPr>
          <w:rFonts w:ascii="Arial" w:hAnsi="Arial" w:cs="Arial"/>
          <w:b/>
          <w:sz w:val="24"/>
        </w:rPr>
        <w:t>sidelink</w:t>
      </w:r>
      <w:proofErr w:type="spellEnd"/>
      <w:r w:rsidR="000B30C9" w:rsidRPr="007C1696" w:rsidDel="0016010C">
        <w:rPr>
          <w:rFonts w:ascii="Arial" w:eastAsia="Calibri" w:hAnsi="Arial" w:cs="Arial"/>
          <w:b/>
          <w:bCs/>
          <w:sz w:val="24"/>
          <w:highlight w:val="yellow"/>
        </w:rPr>
        <w:t xml:space="preserve"> </w:t>
      </w:r>
    </w:p>
    <w:p w14:paraId="0E1AC063" w14:textId="66C8FC8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37620">
        <w:rPr>
          <w:rFonts w:ascii="Arial" w:eastAsia="MS Mincho" w:hAnsi="Arial" w:cs="Arial"/>
          <w:b/>
          <w:bCs/>
          <w:sz w:val="24"/>
          <w:szCs w:val="20"/>
        </w:rPr>
        <w:t>5.</w:t>
      </w:r>
      <w:r w:rsidR="009205E1">
        <w:rPr>
          <w:rFonts w:ascii="Arial" w:eastAsia="MS Mincho" w:hAnsi="Arial" w:cs="Arial"/>
          <w:b/>
          <w:bCs/>
          <w:sz w:val="24"/>
          <w:szCs w:val="20"/>
        </w:rPr>
        <w:t>31</w:t>
      </w:r>
      <w:r w:rsidR="00C37620">
        <w:rPr>
          <w:rFonts w:ascii="Arial" w:eastAsia="MS Mincho" w:hAnsi="Arial" w:cs="Arial"/>
          <w:b/>
          <w:bCs/>
          <w:sz w:val="24"/>
          <w:szCs w:val="20"/>
        </w:rPr>
        <w:t>.3</w:t>
      </w:r>
      <w:r w:rsidR="009205E1">
        <w:rPr>
          <w:rFonts w:ascii="Arial" w:eastAsia="MS Mincho" w:hAnsi="Arial" w:cs="Arial"/>
          <w:b/>
          <w:bCs/>
          <w:sz w:val="24"/>
          <w:szCs w:val="20"/>
        </w:rPr>
        <w:t>.3</w:t>
      </w:r>
    </w:p>
    <w:p w14:paraId="33535AC0"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Default="00841BCD" w:rsidP="00C4583A">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0F729AD" w14:textId="5C49596F" w:rsidR="00B151EB" w:rsidRPr="00B151EB" w:rsidRDefault="00B151EB" w:rsidP="00B151EB">
      <w:r>
        <w:rPr>
          <w:rStyle w:val="normaltextrun"/>
          <w:color w:val="000000"/>
          <w:szCs w:val="20"/>
          <w:shd w:val="clear" w:color="auto" w:fill="FFFFFF"/>
        </w:rPr>
        <w:t xml:space="preserve">The revised WID on NR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evolution </w:t>
      </w:r>
      <w:r w:rsidR="00334A82" w:rsidRPr="6876DF70">
        <w:rPr>
          <w:rFonts w:eastAsia="Times New Roman" w:cs="Times New Roman"/>
          <w:color w:val="000000" w:themeColor="text1"/>
        </w:rPr>
        <w:t>from 3GPP TSG RAN Meeting #9</w:t>
      </w:r>
      <w:r w:rsidR="00334A82">
        <w:rPr>
          <w:rFonts w:eastAsia="Times New Roman" w:cs="Times New Roman"/>
          <w:color w:val="000000" w:themeColor="text1"/>
        </w:rPr>
        <w:t>9</w:t>
      </w:r>
      <w:r w:rsidR="00334A82" w:rsidRPr="6876DF70">
        <w:rPr>
          <w:rFonts w:eastAsia="Times New Roman" w:cs="Times New Roman"/>
          <w:color w:val="000000" w:themeColor="text1"/>
        </w:rPr>
        <w:t xml:space="preserve"> is presented </w:t>
      </w:r>
      <w:proofErr w:type="gramStart"/>
      <w:r w:rsidR="00334A82" w:rsidRPr="6876DF70">
        <w:rPr>
          <w:rFonts w:eastAsia="Times New Roman" w:cs="Times New Roman"/>
          <w:color w:val="000000" w:themeColor="text1"/>
        </w:rPr>
        <w:t>below</w:t>
      </w:r>
      <w:r>
        <w:rPr>
          <w:rStyle w:val="normaltextrun"/>
          <w:color w:val="000000"/>
          <w:szCs w:val="20"/>
          <w:shd w:val="clear" w:color="auto" w:fill="FFFFFF"/>
          <w:lang w:val="en-GB"/>
        </w:rPr>
        <w:t>[</w:t>
      </w:r>
      <w:proofErr w:type="gramEnd"/>
      <w:r>
        <w:rPr>
          <w:rStyle w:val="normaltextrun"/>
          <w:color w:val="000000"/>
          <w:szCs w:val="20"/>
          <w:shd w:val="clear" w:color="auto" w:fill="FFFFFF"/>
          <w:lang w:val="en-GB"/>
        </w:rPr>
        <w:t>1]</w:t>
      </w:r>
      <w:r w:rsidR="00334A82">
        <w:rPr>
          <w:rStyle w:val="normaltextrun"/>
          <w:color w:val="000000"/>
          <w:szCs w:val="20"/>
          <w:shd w:val="clear" w:color="auto" w:fill="FFFFFF"/>
          <w:lang w:val="en-GB"/>
        </w:rPr>
        <w:t>,</w:t>
      </w:r>
      <w:r>
        <w:rPr>
          <w:rStyle w:val="normaltextrun"/>
          <w:color w:val="000000"/>
          <w:szCs w:val="20"/>
          <w:shd w:val="clear" w:color="auto" w:fill="FFFFFF"/>
        </w:rPr>
        <w:t xml:space="preserve"> includes the following objective for co-channel co-existence of NR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and LTE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operation in common spectrum: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B151EB" w14:paraId="636D4D0B" w14:textId="77777777" w:rsidTr="00B151EB">
        <w:tc>
          <w:tcPr>
            <w:tcW w:w="9617" w:type="dxa"/>
          </w:tcPr>
          <w:p w14:paraId="1BCB357C" w14:textId="77777777" w:rsidR="00B151EB" w:rsidRDefault="00B151EB" w:rsidP="00B151EB">
            <w:pPr>
              <w:spacing w:before="120"/>
              <w:rPr>
                <w:rFonts w:ascii="Times" w:hAnsi="Times" w:cs="Times"/>
                <w:iCs/>
              </w:rPr>
            </w:pPr>
            <w:r>
              <w:rPr>
                <w:rFonts w:ascii="Times" w:hAnsi="Times" w:cs="Times"/>
              </w:rPr>
              <w:t xml:space="preserve">Study and specify, if necessary, mechanism(s) for co-channel coexistence for LTE </w:t>
            </w:r>
            <w:proofErr w:type="spellStart"/>
            <w:r>
              <w:rPr>
                <w:rFonts w:ascii="Times" w:hAnsi="Times" w:cs="Times"/>
              </w:rPr>
              <w:t>sidelink</w:t>
            </w:r>
            <w:proofErr w:type="spellEnd"/>
            <w:r>
              <w:rPr>
                <w:rFonts w:ascii="Times" w:hAnsi="Times" w:cs="Times"/>
              </w:rPr>
              <w:t xml:space="preserve"> and NR </w:t>
            </w:r>
            <w:proofErr w:type="spellStart"/>
            <w:r>
              <w:rPr>
                <w:rFonts w:ascii="Times" w:hAnsi="Times" w:cs="Times"/>
              </w:rPr>
              <w:t>sidelink</w:t>
            </w:r>
            <w:proofErr w:type="spellEnd"/>
            <w:r>
              <w:rPr>
                <w:rFonts w:ascii="Times" w:hAnsi="Times" w:cs="Times"/>
              </w:rPr>
              <w:t xml:space="preserve"> including performance, necessity, feasibility, and potential specification impact if any [RAN1, RAN2, </w:t>
            </w:r>
            <w:r w:rsidRPr="00B151EB">
              <w:rPr>
                <w:rFonts w:ascii="Times" w:hAnsi="Times" w:cs="Times"/>
                <w:highlight w:val="yellow"/>
              </w:rPr>
              <w:t>RAN4</w:t>
            </w:r>
            <w:r>
              <w:rPr>
                <w:rFonts w:ascii="Times" w:hAnsi="Times" w:cs="Times"/>
              </w:rPr>
              <w:t>]</w:t>
            </w:r>
          </w:p>
          <w:p w14:paraId="5DCFA984" w14:textId="77777777" w:rsidR="00B151EB" w:rsidRDefault="00B151EB" w:rsidP="00C4583A">
            <w:pPr>
              <w:numPr>
                <w:ilvl w:val="0"/>
                <w:numId w:val="37"/>
              </w:numPr>
              <w:spacing w:before="60" w:after="60"/>
              <w:ind w:left="993" w:hanging="284"/>
              <w:rPr>
                <w:rFonts w:ascii="Times" w:hAnsi="Times" w:cs="Times"/>
                <w:iCs/>
                <w:lang w:eastAsia="ko-KR"/>
              </w:rPr>
            </w:pPr>
            <w:r>
              <w:rPr>
                <w:rFonts w:ascii="Times" w:hAnsi="Times" w:cs="Times"/>
                <w:lang w:eastAsia="ko-KR"/>
              </w:rPr>
              <w:t>Reuse the in-device coexistence framework defined in Rel-16 as much as possible</w:t>
            </w:r>
          </w:p>
          <w:p w14:paraId="02A71422" w14:textId="77777777" w:rsidR="00B151EB" w:rsidRDefault="00B151EB" w:rsidP="00C4583A">
            <w:pPr>
              <w:numPr>
                <w:ilvl w:val="0"/>
                <w:numId w:val="37"/>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5EBC1465" w14:textId="77777777" w:rsidR="00B151EB" w:rsidRDefault="00B151EB" w:rsidP="00C4583A">
            <w:pPr>
              <w:numPr>
                <w:ilvl w:val="0"/>
                <w:numId w:val="37"/>
              </w:numPr>
              <w:spacing w:before="60" w:after="60"/>
              <w:ind w:left="993" w:hanging="284"/>
              <w:rPr>
                <w:rFonts w:ascii="Times" w:hAnsi="Times" w:cs="Times"/>
                <w:iCs/>
                <w:lang w:eastAsia="ko-KR"/>
              </w:rPr>
            </w:pPr>
            <w:r>
              <w:rPr>
                <w:rFonts w:ascii="Times" w:hAnsi="Times" w:cs="Times"/>
                <w:iCs/>
                <w:lang w:eastAsia="ko-KR"/>
              </w:rPr>
              <w:t xml:space="preserve">RAN1 is tasked </w:t>
            </w:r>
            <w:r w:rsidRPr="008B6295">
              <w:rPr>
                <w:rFonts w:ascii="Times" w:hAnsi="Times" w:cs="Times"/>
                <w:lang w:eastAsia="ko-KR"/>
              </w:rPr>
              <w:t>to support only 15 and 30 kHz SCSs</w:t>
            </w:r>
            <w:r>
              <w:rPr>
                <w:rFonts w:ascii="Times" w:hAnsi="Times" w:cs="Times"/>
                <w:iCs/>
                <w:lang w:eastAsia="ko-KR"/>
              </w:rPr>
              <w:t xml:space="preserve"> for dynamic resource pool sharing. Existing RAN1 agreements for dynamic resource pool sharing apply to support of 30 kHz.</w:t>
            </w:r>
          </w:p>
          <w:p w14:paraId="706761CC" w14:textId="77777777" w:rsidR="00B151EB" w:rsidRDefault="00B151EB" w:rsidP="00C4583A">
            <w:pPr>
              <w:numPr>
                <w:ilvl w:val="1"/>
                <w:numId w:val="37"/>
              </w:numPr>
              <w:spacing w:before="60" w:after="60"/>
              <w:rPr>
                <w:rFonts w:ascii="Times" w:hAnsi="Times" w:cs="Times"/>
                <w:iCs/>
                <w:lang w:eastAsia="ko-KR"/>
              </w:rPr>
            </w:pPr>
            <w:r>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491FD0A9"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No change to the R16/17 resource allocation procedure in PHY due to this restriction</w:t>
            </w:r>
          </w:p>
          <w:p w14:paraId="6494BF7B"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The existing SL slot structure from Rel-16 is unchanged</w:t>
            </w:r>
          </w:p>
          <w:p w14:paraId="3982B497"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The starting symbol of the first of the overlapping NR SL slots is assumed to be aligned with the first symbol of the LTE SL subframe</w:t>
            </w:r>
          </w:p>
          <w:p w14:paraId="6656D5B3" w14:textId="77777777" w:rsidR="00B151EB" w:rsidRDefault="00B151EB" w:rsidP="00C4583A">
            <w:pPr>
              <w:numPr>
                <w:ilvl w:val="1"/>
                <w:numId w:val="37"/>
              </w:numPr>
              <w:spacing w:before="60" w:after="60"/>
              <w:rPr>
                <w:rFonts w:ascii="Times" w:hAnsi="Times" w:cs="Times"/>
                <w:iCs/>
                <w:lang w:eastAsia="ko-KR"/>
              </w:rPr>
            </w:pPr>
            <w:r>
              <w:rPr>
                <w:rFonts w:ascii="Times" w:hAnsi="Times" w:cs="Times"/>
                <w:iCs/>
                <w:lang w:eastAsia="ko-KR"/>
              </w:rPr>
              <w:t xml:space="preserve">For NR SL with 15/30kHz SCSs, NR SL UE avoids selecting resources for PSCCH/PSSCH transmissions where the corresponding </w:t>
            </w:r>
            <w:r w:rsidRPr="008B6295">
              <w:rPr>
                <w:rFonts w:ascii="Times" w:hAnsi="Times" w:cs="Times"/>
                <w:lang w:eastAsia="ko-KR"/>
              </w:rPr>
              <w:t>PSFCH transmission</w:t>
            </w:r>
            <w:r>
              <w:rPr>
                <w:rFonts w:ascii="Times" w:hAnsi="Times" w:cs="Times"/>
                <w:iCs/>
                <w:lang w:eastAsia="ko-KR"/>
              </w:rPr>
              <w:t xml:space="preserve"> occasions overlap with LTE SL reservations in time domain</w:t>
            </w:r>
          </w:p>
          <w:p w14:paraId="2C5133DB"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 xml:space="preserve">Note, this is </w:t>
            </w:r>
            <w:proofErr w:type="spellStart"/>
            <w:r>
              <w:rPr>
                <w:rFonts w:ascii="Times" w:hAnsi="Times" w:cs="Times"/>
                <w:iCs/>
                <w:lang w:eastAsia="ko-KR"/>
              </w:rPr>
              <w:t>inline</w:t>
            </w:r>
            <w:proofErr w:type="spellEnd"/>
            <w:r>
              <w:rPr>
                <w:rFonts w:ascii="Times" w:hAnsi="Times" w:cs="Times"/>
                <w:iCs/>
                <w:lang w:eastAsia="ko-KR"/>
              </w:rPr>
              <w:t xml:space="preserve"> with </w:t>
            </w:r>
            <w:r w:rsidRPr="008B6295">
              <w:rPr>
                <w:rFonts w:ascii="Times" w:hAnsi="Times" w:cs="Times"/>
                <w:lang w:eastAsia="ko-KR"/>
              </w:rPr>
              <w:t>Option 1-2</w:t>
            </w:r>
            <w:r>
              <w:rPr>
                <w:rFonts w:ascii="Times" w:hAnsi="Times" w:cs="Times"/>
                <w:iCs/>
                <w:lang w:eastAsia="ko-KR"/>
              </w:rPr>
              <w:t xml:space="preserve"> in the working assumption made in RAN1#112. No other options from the working assumption need to be considered.</w:t>
            </w:r>
          </w:p>
          <w:p w14:paraId="423F2DC1" w14:textId="77777777" w:rsidR="00B151EB" w:rsidRDefault="00B151EB" w:rsidP="00C4583A">
            <w:pPr>
              <w:numPr>
                <w:ilvl w:val="1"/>
                <w:numId w:val="37"/>
              </w:numPr>
              <w:spacing w:before="60" w:after="60"/>
              <w:rPr>
                <w:rFonts w:ascii="Times" w:hAnsi="Times" w:cs="Times"/>
                <w:iCs/>
                <w:lang w:eastAsia="ko-KR"/>
              </w:rPr>
            </w:pPr>
            <w:r>
              <w:rPr>
                <w:rFonts w:ascii="Times" w:hAnsi="Times" w:cs="Times"/>
                <w:iCs/>
                <w:lang w:eastAsia="ko-KR"/>
              </w:rPr>
              <w:t>Mode 2 operation only</w:t>
            </w:r>
          </w:p>
          <w:p w14:paraId="36A141FD" w14:textId="77777777" w:rsidR="00B151EB" w:rsidRDefault="00B151EB" w:rsidP="005C23A4"/>
        </w:tc>
      </w:tr>
    </w:tbl>
    <w:p w14:paraId="74EB711B" w14:textId="77777777" w:rsidR="00D41565" w:rsidRDefault="00D41565" w:rsidP="005C23A4"/>
    <w:p w14:paraId="075F162B" w14:textId="2F64866A" w:rsidR="00C4583A" w:rsidRPr="00EF698B" w:rsidRDefault="006A4403" w:rsidP="005C23A4">
      <w:r>
        <w:t xml:space="preserve">In the </w:t>
      </w:r>
      <w:r w:rsidR="00BF02B9">
        <w:t>RAN#99, objective is agreed</w:t>
      </w:r>
      <w:r w:rsidR="000E64D6">
        <w:t xml:space="preserve"> that</w:t>
      </w:r>
      <w:r w:rsidR="00BF02B9">
        <w:t xml:space="preserve"> </w:t>
      </w:r>
      <w:r w:rsidR="007E7084">
        <w:t xml:space="preserve">in mode 2 operation </w:t>
      </w:r>
      <w:r w:rsidR="00BF02B9">
        <w:t xml:space="preserve">to consider 15 and 30 </w:t>
      </w:r>
      <w:proofErr w:type="spellStart"/>
      <w:r w:rsidR="00BF02B9">
        <w:t>KHz</w:t>
      </w:r>
      <w:proofErr w:type="spellEnd"/>
      <w:r w:rsidR="00BF02B9">
        <w:t xml:space="preserve"> </w:t>
      </w:r>
      <w:r w:rsidR="00823D39">
        <w:t xml:space="preserve">SCS </w:t>
      </w:r>
      <w:r w:rsidR="00FA1028">
        <w:t xml:space="preserve">for NR SL </w:t>
      </w:r>
      <w:r w:rsidR="00E001F2">
        <w:t xml:space="preserve">with dynamic resource pool sharing </w:t>
      </w:r>
      <w:r w:rsidR="00F20F46">
        <w:t xml:space="preserve">where </w:t>
      </w:r>
      <w:r w:rsidR="008B6295">
        <w:t>at least</w:t>
      </w:r>
      <w:r w:rsidR="009F2084">
        <w:t xml:space="preserve"> first of NR slots </w:t>
      </w:r>
      <w:r w:rsidR="00D37670">
        <w:t>overlaps with LTE SL subframe</w:t>
      </w:r>
      <w:r w:rsidR="00407E75">
        <w:t xml:space="preserve"> which is assumed to be aligned </w:t>
      </w:r>
      <w:r w:rsidR="00AB742F">
        <w:t>with the first symbol of the LTE SL subframe</w:t>
      </w:r>
      <w:r w:rsidR="000370EE">
        <w:t xml:space="preserve"> with no change in existing </w:t>
      </w:r>
      <w:r w:rsidR="00E737CC">
        <w:t>PHY resource allocation procedure in R16/17 and the existing SL slo</w:t>
      </w:r>
      <w:r w:rsidR="001C32CB">
        <w:t>t format from Rel-16.</w:t>
      </w:r>
    </w:p>
    <w:p w14:paraId="65E21EC0" w14:textId="77777777" w:rsidR="003B659E" w:rsidRPr="00EF698B" w:rsidRDefault="003B659E" w:rsidP="00C4583A">
      <w:pPr>
        <w:pStyle w:val="RAN4H1"/>
        <w:rPr>
          <w:lang w:val="en-US"/>
        </w:rPr>
      </w:pPr>
      <w:bookmarkStart w:id="4" w:name="_Toc116995842"/>
      <w:r w:rsidRPr="00EF698B">
        <w:rPr>
          <w:lang w:val="en-US"/>
        </w:rPr>
        <w:t>Discussion</w:t>
      </w:r>
      <w:bookmarkEnd w:id="4"/>
    </w:p>
    <w:p w14:paraId="59071D19" w14:textId="4F3B7213" w:rsidR="00295A5B" w:rsidRDefault="00C4583A" w:rsidP="00295A5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Co-channel co-existence between two RATs can be achieved in a semi-static manner by enforcing TDM, FDM resource sharing, or it can be done using a dynamic radio resource sharing mechanism. Translated into NR-LTE </w:t>
      </w:r>
      <w:proofErr w:type="spellStart"/>
      <w:r>
        <w:rPr>
          <w:rStyle w:val="normaltextrun"/>
          <w:sz w:val="20"/>
          <w:szCs w:val="20"/>
          <w:lang w:val="en-US"/>
        </w:rPr>
        <w:t>sidelink</w:t>
      </w:r>
      <w:proofErr w:type="spellEnd"/>
      <w:r>
        <w:rPr>
          <w:rStyle w:val="normaltextrun"/>
          <w:sz w:val="20"/>
          <w:szCs w:val="20"/>
          <w:lang w:val="en-US"/>
        </w:rPr>
        <w:t xml:space="preserve"> co-channel coexistence that corresponds to NR and LTE being configured with a non-overlapping RP (in time) for TDM, or a non-overlapping RP (in frequency) for FDM or a fully or partially overlapping RP where a set of rules and observations of the other RATs behavior decides when the device can access the RP (for dynamic). RAN1 has concluded that TDM co-channel coexistence can be achieved with no specification changes needed (hence no RAN4 </w:t>
      </w:r>
      <w:r>
        <w:rPr>
          <w:rStyle w:val="normaltextrun"/>
          <w:sz w:val="20"/>
          <w:szCs w:val="20"/>
          <w:lang w:val="en-US"/>
        </w:rPr>
        <w:lastRenderedPageBreak/>
        <w:t>impact expected there either). RAN1 are currently focused on dynamic co-channel coexistence where RAN4 impact is also expected.</w:t>
      </w:r>
      <w:r>
        <w:rPr>
          <w:rStyle w:val="eop"/>
          <w:sz w:val="20"/>
          <w:szCs w:val="20"/>
        </w:rPr>
        <w:t> </w:t>
      </w:r>
      <w:r>
        <w:rPr>
          <w:rStyle w:val="normaltextrun"/>
          <w:sz w:val="20"/>
          <w:szCs w:val="20"/>
          <w:lang w:val="en-US"/>
        </w:rPr>
        <w:t xml:space="preserve">As no specification changes are allowed on the LTE SL specifications to support co-channel coexistence with NR SL, the focus is on the NR behavior to dynamically coexist with LTE SL. </w:t>
      </w:r>
      <w:r w:rsidR="00BD2490">
        <w:rPr>
          <w:rStyle w:val="normaltextrun"/>
          <w:sz w:val="20"/>
          <w:szCs w:val="20"/>
          <w:lang w:val="en-US"/>
        </w:rPr>
        <w:t>Below we will discuss the different areas that will have RAN4 RRM impact.</w:t>
      </w:r>
      <w:r w:rsidR="00012C62">
        <w:rPr>
          <w:rStyle w:val="normaltextrun"/>
          <w:sz w:val="20"/>
          <w:szCs w:val="20"/>
          <w:lang w:val="en-US"/>
        </w:rPr>
        <w:t xml:space="preserve"> RAN1 currently puts high priority on what is known as a Type-A device, which consists of an NR and LTE </w:t>
      </w:r>
      <w:proofErr w:type="gramStart"/>
      <w:r w:rsidR="00012C62">
        <w:rPr>
          <w:rStyle w:val="normaltextrun"/>
          <w:sz w:val="20"/>
          <w:szCs w:val="20"/>
          <w:lang w:val="en-US"/>
        </w:rPr>
        <w:t>module</w:t>
      </w:r>
      <w:proofErr w:type="gramEnd"/>
      <w:r w:rsidR="00012C62">
        <w:rPr>
          <w:rStyle w:val="normaltextrun"/>
          <w:sz w:val="20"/>
          <w:szCs w:val="20"/>
          <w:lang w:val="en-US"/>
        </w:rPr>
        <w:t xml:space="preserve"> and it is assumed that these have an internal interface for in-device coexistence.</w:t>
      </w:r>
    </w:p>
    <w:p w14:paraId="7E281F21" w14:textId="6DBCDA43" w:rsidR="00BD2490" w:rsidRDefault="00BD2490" w:rsidP="00295A5B">
      <w:pPr>
        <w:pStyle w:val="paragraph"/>
        <w:spacing w:before="0" w:beforeAutospacing="0" w:after="0" w:afterAutospacing="0"/>
        <w:textAlignment w:val="baseline"/>
        <w:rPr>
          <w:rStyle w:val="normaltextrun"/>
          <w:sz w:val="20"/>
          <w:szCs w:val="20"/>
          <w:lang w:val="en-US"/>
        </w:rPr>
      </w:pPr>
    </w:p>
    <w:p w14:paraId="26140DC5" w14:textId="77777777" w:rsidR="00B04E6F" w:rsidRDefault="00B04E6F" w:rsidP="00C4583A">
      <w:pPr>
        <w:pStyle w:val="paragraph"/>
        <w:spacing w:before="0" w:beforeAutospacing="0" w:after="0" w:afterAutospacing="0"/>
        <w:textAlignment w:val="baseline"/>
        <w:rPr>
          <w:rStyle w:val="normaltextrun"/>
          <w:b/>
          <w:sz w:val="20"/>
          <w:szCs w:val="20"/>
          <w:u w:val="single"/>
          <w:lang w:val="en-US"/>
        </w:rPr>
      </w:pPr>
    </w:p>
    <w:p w14:paraId="33A51B96" w14:textId="3E643A0E" w:rsidR="00C4583A" w:rsidRDefault="00C4583A" w:rsidP="00C4583A">
      <w:pPr>
        <w:pStyle w:val="paragraph"/>
        <w:spacing w:before="0" w:beforeAutospacing="0" w:after="0" w:afterAutospacing="0"/>
        <w:textAlignment w:val="baseline"/>
        <w:rPr>
          <w:sz w:val="20"/>
          <w:szCs w:val="20"/>
        </w:rPr>
      </w:pPr>
      <w:r>
        <w:rPr>
          <w:rStyle w:val="normaltextrun"/>
          <w:b/>
          <w:bCs/>
          <w:sz w:val="20"/>
          <w:szCs w:val="20"/>
          <w:u w:val="single"/>
          <w:lang w:val="en-US"/>
        </w:rPr>
        <w:t>Synchronization for co-channel coexistence.</w:t>
      </w:r>
      <w:r>
        <w:rPr>
          <w:rStyle w:val="eop"/>
          <w:sz w:val="20"/>
          <w:szCs w:val="20"/>
        </w:rPr>
        <w:t> </w:t>
      </w:r>
    </w:p>
    <w:p w14:paraId="60200ECD" w14:textId="12D0B8E4" w:rsidR="00C4583A" w:rsidRDefault="00C4583A" w:rsidP="00C4583A">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It is</w:t>
      </w:r>
      <w:r w:rsidDel="00D205E7">
        <w:rPr>
          <w:rStyle w:val="normaltextrun"/>
          <w:sz w:val="20"/>
          <w:szCs w:val="20"/>
          <w:lang w:val="en-US"/>
        </w:rPr>
        <w:t xml:space="preserve"> </w:t>
      </w:r>
      <w:r>
        <w:rPr>
          <w:rStyle w:val="normaltextrun"/>
          <w:sz w:val="20"/>
          <w:szCs w:val="20"/>
          <w:lang w:val="en-US"/>
        </w:rPr>
        <w:t>expected that synchronization will be impacted by the co-channel coexistence framework to be specified. LTE and NR modules</w:t>
      </w:r>
      <w:r w:rsidR="00012C62">
        <w:rPr>
          <w:rStyle w:val="normaltextrun"/>
          <w:sz w:val="20"/>
          <w:szCs w:val="20"/>
          <w:lang w:val="en-US"/>
        </w:rPr>
        <w:t xml:space="preserve"> can</w:t>
      </w:r>
      <w:r>
        <w:rPr>
          <w:rStyle w:val="normaltextrun"/>
          <w:sz w:val="20"/>
          <w:szCs w:val="20"/>
          <w:lang w:val="en-US"/>
        </w:rPr>
        <w:t xml:space="preserve"> have slightly different synchronization reference priority tables due to NR SL being able to synchronize to both </w:t>
      </w:r>
      <w:proofErr w:type="spellStart"/>
      <w:r>
        <w:rPr>
          <w:rStyle w:val="normaltextrun"/>
          <w:sz w:val="20"/>
          <w:szCs w:val="20"/>
          <w:lang w:val="en-US"/>
        </w:rPr>
        <w:t>gNB</w:t>
      </w:r>
      <w:proofErr w:type="spellEnd"/>
      <w:r>
        <w:rPr>
          <w:rStyle w:val="normaltextrun"/>
          <w:sz w:val="20"/>
          <w:szCs w:val="20"/>
          <w:lang w:val="en-US"/>
        </w:rPr>
        <w:t xml:space="preserve"> and eNB whereas LTE SL cannot synchronize to a </w:t>
      </w:r>
      <w:proofErr w:type="spellStart"/>
      <w:r>
        <w:rPr>
          <w:rStyle w:val="normaltextrun"/>
          <w:sz w:val="20"/>
          <w:szCs w:val="20"/>
          <w:lang w:val="en-US"/>
        </w:rPr>
        <w:t>gNB</w:t>
      </w:r>
      <w:proofErr w:type="spellEnd"/>
      <w:r w:rsidR="00012C62">
        <w:rPr>
          <w:rStyle w:val="normaltextrun"/>
          <w:sz w:val="20"/>
          <w:szCs w:val="20"/>
          <w:lang w:val="en-US"/>
        </w:rPr>
        <w:t xml:space="preserve">. To a far extend this can be handled by implementation such that </w:t>
      </w:r>
      <w:r w:rsidR="001660B4">
        <w:rPr>
          <w:rStyle w:val="normaltextrun"/>
          <w:sz w:val="20"/>
          <w:szCs w:val="20"/>
          <w:lang w:val="en-US"/>
        </w:rPr>
        <w:t>a</w:t>
      </w:r>
      <w:r w:rsidR="00012C62">
        <w:rPr>
          <w:rStyle w:val="normaltextrun"/>
          <w:sz w:val="20"/>
          <w:szCs w:val="20"/>
          <w:lang w:val="en-US"/>
        </w:rPr>
        <w:t xml:space="preserve"> Type-A module </w:t>
      </w:r>
      <w:r w:rsidR="001660B4">
        <w:rPr>
          <w:rStyle w:val="normaltextrun"/>
          <w:sz w:val="20"/>
          <w:szCs w:val="20"/>
          <w:lang w:val="en-US"/>
        </w:rPr>
        <w:t xml:space="preserve">can </w:t>
      </w:r>
      <w:r w:rsidR="00733EEB">
        <w:rPr>
          <w:rStyle w:val="normaltextrun"/>
          <w:sz w:val="20"/>
          <w:szCs w:val="20"/>
          <w:lang w:val="en-US"/>
        </w:rPr>
        <w:t xml:space="preserve">conform with the </w:t>
      </w:r>
      <w:r w:rsidR="00047600">
        <w:rPr>
          <w:rStyle w:val="normaltextrun"/>
          <w:sz w:val="20"/>
          <w:szCs w:val="20"/>
          <w:lang w:val="en-US"/>
        </w:rPr>
        <w:t>timing</w:t>
      </w:r>
      <w:r w:rsidR="00733EEB">
        <w:rPr>
          <w:rStyle w:val="normaltextrun"/>
          <w:sz w:val="20"/>
          <w:szCs w:val="20"/>
          <w:lang w:val="en-US"/>
        </w:rPr>
        <w:t xml:space="preserve"> requirements for both the LTE and NR modul</w:t>
      </w:r>
      <w:r w:rsidR="002D0DB9">
        <w:rPr>
          <w:rStyle w:val="normaltextrun"/>
          <w:sz w:val="20"/>
          <w:szCs w:val="20"/>
          <w:lang w:val="en-US"/>
        </w:rPr>
        <w:t xml:space="preserve">e, and RAN4 </w:t>
      </w:r>
      <w:r w:rsidR="00F20C80">
        <w:rPr>
          <w:rStyle w:val="normaltextrun"/>
          <w:sz w:val="20"/>
          <w:szCs w:val="20"/>
          <w:lang w:val="en-US"/>
        </w:rPr>
        <w:t>may not expect any work related to the Type-A device internal handling.</w:t>
      </w:r>
      <w:r w:rsidR="005E045B">
        <w:rPr>
          <w:rStyle w:val="normaltextrun"/>
          <w:sz w:val="20"/>
          <w:szCs w:val="20"/>
          <w:lang w:val="en-US"/>
        </w:rPr>
        <w:t xml:space="preserve"> </w:t>
      </w:r>
    </w:p>
    <w:p w14:paraId="35163913" w14:textId="77777777" w:rsidR="007B6DA2" w:rsidRDefault="007B6DA2" w:rsidP="00C4583A">
      <w:pPr>
        <w:pStyle w:val="paragraph"/>
        <w:spacing w:before="0" w:beforeAutospacing="0" w:after="0" w:afterAutospacing="0"/>
        <w:jc w:val="both"/>
        <w:textAlignment w:val="baseline"/>
        <w:rPr>
          <w:rStyle w:val="normaltextrun"/>
          <w:sz w:val="20"/>
          <w:szCs w:val="20"/>
          <w:lang w:val="en-US"/>
        </w:rPr>
      </w:pPr>
    </w:p>
    <w:p w14:paraId="359F092F" w14:textId="0B45565A" w:rsidR="007B6DA2" w:rsidRPr="0050163E" w:rsidRDefault="007B6DA2" w:rsidP="00C4583A">
      <w:pPr>
        <w:pStyle w:val="paragraph"/>
        <w:spacing w:before="0" w:beforeAutospacing="0" w:after="0" w:afterAutospacing="0"/>
        <w:jc w:val="both"/>
        <w:textAlignment w:val="baseline"/>
        <w:rPr>
          <w:sz w:val="20"/>
          <w:szCs w:val="20"/>
          <w:lang w:val="en-US"/>
        </w:rPr>
      </w:pPr>
      <w:r>
        <w:rPr>
          <w:rStyle w:val="normaltextrun"/>
          <w:sz w:val="20"/>
          <w:szCs w:val="20"/>
          <w:lang w:val="en-US"/>
        </w:rPr>
        <w:t xml:space="preserve">Another issue that RAN1 is currently discussing is how to deal with the reserved subframes and reserved slots and LTE SLSS and NR SLSS being transmitted in each </w:t>
      </w:r>
      <w:proofErr w:type="gramStart"/>
      <w:r>
        <w:rPr>
          <w:rStyle w:val="normaltextrun"/>
          <w:sz w:val="20"/>
          <w:szCs w:val="20"/>
          <w:lang w:val="en-US"/>
        </w:rPr>
        <w:t>sets</w:t>
      </w:r>
      <w:proofErr w:type="gramEnd"/>
      <w:r>
        <w:rPr>
          <w:rStyle w:val="normaltextrun"/>
          <w:sz w:val="20"/>
          <w:szCs w:val="20"/>
          <w:lang w:val="en-US"/>
        </w:rPr>
        <w:t xml:space="preserve"> of reserved resources. </w:t>
      </w:r>
      <w:r w:rsidR="00B761E6">
        <w:rPr>
          <w:rStyle w:val="normaltextrun"/>
          <w:sz w:val="20"/>
          <w:szCs w:val="20"/>
          <w:lang w:val="en-US"/>
        </w:rPr>
        <w:t xml:space="preserve">Here, NR will need to </w:t>
      </w:r>
      <w:proofErr w:type="gramStart"/>
      <w:r w:rsidR="00B761E6">
        <w:rPr>
          <w:rStyle w:val="normaltextrun"/>
          <w:sz w:val="20"/>
          <w:szCs w:val="20"/>
          <w:lang w:val="en-US"/>
        </w:rPr>
        <w:t>take into account</w:t>
      </w:r>
      <w:proofErr w:type="gramEnd"/>
      <w:r w:rsidR="00B761E6">
        <w:rPr>
          <w:rStyle w:val="normaltextrun"/>
          <w:sz w:val="20"/>
          <w:szCs w:val="20"/>
          <w:lang w:val="en-US"/>
        </w:rPr>
        <w:t xml:space="preserve"> where the LTE reserved subframes by for example excluding them from its resources set, using them for receiving LTE SLSS or </w:t>
      </w:r>
      <w:r w:rsidR="0093632F">
        <w:rPr>
          <w:rStyle w:val="normaltextrun"/>
          <w:sz w:val="20"/>
          <w:szCs w:val="20"/>
          <w:lang w:val="en-US"/>
        </w:rPr>
        <w:t xml:space="preserve">transmitting NR SLSS if they are not used by LTE. </w:t>
      </w:r>
      <w:r w:rsidR="004D23CA">
        <w:rPr>
          <w:rStyle w:val="normaltextrun"/>
          <w:sz w:val="20"/>
          <w:szCs w:val="20"/>
          <w:lang w:val="en-US"/>
        </w:rPr>
        <w:t>Depending on the solution RAN1 comes up with, it might have RAN4 impact</w:t>
      </w:r>
      <w:r w:rsidR="00D42125">
        <w:rPr>
          <w:rStyle w:val="normaltextrun"/>
          <w:sz w:val="20"/>
          <w:szCs w:val="20"/>
          <w:lang w:val="en-US"/>
        </w:rPr>
        <w:t xml:space="preserve"> for example if NR SL </w:t>
      </w:r>
      <w:r w:rsidR="001D557D">
        <w:rPr>
          <w:rStyle w:val="normaltextrun"/>
          <w:sz w:val="20"/>
          <w:szCs w:val="20"/>
          <w:lang w:val="en-US"/>
        </w:rPr>
        <w:t>will use LTE SLSS entirely</w:t>
      </w:r>
      <w:r w:rsidR="004D23CA">
        <w:rPr>
          <w:rStyle w:val="normaltextrun"/>
          <w:sz w:val="20"/>
          <w:szCs w:val="20"/>
          <w:lang w:val="en-US"/>
        </w:rPr>
        <w:t>.</w:t>
      </w:r>
    </w:p>
    <w:p w14:paraId="48E4A8FC" w14:textId="45607B70" w:rsidR="00C4583A" w:rsidRDefault="00C4583A" w:rsidP="6C17B2C7">
      <w:pPr>
        <w:pStyle w:val="paragraph"/>
        <w:spacing w:before="0" w:beforeAutospacing="0" w:after="0" w:afterAutospacing="0"/>
        <w:textAlignment w:val="baseline"/>
        <w:rPr>
          <w:rStyle w:val="eop"/>
          <w:b/>
          <w:bCs/>
          <w:sz w:val="20"/>
          <w:szCs w:val="20"/>
        </w:rPr>
      </w:pPr>
    </w:p>
    <w:p w14:paraId="0733B593" w14:textId="5D702A96" w:rsidR="00C4583A" w:rsidRDefault="00BE0234" w:rsidP="0050163E">
      <w:pPr>
        <w:pStyle w:val="RAN4proposal"/>
        <w:rPr>
          <w:szCs w:val="20"/>
        </w:rPr>
      </w:pPr>
      <w:r w:rsidRPr="6C17B2C7">
        <w:rPr>
          <w:rStyle w:val="normaltextrun"/>
        </w:rPr>
        <w:t>RAN4 awaits RAN1 outcome for solutions for synchronization between LTE and NR for co-channel coexistence. </w:t>
      </w:r>
      <w:r w:rsidR="00C4583A">
        <w:rPr>
          <w:rStyle w:val="eop"/>
          <w:szCs w:val="20"/>
        </w:rPr>
        <w:t> </w:t>
      </w:r>
    </w:p>
    <w:p w14:paraId="2CB7509E" w14:textId="4ACF485C" w:rsidR="003D178A" w:rsidRPr="0050163E" w:rsidRDefault="003D178A" w:rsidP="00C4583A">
      <w:pPr>
        <w:pStyle w:val="paragraph"/>
        <w:spacing w:before="0" w:beforeAutospacing="0" w:after="0" w:afterAutospacing="0"/>
        <w:textAlignment w:val="baseline"/>
        <w:rPr>
          <w:b/>
          <w:bCs/>
          <w:sz w:val="20"/>
          <w:szCs w:val="20"/>
          <w:u w:val="single"/>
        </w:rPr>
      </w:pPr>
      <w:r w:rsidRPr="0050163E">
        <w:rPr>
          <w:b/>
          <w:bCs/>
          <w:sz w:val="20"/>
          <w:szCs w:val="20"/>
          <w:u w:val="single"/>
        </w:rPr>
        <w:t>Test cases enhancements accounting for information from the LTE module</w:t>
      </w:r>
    </w:p>
    <w:p w14:paraId="4C964C89" w14:textId="4C8F4D12" w:rsidR="003D178A" w:rsidRDefault="001429D4" w:rsidP="00C4583A">
      <w:pPr>
        <w:pStyle w:val="paragraph"/>
        <w:spacing w:before="0" w:beforeAutospacing="0" w:after="0" w:afterAutospacing="0"/>
        <w:textAlignment w:val="baseline"/>
        <w:rPr>
          <w:sz w:val="20"/>
          <w:szCs w:val="20"/>
        </w:rPr>
      </w:pPr>
      <w:r>
        <w:rPr>
          <w:sz w:val="20"/>
          <w:szCs w:val="20"/>
        </w:rPr>
        <w:t xml:space="preserve">There are also come changes expected to the NR resource (re-)selection procedure which is currently captured in the test cases under A9.1.4. </w:t>
      </w:r>
      <w:r w:rsidR="004A117B">
        <w:rPr>
          <w:sz w:val="20"/>
          <w:szCs w:val="20"/>
        </w:rPr>
        <w:t>Based on current discussion in RAN1, t</w:t>
      </w:r>
      <w:r>
        <w:rPr>
          <w:sz w:val="20"/>
          <w:szCs w:val="20"/>
        </w:rPr>
        <w:t>he changes are expected to be the following:</w:t>
      </w:r>
    </w:p>
    <w:p w14:paraId="5580CC4E" w14:textId="77777777" w:rsidR="00657D63" w:rsidRPr="00657D63" w:rsidRDefault="00657D63" w:rsidP="00657D63">
      <w:pPr>
        <w:numPr>
          <w:ilvl w:val="0"/>
          <w:numId w:val="39"/>
        </w:numPr>
        <w:spacing w:after="0" w:line="240" w:lineRule="auto"/>
        <w:textAlignment w:val="center"/>
        <w:rPr>
          <w:rFonts w:eastAsia="Times New Roman" w:cs="Times New Roman"/>
          <w:sz w:val="24"/>
          <w:szCs w:val="24"/>
        </w:rPr>
      </w:pPr>
      <w:r w:rsidRPr="00657D63">
        <w:rPr>
          <w:rFonts w:eastAsia="Times New Roman" w:cs="Times New Roman"/>
          <w:szCs w:val="20"/>
        </w:rPr>
        <w:t xml:space="preserve">Exclusion based on the received information from the LTE module </w:t>
      </w:r>
      <w:r w:rsidRPr="0050163E">
        <w:rPr>
          <w:rFonts w:eastAsia="Times New Roman" w:cs="Times New Roman"/>
          <w:b/>
          <w:bCs/>
          <w:szCs w:val="20"/>
        </w:rPr>
        <w:t>from “other” LTE modules</w:t>
      </w:r>
      <w:r w:rsidRPr="00657D63">
        <w:rPr>
          <w:rFonts w:eastAsia="Times New Roman" w:cs="Times New Roman"/>
          <w:szCs w:val="20"/>
        </w:rPr>
        <w:t>.</w:t>
      </w:r>
    </w:p>
    <w:p w14:paraId="492AB190" w14:textId="77777777" w:rsidR="00657D63" w:rsidRPr="00657D63" w:rsidRDefault="00657D63" w:rsidP="00657D63">
      <w:pPr>
        <w:numPr>
          <w:ilvl w:val="0"/>
          <w:numId w:val="39"/>
        </w:numPr>
        <w:spacing w:after="0" w:line="240" w:lineRule="auto"/>
        <w:textAlignment w:val="center"/>
        <w:rPr>
          <w:rFonts w:eastAsia="Times New Roman" w:cs="Times New Roman"/>
          <w:sz w:val="24"/>
          <w:szCs w:val="24"/>
        </w:rPr>
      </w:pPr>
      <w:r w:rsidRPr="00657D63">
        <w:rPr>
          <w:rFonts w:eastAsia="Times New Roman" w:cs="Times New Roman"/>
          <w:szCs w:val="20"/>
        </w:rPr>
        <w:t xml:space="preserve">Exclusion based on the received information from the LTE module on </w:t>
      </w:r>
      <w:r w:rsidRPr="0050163E">
        <w:rPr>
          <w:rFonts w:eastAsia="Times New Roman" w:cs="Times New Roman"/>
          <w:b/>
          <w:bCs/>
          <w:szCs w:val="20"/>
        </w:rPr>
        <w:t>its own resource selection(s).</w:t>
      </w:r>
    </w:p>
    <w:p w14:paraId="05EACA5E" w14:textId="77777777" w:rsidR="00657D63" w:rsidRPr="00657D63" w:rsidRDefault="00657D63" w:rsidP="00657D63">
      <w:pPr>
        <w:numPr>
          <w:ilvl w:val="0"/>
          <w:numId w:val="39"/>
        </w:numPr>
        <w:spacing w:after="0" w:line="240" w:lineRule="auto"/>
        <w:textAlignment w:val="center"/>
        <w:rPr>
          <w:rFonts w:eastAsia="Times New Roman" w:cs="Times New Roman"/>
          <w:sz w:val="24"/>
          <w:szCs w:val="24"/>
        </w:rPr>
      </w:pPr>
      <w:r w:rsidRPr="00657D63">
        <w:rPr>
          <w:rFonts w:eastAsia="Times New Roman" w:cs="Times New Roman"/>
          <w:szCs w:val="20"/>
        </w:rPr>
        <w:t xml:space="preserve">Exclusion of candidate resources that will map to an </w:t>
      </w:r>
      <w:r w:rsidRPr="0050163E">
        <w:rPr>
          <w:rFonts w:eastAsia="Times New Roman" w:cs="Times New Roman"/>
          <w:b/>
          <w:bCs/>
          <w:szCs w:val="20"/>
        </w:rPr>
        <w:t>NR PSFCH that overlaps an LTE subframe</w:t>
      </w:r>
      <w:r w:rsidRPr="00657D63">
        <w:rPr>
          <w:rFonts w:eastAsia="Times New Roman" w:cs="Times New Roman"/>
          <w:szCs w:val="20"/>
        </w:rPr>
        <w:t xml:space="preserve"> with a reserved LTE SL resource.</w:t>
      </w:r>
    </w:p>
    <w:p w14:paraId="1B621E97" w14:textId="5628DA2E" w:rsidR="00657D63" w:rsidRPr="0050163E" w:rsidRDefault="00657D63" w:rsidP="6C17B2C7">
      <w:pPr>
        <w:numPr>
          <w:ilvl w:val="0"/>
          <w:numId w:val="39"/>
        </w:numPr>
        <w:spacing w:after="0" w:line="240" w:lineRule="auto"/>
        <w:textAlignment w:val="center"/>
        <w:rPr>
          <w:rFonts w:eastAsia="Times New Roman" w:cs="Times New Roman"/>
          <w:sz w:val="24"/>
          <w:szCs w:val="24"/>
        </w:rPr>
      </w:pPr>
      <w:r w:rsidRPr="6C17B2C7">
        <w:rPr>
          <w:rFonts w:eastAsia="Times New Roman" w:cs="Times New Roman"/>
        </w:rPr>
        <w:t xml:space="preserve">Exclusion of candidate resources based on </w:t>
      </w:r>
      <w:r w:rsidRPr="0050163E">
        <w:rPr>
          <w:rFonts w:eastAsia="Times New Roman" w:cs="Times New Roman"/>
          <w:b/>
          <w:bCs/>
        </w:rPr>
        <w:t>non-monitored LTE subframes</w:t>
      </w:r>
      <w:r w:rsidRPr="6C17B2C7">
        <w:rPr>
          <w:rFonts w:eastAsia="Times New Roman" w:cs="Times New Roman"/>
        </w:rPr>
        <w:t>.</w:t>
      </w:r>
    </w:p>
    <w:p w14:paraId="0D807630" w14:textId="7D79EF1D" w:rsidR="00D35AB2" w:rsidRDefault="00D35AB2" w:rsidP="6C17B2C7">
      <w:pPr>
        <w:spacing w:after="0" w:line="240" w:lineRule="auto"/>
        <w:textAlignment w:val="center"/>
        <w:rPr>
          <w:rFonts w:eastAsia="Times New Roman" w:cs="Times New Roman"/>
        </w:rPr>
      </w:pPr>
    </w:p>
    <w:p w14:paraId="1476D411" w14:textId="0261E1A5" w:rsidR="00DA1355" w:rsidRPr="00657D63" w:rsidRDefault="00DA1355" w:rsidP="0050163E">
      <w:pPr>
        <w:spacing w:after="0" w:line="240" w:lineRule="auto"/>
        <w:textAlignment w:val="center"/>
        <w:rPr>
          <w:rFonts w:eastAsia="Times New Roman" w:cs="Times New Roman"/>
          <w:sz w:val="24"/>
          <w:szCs w:val="24"/>
        </w:rPr>
      </w:pPr>
      <w:r w:rsidRPr="6C17B2C7">
        <w:rPr>
          <w:rFonts w:eastAsia="Times New Roman" w:cs="Times New Roman"/>
        </w:rPr>
        <w:t>The specific solutions are still being discussed</w:t>
      </w:r>
      <w:r w:rsidR="00C37B15" w:rsidRPr="6C17B2C7">
        <w:rPr>
          <w:rFonts w:eastAsia="Times New Roman" w:cs="Times New Roman"/>
        </w:rPr>
        <w:t xml:space="preserve">, so it </w:t>
      </w:r>
      <w:r w:rsidR="00297D69" w:rsidRPr="6C17B2C7">
        <w:rPr>
          <w:rFonts w:eastAsia="Times New Roman" w:cs="Times New Roman"/>
        </w:rPr>
        <w:t>would make sense that RAN4 awaits RAN1 for their completion of these discussions before RAN4 discusses how to capture these in an updated or new test case</w:t>
      </w:r>
      <w:r w:rsidR="00D35AB2" w:rsidRPr="6C17B2C7">
        <w:rPr>
          <w:rFonts w:eastAsia="Times New Roman" w:cs="Times New Roman"/>
        </w:rPr>
        <w:t>(</w:t>
      </w:r>
      <w:r w:rsidR="00297D69" w:rsidRPr="6C17B2C7">
        <w:rPr>
          <w:rFonts w:eastAsia="Times New Roman" w:cs="Times New Roman"/>
        </w:rPr>
        <w:t>s</w:t>
      </w:r>
      <w:r w:rsidR="00D35AB2" w:rsidRPr="6C17B2C7">
        <w:rPr>
          <w:rFonts w:eastAsia="Times New Roman" w:cs="Times New Roman"/>
        </w:rPr>
        <w:t>)</w:t>
      </w:r>
      <w:r w:rsidR="00297D69" w:rsidRPr="6C17B2C7">
        <w:rPr>
          <w:rFonts w:eastAsia="Times New Roman" w:cs="Times New Roman"/>
        </w:rPr>
        <w:t>.</w:t>
      </w:r>
      <w:r w:rsidR="00D35AB2" w:rsidRPr="6C17B2C7">
        <w:rPr>
          <w:rFonts w:eastAsia="Times New Roman" w:cs="Times New Roman"/>
        </w:rPr>
        <w:t xml:space="preserve"> </w:t>
      </w:r>
      <w:r w:rsidR="003750E3" w:rsidRPr="6C17B2C7">
        <w:rPr>
          <w:rFonts w:eastAsia="Times New Roman" w:cs="Times New Roman"/>
        </w:rPr>
        <w:t xml:space="preserve">From our point of view, it </w:t>
      </w:r>
      <w:r w:rsidR="000E1306" w:rsidRPr="6C17B2C7">
        <w:rPr>
          <w:rFonts w:eastAsia="Times New Roman" w:cs="Times New Roman"/>
        </w:rPr>
        <w:t>would be complicated to test all these features in a single test case</w:t>
      </w:r>
      <w:r w:rsidR="00BE7F99" w:rsidRPr="6C17B2C7">
        <w:rPr>
          <w:rFonts w:eastAsia="Times New Roman" w:cs="Times New Roman"/>
        </w:rPr>
        <w:t xml:space="preserve"> as the inputs </w:t>
      </w:r>
      <w:r w:rsidR="0059266D" w:rsidRPr="6C17B2C7">
        <w:rPr>
          <w:rFonts w:eastAsia="Times New Roman" w:cs="Times New Roman"/>
        </w:rPr>
        <w:t>can come from either other LTE modules, or the LTE module itself and PSFCH can be enabled or disabled</w:t>
      </w:r>
      <w:r w:rsidR="0078052E" w:rsidRPr="6C17B2C7">
        <w:rPr>
          <w:rFonts w:eastAsia="Times New Roman" w:cs="Times New Roman"/>
        </w:rPr>
        <w:t xml:space="preserve">. </w:t>
      </w:r>
    </w:p>
    <w:p w14:paraId="41696E38" w14:textId="7693E4FC" w:rsidR="00E27A31" w:rsidRDefault="00E27A31" w:rsidP="00E27A31">
      <w:pPr>
        <w:pStyle w:val="paragraph"/>
        <w:spacing w:before="0" w:beforeAutospacing="0" w:after="0" w:afterAutospacing="0"/>
        <w:textAlignment w:val="baseline"/>
        <w:rPr>
          <w:rStyle w:val="normaltextrun"/>
          <w:b/>
          <w:bCs/>
          <w:sz w:val="20"/>
          <w:szCs w:val="20"/>
          <w:lang w:val="en-US"/>
        </w:rPr>
      </w:pPr>
    </w:p>
    <w:p w14:paraId="08AEB9B8" w14:textId="308C8D79" w:rsidR="00E27A31" w:rsidRDefault="00BE0234" w:rsidP="0050163E">
      <w:pPr>
        <w:pStyle w:val="RAN4proposal"/>
      </w:pPr>
      <w:r>
        <w:t>RAN4 to wait for RAN1 to complete the resource (re-)selection procedure for a Type-A device before RAN4 continues to discuss the impact to the test for V2X UE autonomous Resource Selection/Reselection.</w:t>
      </w:r>
    </w:p>
    <w:p w14:paraId="78640450" w14:textId="4EE6E6FB" w:rsidR="00BE0234" w:rsidRDefault="00BE0234" w:rsidP="00BE0234">
      <w:r>
        <w:t xml:space="preserve">We will also need to derive a set of evaluation assumptions for testing NR SL and LTE SL in the same band. To keep things as simple as possible, it is our proposal that </w:t>
      </w:r>
      <w:proofErr w:type="gramStart"/>
      <w:r>
        <w:t>a</w:t>
      </w:r>
      <w:proofErr w:type="gramEnd"/>
      <w:r>
        <w:t xml:space="preserve"> LTE SL is configured with a SL resource pool, and NR SL is configured with another SL resource pool (details of resource pool configurations for NR for co-channel coexistence to be decided by RAN2 though), and aligning the sub-channel size for example to 10 RBs (that would mean 8 RBs for LTE PSSCH as 2RB for LTE PSCCH). For simplicity NR SL can use 15kHz SCS.</w:t>
      </w:r>
    </w:p>
    <w:p w14:paraId="4CA758E9" w14:textId="420E963E" w:rsidR="00CF4B8B" w:rsidRDefault="00BE0234" w:rsidP="0050163E">
      <w:pPr>
        <w:pStyle w:val="RAN4proposal"/>
        <w:rPr>
          <w:rStyle w:val="normaltextrun"/>
          <w:bCs/>
          <w:szCs w:val="20"/>
          <w:u w:val="single"/>
        </w:rPr>
      </w:pPr>
      <w:r>
        <w:t xml:space="preserve"> RAN4 to determine a set of evaluation parameters for NR SL and LTE SL coexistence. This can be with two perfectly aligned resource pools (in time and frequency) as well as equal subchannel sizes.</w:t>
      </w:r>
    </w:p>
    <w:p w14:paraId="7F4F3B19" w14:textId="35C7CA44" w:rsidR="00C4583A" w:rsidRDefault="00C4583A" w:rsidP="00C4583A">
      <w:pPr>
        <w:pStyle w:val="paragraph"/>
        <w:spacing w:before="0" w:beforeAutospacing="0" w:after="0" w:afterAutospacing="0"/>
        <w:textAlignment w:val="baseline"/>
        <w:rPr>
          <w:sz w:val="20"/>
          <w:szCs w:val="20"/>
        </w:rPr>
      </w:pPr>
      <w:r>
        <w:rPr>
          <w:rStyle w:val="normaltextrun"/>
          <w:b/>
          <w:bCs/>
          <w:sz w:val="20"/>
          <w:szCs w:val="20"/>
          <w:u w:val="single"/>
          <w:lang w:val="en-US"/>
        </w:rPr>
        <w:t>In-device co-existence (IDC)</w:t>
      </w:r>
      <w:r>
        <w:rPr>
          <w:rStyle w:val="eop"/>
          <w:sz w:val="20"/>
          <w:szCs w:val="20"/>
        </w:rPr>
        <w:t> </w:t>
      </w:r>
    </w:p>
    <w:p w14:paraId="1D9B1D81" w14:textId="77777777" w:rsidR="00C4583A" w:rsidRDefault="00C4583A" w:rsidP="00C4583A">
      <w:pPr>
        <w:pStyle w:val="paragraph"/>
        <w:spacing w:before="0" w:beforeAutospacing="0" w:after="0" w:afterAutospacing="0"/>
        <w:textAlignment w:val="baseline"/>
        <w:rPr>
          <w:sz w:val="20"/>
          <w:szCs w:val="20"/>
        </w:rPr>
      </w:pPr>
      <w:r>
        <w:rPr>
          <w:rStyle w:val="normaltextrun"/>
          <w:sz w:val="20"/>
          <w:szCs w:val="20"/>
          <w:lang w:val="en-US"/>
        </w:rPr>
        <w:t>The objective on co-channel coexistence builds on top of the existing in-device coexistence (IDC) framework, and it is assumed that a Type A device will still utilize this framework. The IDC framework provides a mechanism to resolve RX and TX event conflicts in a single device. It has been raised by some companies in RAN1 that enhancements are needed for the IDC framework but has not been discussed yet. It is our view that no enhancements are needed for the IDC framework to support Type A devices.</w:t>
      </w:r>
      <w:r>
        <w:rPr>
          <w:rStyle w:val="eop"/>
          <w:sz w:val="20"/>
          <w:szCs w:val="20"/>
        </w:rPr>
        <w:t> </w:t>
      </w:r>
    </w:p>
    <w:p w14:paraId="62C7953C" w14:textId="71BDE07A" w:rsidR="00C4583A" w:rsidRDefault="00C4583A" w:rsidP="00CF4B8B">
      <w:pPr>
        <w:pStyle w:val="paragraph"/>
        <w:spacing w:before="0" w:beforeAutospacing="0" w:after="0" w:afterAutospacing="0"/>
        <w:textAlignment w:val="baseline"/>
        <w:rPr>
          <w:b/>
          <w:bCs/>
          <w:sz w:val="20"/>
          <w:szCs w:val="20"/>
        </w:rPr>
      </w:pPr>
    </w:p>
    <w:p w14:paraId="1813C10C" w14:textId="6688CEED" w:rsidR="0060543D" w:rsidRDefault="00BE0234" w:rsidP="0050163E">
      <w:pPr>
        <w:pStyle w:val="RAN4proposal"/>
      </w:pPr>
      <w:r w:rsidRPr="00BE0234">
        <w:rPr>
          <w:rStyle w:val="normaltextrun"/>
          <w:bCs/>
          <w:szCs w:val="20"/>
        </w:rPr>
        <w:t>No enhancements for the IDC framework from Rel-16 is needed to support Type A devices for LTE and NR co-channel coexistence.</w:t>
      </w:r>
    </w:p>
    <w:p w14:paraId="48E19E69" w14:textId="77777777" w:rsidR="0060543D" w:rsidRPr="0060543D" w:rsidRDefault="0060543D" w:rsidP="0060543D"/>
    <w:p w14:paraId="1286ECB4" w14:textId="77777777" w:rsidR="00CD7492" w:rsidRPr="00EF698B" w:rsidRDefault="00CD7492" w:rsidP="00C4583A">
      <w:pPr>
        <w:pStyle w:val="RAN4H1"/>
        <w:rPr>
          <w:lang w:val="en-US"/>
        </w:rPr>
      </w:pPr>
      <w:bookmarkStart w:id="5" w:name="_Toc116995848"/>
      <w:r w:rsidRPr="00EF698B">
        <w:rPr>
          <w:lang w:val="en-US"/>
        </w:rPr>
        <w:lastRenderedPageBreak/>
        <w:t>Conclusion</w:t>
      </w:r>
      <w:bookmarkEnd w:id="5"/>
    </w:p>
    <w:p w14:paraId="352AFC63" w14:textId="5F40A8FC" w:rsidR="00D5270B" w:rsidRDefault="008B0961" w:rsidP="00936159">
      <w:r>
        <w:t>In the paper, t</w:t>
      </w:r>
      <w:r w:rsidR="005B4801">
        <w:t xml:space="preserve">he </w:t>
      </w:r>
      <w:r w:rsidR="005B4801" w:rsidRPr="00E55751">
        <w:t xml:space="preserve">following </w:t>
      </w:r>
      <w:r w:rsidR="008143F9">
        <w:t>p</w:t>
      </w:r>
      <w:r w:rsidR="005B4801">
        <w:t>roposals were made:</w:t>
      </w:r>
    </w:p>
    <w:p w14:paraId="60115C00" w14:textId="77777777" w:rsidR="008143F9" w:rsidRPr="008143F9" w:rsidRDefault="008143F9" w:rsidP="0050163E">
      <w:pPr>
        <w:pStyle w:val="RAN4proposal"/>
        <w:numPr>
          <w:ilvl w:val="0"/>
          <w:numId w:val="41"/>
        </w:numPr>
        <w:rPr>
          <w:szCs w:val="20"/>
        </w:rPr>
      </w:pPr>
      <w:r w:rsidRPr="6C17B2C7">
        <w:rPr>
          <w:rStyle w:val="normaltextrun"/>
        </w:rPr>
        <w:t>RAN4 awaits RAN1 outcome for solutions for synchronization between LTE and NR for co-channel coexistence. </w:t>
      </w:r>
      <w:r w:rsidRPr="008143F9">
        <w:rPr>
          <w:rStyle w:val="eop"/>
          <w:szCs w:val="20"/>
        </w:rPr>
        <w:t> </w:t>
      </w:r>
    </w:p>
    <w:p w14:paraId="0720F1A4" w14:textId="4E9FC036" w:rsidR="008143F9" w:rsidRDefault="008143F9" w:rsidP="008143F9">
      <w:pPr>
        <w:pStyle w:val="RAN4proposal"/>
        <w:numPr>
          <w:ilvl w:val="0"/>
          <w:numId w:val="41"/>
        </w:numPr>
      </w:pPr>
      <w:r>
        <w:t xml:space="preserve">RAN4 to wait for RAN1 to complete the resource (re-)selection procedure for a Type-A device before RAN4 continues to </w:t>
      </w:r>
      <w:r w:rsidR="00ED1729">
        <w:t>discuss</w:t>
      </w:r>
      <w:r>
        <w:t xml:space="preserve"> the impact to the test for V2X UE autonomous Resource Selection/Reselection.</w:t>
      </w:r>
    </w:p>
    <w:p w14:paraId="12774F64" w14:textId="77777777" w:rsidR="008143F9" w:rsidRPr="008143F9" w:rsidRDefault="008143F9" w:rsidP="008143F9">
      <w:pPr>
        <w:pStyle w:val="RAN4proposal"/>
        <w:numPr>
          <w:ilvl w:val="0"/>
          <w:numId w:val="41"/>
        </w:numPr>
        <w:rPr>
          <w:rStyle w:val="normaltextrun"/>
          <w:bCs/>
          <w:szCs w:val="20"/>
          <w:u w:val="single"/>
        </w:rPr>
      </w:pPr>
      <w:r>
        <w:t>RAN4 to determine a set of evaluation parameters for NR SL and LTE SL coexistence. This can be with two perfectly aligned resource pools (in time and frequency) as well as equal subchannel sizes.</w:t>
      </w:r>
    </w:p>
    <w:p w14:paraId="33329512" w14:textId="77777777" w:rsidR="008143F9" w:rsidRDefault="008143F9" w:rsidP="008143F9">
      <w:pPr>
        <w:pStyle w:val="RAN4proposal"/>
        <w:numPr>
          <w:ilvl w:val="0"/>
          <w:numId w:val="41"/>
        </w:numPr>
      </w:pPr>
      <w:r w:rsidRPr="008143F9">
        <w:rPr>
          <w:rStyle w:val="normaltextrun"/>
          <w:bCs/>
          <w:szCs w:val="20"/>
        </w:rPr>
        <w:t>No enhancements for the IDC framework from Rel-16 is needed to support Type A devices for LTE and NR co-channel coexistence.</w:t>
      </w:r>
    </w:p>
    <w:p w14:paraId="4757EF65" w14:textId="77777777" w:rsidR="008143F9" w:rsidRPr="008143F9" w:rsidRDefault="008143F9" w:rsidP="0050163E"/>
    <w:p w14:paraId="2E5C1CF0" w14:textId="77777777" w:rsidR="007176F5" w:rsidRDefault="007176F5" w:rsidP="00936159"/>
    <w:p w14:paraId="3DECD0F9" w14:textId="49E168A0" w:rsidR="003B659E" w:rsidRPr="0060543D" w:rsidRDefault="003B659E" w:rsidP="0060543D">
      <w:pPr>
        <w:pStyle w:val="RAN4H1"/>
        <w:numPr>
          <w:ilvl w:val="0"/>
          <w:numId w:val="0"/>
        </w:numPr>
        <w:ind w:left="360" w:hanging="360"/>
      </w:pPr>
      <w:bookmarkStart w:id="6" w:name="_Toc116995849"/>
      <w:r w:rsidRPr="00EF698B">
        <w:t>References</w:t>
      </w:r>
      <w:bookmarkEnd w:id="6"/>
    </w:p>
    <w:p w14:paraId="4119A88A" w14:textId="5EF6688A" w:rsidR="00687FA0" w:rsidRPr="003C4FDE" w:rsidRDefault="00D40288" w:rsidP="00C4583A">
      <w:pPr>
        <w:pStyle w:val="ListParagraph"/>
        <w:numPr>
          <w:ilvl w:val="0"/>
          <w:numId w:val="5"/>
        </w:numPr>
        <w:ind w:right="-22"/>
      </w:pPr>
      <w:bookmarkStart w:id="7" w:name="_Ref114500673"/>
      <w:bookmarkEnd w:id="7"/>
      <w:r w:rsidRPr="003C4FDE">
        <w:t>R4-</w:t>
      </w:r>
      <w:r w:rsidR="00B151EB">
        <w:t>230077</w:t>
      </w:r>
      <w:r w:rsidRPr="003C4FDE">
        <w:t>,</w:t>
      </w:r>
      <w:r w:rsidR="000040DC" w:rsidRPr="003C4FDE">
        <w:t xml:space="preserve"> </w:t>
      </w:r>
      <w:r w:rsidR="00B151EB">
        <w:t xml:space="preserve">WID revision: NR </w:t>
      </w:r>
      <w:proofErr w:type="spellStart"/>
      <w:r w:rsidR="00B151EB">
        <w:t>sidelink</w:t>
      </w:r>
      <w:proofErr w:type="spellEnd"/>
      <w:r w:rsidR="00B151EB">
        <w:t xml:space="preserve"> evolution</w:t>
      </w:r>
      <w:r w:rsidR="000040DC" w:rsidRPr="003C4FDE">
        <w:t xml:space="preserve">, </w:t>
      </w:r>
      <w:r w:rsidR="00B151EB" w:rsidRPr="00B151EB">
        <w:t>3GPP TSG RAN Meeting #99</w:t>
      </w:r>
      <w:r w:rsidR="00B151EB">
        <w:t>.</w:t>
      </w:r>
    </w:p>
    <w:p w14:paraId="4436FF07" w14:textId="77777777" w:rsidR="0060543D" w:rsidRDefault="0060543D" w:rsidP="000040DC">
      <w:pPr>
        <w:ind w:right="-22"/>
        <w:rPr>
          <w:highlight w:val="yellow"/>
        </w:rPr>
      </w:pPr>
    </w:p>
    <w:p w14:paraId="0A909113" w14:textId="666AD0C7" w:rsidR="00D41565" w:rsidRDefault="00D41565">
      <w:pPr>
        <w:pStyle w:val="RAN4H1"/>
        <w:numPr>
          <w:ilvl w:val="0"/>
          <w:numId w:val="0"/>
        </w:numPr>
      </w:pPr>
      <w:r>
        <w:t>Annex: RAN1 #11</w:t>
      </w:r>
      <w:r w:rsidR="00160E9B">
        <w:t>2</w:t>
      </w:r>
      <w:r>
        <w:t xml:space="preserve"> Agreements on Co-channel coexistence for LTE </w:t>
      </w:r>
      <w:proofErr w:type="spellStart"/>
      <w:r>
        <w:t>sidelink</w:t>
      </w:r>
      <w:proofErr w:type="spellEnd"/>
      <w:r>
        <w:t xml:space="preserve"> and NR </w:t>
      </w:r>
      <w:proofErr w:type="spellStart"/>
      <w:r>
        <w:t>sidelink</w:t>
      </w:r>
      <w:proofErr w:type="spellEnd"/>
    </w:p>
    <w:tbl>
      <w:tblPr>
        <w:tblStyle w:val="TableGrid"/>
        <w:tblW w:w="0" w:type="auto"/>
        <w:tblLook w:val="04A0" w:firstRow="1" w:lastRow="0" w:firstColumn="1" w:lastColumn="0" w:noHBand="0" w:noVBand="1"/>
      </w:tblPr>
      <w:tblGrid>
        <w:gridCol w:w="9617"/>
      </w:tblGrid>
      <w:tr w:rsidR="00D41565" w14:paraId="59F69312" w14:textId="77777777" w:rsidTr="00D41565">
        <w:tc>
          <w:tcPr>
            <w:tcW w:w="9617" w:type="dxa"/>
          </w:tcPr>
          <w:p w14:paraId="77BEF952" w14:textId="77777777" w:rsidR="00D41565" w:rsidRPr="00573274" w:rsidRDefault="00D41565" w:rsidP="00D41565">
            <w:pPr>
              <w:jc w:val="both"/>
              <w:rPr>
                <w:lang w:eastAsia="zh-CN"/>
              </w:rPr>
            </w:pPr>
            <w:r w:rsidRPr="00573274">
              <w:rPr>
                <w:rStyle w:val="Strong"/>
                <w:highlight w:val="green"/>
              </w:rPr>
              <w:t>Agreement</w:t>
            </w:r>
          </w:p>
          <w:p w14:paraId="746FA42A" w14:textId="77777777" w:rsidR="00D41565" w:rsidRPr="00573274" w:rsidRDefault="00D41565" w:rsidP="00D41565">
            <w:pPr>
              <w:pStyle w:val="ListParagraph"/>
              <w:ind w:left="0"/>
              <w:jc w:val="both"/>
              <w:rPr>
                <w:rFonts w:eastAsia="MS Mincho"/>
              </w:rPr>
            </w:pPr>
            <w:r w:rsidRPr="00573274">
              <w:rPr>
                <w:rFonts w:eastAsia="MS Mincho"/>
              </w:rPr>
              <w:t xml:space="preserve">In NR SL resource (re)selection procedure, option 1 is adopted for how to determine candidate resource set for NR SL considering the LTE SL reserved resources by other LTE SL UE </w:t>
            </w:r>
          </w:p>
          <w:p w14:paraId="79F9D651" w14:textId="77777777" w:rsidR="00D41565" w:rsidRPr="00573274" w:rsidRDefault="00D41565" w:rsidP="00C4583A">
            <w:pPr>
              <w:numPr>
                <w:ilvl w:val="0"/>
                <w:numId w:val="8"/>
              </w:numPr>
              <w:autoSpaceDE w:val="0"/>
              <w:autoSpaceDN w:val="0"/>
              <w:rPr>
                <w:rFonts w:eastAsia="MS Mincho"/>
              </w:rPr>
            </w:pPr>
            <w:r w:rsidRPr="00573274">
              <w:rPr>
                <w:rFonts w:eastAsia="MS Mincho"/>
              </w:rPr>
              <w:t xml:space="preserve">Option 1: </w:t>
            </w:r>
            <w:r w:rsidRPr="00573274">
              <w:rPr>
                <w:rFonts w:eastAsia="Malgun Gothic"/>
                <w:lang w:eastAsia="ko-KR"/>
              </w:rPr>
              <w:t>T</w:t>
            </w:r>
            <w:r w:rsidRPr="00573274">
              <w:rPr>
                <w:rFonts w:eastAsia="MS Mincho"/>
              </w:rPr>
              <w:t xml:space="preserve">he PHY layer of NR SL module excludes NR SL candidate resources overlapping with LTE SL reserved resources by other LTE SL UE when the SL RSRP value associated with the LTE SL reserved resources is higher than </w:t>
            </w:r>
            <w:r w:rsidRPr="00AE6834">
              <w:rPr>
                <w:rFonts w:eastAsia="MS Mincho"/>
              </w:rPr>
              <w:t xml:space="preserve">a </w:t>
            </w:r>
            <w:r w:rsidRPr="0050163E">
              <w:rPr>
                <w:rFonts w:eastAsia="MS Mincho"/>
              </w:rPr>
              <w:t>SL RSRP</w:t>
            </w:r>
            <w:r w:rsidRPr="00AE6834">
              <w:rPr>
                <w:rFonts w:eastAsia="MS Mincho"/>
              </w:rPr>
              <w:t xml:space="preserve"> threshold</w:t>
            </w:r>
            <w:r w:rsidRPr="00573274">
              <w:rPr>
                <w:rFonts w:eastAsia="MS Mincho"/>
              </w:rPr>
              <w:t>, where the SL RSRP threshold is derived based on LTE SL priority of other LTE SL UE and NR SL priority for NR SL transmission</w:t>
            </w:r>
          </w:p>
          <w:p w14:paraId="009FD365" w14:textId="77777777" w:rsidR="00D41565" w:rsidRPr="00573274" w:rsidRDefault="00D41565" w:rsidP="00C4583A">
            <w:pPr>
              <w:numPr>
                <w:ilvl w:val="1"/>
                <w:numId w:val="8"/>
              </w:numPr>
              <w:autoSpaceDE w:val="0"/>
              <w:autoSpaceDN w:val="0"/>
              <w:rPr>
                <w:rFonts w:eastAsia="MS Mincho"/>
              </w:rPr>
            </w:pPr>
            <w:r w:rsidRPr="00573274">
              <w:rPr>
                <w:rFonts w:eastAsia="MS Mincho"/>
              </w:rPr>
              <w:t xml:space="preserve">For the list of the above initial SL RSRP threshold, </w:t>
            </w:r>
            <w:proofErr w:type="gramStart"/>
            <w:r w:rsidRPr="00573274">
              <w:rPr>
                <w:rFonts w:eastAsia="MS Mincho"/>
              </w:rPr>
              <w:t>down-select</w:t>
            </w:r>
            <w:proofErr w:type="gramEnd"/>
            <w:r w:rsidRPr="00573274">
              <w:rPr>
                <w:rFonts w:eastAsia="MS Mincho"/>
              </w:rPr>
              <w:t xml:space="preserve"> one of followings:</w:t>
            </w:r>
          </w:p>
          <w:p w14:paraId="0E7D87CF" w14:textId="77777777" w:rsidR="00D41565" w:rsidRPr="00573274" w:rsidRDefault="00D41565" w:rsidP="00C4583A">
            <w:pPr>
              <w:numPr>
                <w:ilvl w:val="2"/>
                <w:numId w:val="8"/>
              </w:numPr>
              <w:autoSpaceDE w:val="0"/>
              <w:autoSpaceDN w:val="0"/>
              <w:rPr>
                <w:rFonts w:eastAsia="MS Mincho"/>
              </w:rPr>
            </w:pPr>
            <w:r w:rsidRPr="00573274">
              <w:rPr>
                <w:rFonts w:eastAsia="MS Mincho"/>
              </w:rPr>
              <w:t>Alt 1: NR SL RSRP threshold list (pre)configured in a NR SL resource pool</w:t>
            </w:r>
          </w:p>
          <w:p w14:paraId="00CFD9EF" w14:textId="77777777" w:rsidR="00D41565" w:rsidRPr="00573274" w:rsidRDefault="00D41565" w:rsidP="00C4583A">
            <w:pPr>
              <w:numPr>
                <w:ilvl w:val="2"/>
                <w:numId w:val="8"/>
              </w:numPr>
              <w:autoSpaceDE w:val="0"/>
              <w:autoSpaceDN w:val="0"/>
              <w:rPr>
                <w:rFonts w:eastAsia="MS Mincho"/>
              </w:rPr>
            </w:pPr>
            <w:r w:rsidRPr="00573274">
              <w:rPr>
                <w:rFonts w:eastAsia="MS Mincho"/>
              </w:rPr>
              <w:t xml:space="preserve">Alt 2: LTE SL RSRP threshold list (pre)configured in </w:t>
            </w:r>
            <w:proofErr w:type="gramStart"/>
            <w:r w:rsidRPr="00573274">
              <w:rPr>
                <w:rFonts w:eastAsia="MS Mincho"/>
              </w:rPr>
              <w:t>a</w:t>
            </w:r>
            <w:proofErr w:type="gramEnd"/>
            <w:r w:rsidRPr="00573274">
              <w:rPr>
                <w:rFonts w:eastAsia="MS Mincho"/>
              </w:rPr>
              <w:t xml:space="preserve"> LTE SL resource pool</w:t>
            </w:r>
          </w:p>
          <w:p w14:paraId="1B7A7CFB" w14:textId="77777777" w:rsidR="00FD2B08" w:rsidRDefault="00D41565" w:rsidP="00C4583A">
            <w:pPr>
              <w:numPr>
                <w:ilvl w:val="2"/>
                <w:numId w:val="8"/>
              </w:numPr>
              <w:autoSpaceDE w:val="0"/>
              <w:autoSpaceDN w:val="0"/>
              <w:rPr>
                <w:rFonts w:eastAsia="MS Mincho"/>
              </w:rPr>
            </w:pPr>
            <w:r w:rsidRPr="00573274">
              <w:rPr>
                <w:rFonts w:eastAsia="MS Mincho"/>
              </w:rPr>
              <w:t>Alt 3: SL RSRP threshold list separately (pre)configured for dynamic resource pool sharing</w:t>
            </w:r>
          </w:p>
          <w:p w14:paraId="40E85A9D" w14:textId="7E7CF972" w:rsidR="00D41565" w:rsidRPr="00573274" w:rsidRDefault="00D41565" w:rsidP="00C4583A">
            <w:pPr>
              <w:numPr>
                <w:ilvl w:val="2"/>
                <w:numId w:val="8"/>
              </w:numPr>
              <w:autoSpaceDE w:val="0"/>
              <w:autoSpaceDN w:val="0"/>
              <w:rPr>
                <w:rFonts w:eastAsia="MS Mincho"/>
              </w:rPr>
            </w:pPr>
            <w:r w:rsidRPr="00573274">
              <w:rPr>
                <w:rFonts w:eastAsia="MS Mincho"/>
              </w:rPr>
              <w:t>Alt 4: SL RSRP threshold list separately (pre)configured for dynamic resource pool sharing</w:t>
            </w:r>
          </w:p>
          <w:p w14:paraId="2CE8FE62" w14:textId="77777777" w:rsidR="00D41565" w:rsidRPr="00573274" w:rsidRDefault="00D41565" w:rsidP="00C4583A">
            <w:pPr>
              <w:numPr>
                <w:ilvl w:val="3"/>
                <w:numId w:val="8"/>
              </w:numPr>
              <w:autoSpaceDE w:val="0"/>
              <w:autoSpaceDN w:val="0"/>
              <w:rPr>
                <w:rFonts w:eastAsia="MS Mincho"/>
              </w:rPr>
            </w:pPr>
            <w:r w:rsidRPr="00573274">
              <w:rPr>
                <w:rFonts w:eastAsia="MS Mincho"/>
              </w:rPr>
              <w:t>A different SL RSRP threshold list may be (pre)configured for selecting single slot resources in NR SL slots with NR PSFCH</w:t>
            </w:r>
          </w:p>
          <w:p w14:paraId="0173CBEC" w14:textId="77777777" w:rsidR="00D41565" w:rsidRPr="00573274" w:rsidRDefault="00D41565" w:rsidP="00C4583A">
            <w:pPr>
              <w:numPr>
                <w:ilvl w:val="1"/>
                <w:numId w:val="8"/>
              </w:numPr>
              <w:autoSpaceDE w:val="0"/>
              <w:autoSpaceDN w:val="0"/>
              <w:rPr>
                <w:rFonts w:eastAsia="MS Mincho"/>
              </w:rPr>
            </w:pPr>
            <w:r w:rsidRPr="00573274">
              <w:rPr>
                <w:rFonts w:eastAsia="MS Mincho"/>
              </w:rPr>
              <w:t xml:space="preserve">For the LTE SL periodic reserved resources by other LTE SL UE, </w:t>
            </w:r>
          </w:p>
          <w:p w14:paraId="5262D9CD" w14:textId="77777777" w:rsidR="00D41565" w:rsidRPr="00573274" w:rsidRDefault="00D41565" w:rsidP="00C4583A">
            <w:pPr>
              <w:numPr>
                <w:ilvl w:val="2"/>
                <w:numId w:val="8"/>
              </w:numPr>
              <w:autoSpaceDE w:val="0"/>
              <w:autoSpaceDN w:val="0"/>
              <w:rPr>
                <w:rFonts w:eastAsia="MS Mincho"/>
              </w:rPr>
            </w:pPr>
            <w:r w:rsidRPr="00573274">
              <w:rPr>
                <w:rFonts w:eastAsia="MS Mincho"/>
              </w:rPr>
              <w:t>For determining the above LTE SL reserved resources, the time-and-frequency resources of LTE SL reserved resources by other LTE SL UE are repeated Q times according to the LTE SL resource reservation period</w:t>
            </w:r>
          </w:p>
          <w:p w14:paraId="354A68BD" w14:textId="77777777" w:rsidR="00D41565" w:rsidRPr="00573274" w:rsidRDefault="00D41565" w:rsidP="00C4583A">
            <w:pPr>
              <w:numPr>
                <w:ilvl w:val="3"/>
                <w:numId w:val="8"/>
              </w:numPr>
              <w:autoSpaceDE w:val="0"/>
              <w:autoSpaceDN w:val="0"/>
              <w:rPr>
                <w:rFonts w:eastAsia="MS Mincho"/>
              </w:rPr>
            </w:pPr>
            <w:r w:rsidRPr="00573274">
              <w:rPr>
                <w:rFonts w:eastAsia="DengXian"/>
                <w:lang w:eastAsia="ko-KR"/>
              </w:rPr>
              <w:t xml:space="preserve">FFS details including at least whether the formula of Q in Section 14.1.1.6 in TS 36.213 or the formula of Q in Section 8.1.4 in TS 38.214 is used </w:t>
            </w:r>
          </w:p>
          <w:p w14:paraId="02A0E2BF" w14:textId="77777777" w:rsidR="00D41565" w:rsidRPr="00573274" w:rsidRDefault="00D41565" w:rsidP="00C4583A">
            <w:pPr>
              <w:numPr>
                <w:ilvl w:val="1"/>
                <w:numId w:val="8"/>
              </w:numPr>
              <w:autoSpaceDE w:val="0"/>
              <w:autoSpaceDN w:val="0"/>
              <w:rPr>
                <w:rFonts w:eastAsia="MS Mincho"/>
              </w:rPr>
            </w:pPr>
            <w:r w:rsidRPr="00573274">
              <w:rPr>
                <w:rFonts w:eastAsia="MS Mincho"/>
              </w:rPr>
              <w:t>The PHY layer of NR module applies the above procedure in Step 6 in Section 8.1.4 of TS 38.214</w:t>
            </w:r>
          </w:p>
          <w:p w14:paraId="712762D2" w14:textId="77777777" w:rsidR="00D41565" w:rsidRPr="00573274" w:rsidRDefault="00D41565" w:rsidP="00C4583A">
            <w:pPr>
              <w:numPr>
                <w:ilvl w:val="2"/>
                <w:numId w:val="8"/>
              </w:numPr>
              <w:autoSpaceDE w:val="0"/>
              <w:autoSpaceDN w:val="0"/>
              <w:rPr>
                <w:rFonts w:eastAsia="MS Mincho"/>
              </w:rPr>
            </w:pPr>
            <w:r w:rsidRPr="00573274">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F06FD4B" w14:textId="77777777" w:rsidR="00D41565" w:rsidRPr="00573274" w:rsidRDefault="00D41565" w:rsidP="00C4583A">
            <w:pPr>
              <w:numPr>
                <w:ilvl w:val="1"/>
                <w:numId w:val="8"/>
              </w:numPr>
              <w:autoSpaceDE w:val="0"/>
              <w:autoSpaceDN w:val="0"/>
              <w:rPr>
                <w:rFonts w:eastAsia="MS Mincho"/>
              </w:rPr>
            </w:pPr>
            <w:r w:rsidRPr="00573274">
              <w:rPr>
                <w:rFonts w:eastAsia="MS Mincho"/>
              </w:rPr>
              <w:lastRenderedPageBreak/>
              <w:t>Note: It is assumed that the information relevant to LTE SL reserved resources by other LTE SL UE used in the above procedure is shared from LTE SL module to NR SL module</w:t>
            </w:r>
          </w:p>
          <w:p w14:paraId="1A2FD920" w14:textId="77777777" w:rsidR="00D41565" w:rsidRDefault="00D41565" w:rsidP="00C4583A">
            <w:pPr>
              <w:numPr>
                <w:ilvl w:val="1"/>
                <w:numId w:val="8"/>
              </w:numPr>
              <w:autoSpaceDE w:val="0"/>
              <w:autoSpaceDN w:val="0"/>
              <w:spacing w:after="160" w:line="259" w:lineRule="auto"/>
              <w:rPr>
                <w:rFonts w:eastAsia="MS Mincho"/>
              </w:rPr>
            </w:pPr>
            <w:r w:rsidRPr="00573274">
              <w:rPr>
                <w:rFonts w:eastAsia="MS Mincho"/>
              </w:rPr>
              <w:t xml:space="preserve">FFS whether/how LTE SL RSRP is applied </w:t>
            </w:r>
          </w:p>
          <w:p w14:paraId="38A960EA" w14:textId="77777777" w:rsidR="00D41565" w:rsidRPr="00F53868" w:rsidRDefault="00D41565" w:rsidP="00D41565">
            <w:pPr>
              <w:jc w:val="both"/>
              <w:rPr>
                <w:lang w:eastAsia="zh-CN"/>
              </w:rPr>
            </w:pPr>
            <w:r w:rsidRPr="00F53868">
              <w:rPr>
                <w:rStyle w:val="Strong"/>
                <w:highlight w:val="green"/>
              </w:rPr>
              <w:t>Agreement</w:t>
            </w:r>
          </w:p>
          <w:p w14:paraId="54F7C500" w14:textId="77777777" w:rsidR="00D41565" w:rsidRPr="00F53868" w:rsidRDefault="00D41565" w:rsidP="00D41565">
            <w:pPr>
              <w:pStyle w:val="ListParagraph"/>
              <w:ind w:left="0"/>
              <w:jc w:val="both"/>
              <w:rPr>
                <w:rFonts w:eastAsia="MS Mincho"/>
              </w:rPr>
            </w:pPr>
            <w:r w:rsidRPr="00F53868">
              <w:rPr>
                <w:rFonts w:eastAsia="MS Mincho"/>
              </w:rPr>
              <w:t xml:space="preserve">In NR SL resource (re)selection procedure, </w:t>
            </w:r>
            <w:proofErr w:type="gramStart"/>
            <w:r w:rsidRPr="00F53868">
              <w:rPr>
                <w:rFonts w:eastAsia="MS Mincho"/>
              </w:rPr>
              <w:t>down-select</w:t>
            </w:r>
            <w:proofErr w:type="gramEnd"/>
            <w:r w:rsidRPr="00F53868">
              <w:rPr>
                <w:rFonts w:eastAsia="MS Mincho"/>
              </w:rPr>
              <w:t xml:space="preserve"> one of followings for how to determine candidate resource set for NR SL considering the LTE SL resources selected to be used for LTE SL module’s own LTE SL transmission</w:t>
            </w:r>
          </w:p>
          <w:p w14:paraId="404D8297" w14:textId="77777777" w:rsidR="00D41565" w:rsidRPr="00F53868" w:rsidRDefault="00D41565" w:rsidP="00C4583A">
            <w:pPr>
              <w:numPr>
                <w:ilvl w:val="0"/>
                <w:numId w:val="8"/>
              </w:numPr>
              <w:autoSpaceDE w:val="0"/>
              <w:autoSpaceDN w:val="0"/>
              <w:rPr>
                <w:rFonts w:eastAsia="MS Mincho"/>
              </w:rPr>
            </w:pPr>
            <w:r w:rsidRPr="00F53868">
              <w:rPr>
                <w:rFonts w:eastAsia="MS Mincho"/>
              </w:rPr>
              <w:t xml:space="preserve">Option 1: </w:t>
            </w:r>
            <w:r w:rsidRPr="00F53868">
              <w:rPr>
                <w:rFonts w:eastAsia="Malgun Gothic"/>
                <w:lang w:eastAsia="ko-KR"/>
              </w:rPr>
              <w:t>T</w:t>
            </w:r>
            <w:r w:rsidRPr="00F53868">
              <w:rPr>
                <w:rFonts w:eastAsia="MS Mincho"/>
              </w:rPr>
              <w:t xml:space="preserve">he PHY layer of NR SL module excludes NR SL candidate resources in a NR SL slot overlapping with LTE SL resources selected to be used for LTE SL module’s own LTE SL transmission </w:t>
            </w:r>
          </w:p>
          <w:p w14:paraId="7897C2C7" w14:textId="77777777" w:rsidR="00D41565" w:rsidRPr="00F53868" w:rsidRDefault="00D41565" w:rsidP="00C4583A">
            <w:pPr>
              <w:pStyle w:val="ListParagraph"/>
              <w:numPr>
                <w:ilvl w:val="2"/>
                <w:numId w:val="9"/>
              </w:numPr>
              <w:contextualSpacing w:val="0"/>
              <w:jc w:val="both"/>
              <w:rPr>
                <w:rFonts w:eastAsia="MS Mincho"/>
              </w:rPr>
            </w:pPr>
            <w:r w:rsidRPr="00F53868">
              <w:rPr>
                <w:rFonts w:eastAsia="MS Mincho"/>
              </w:rPr>
              <w:t xml:space="preserve">For the LTE SL periodic resources selected to be used for LTE SL module’s own LTE SL transmission, </w:t>
            </w:r>
          </w:p>
          <w:p w14:paraId="71184A05" w14:textId="77777777" w:rsidR="00D41565" w:rsidRPr="00F53868" w:rsidRDefault="00D41565" w:rsidP="00C4583A">
            <w:pPr>
              <w:pStyle w:val="ListParagraph"/>
              <w:numPr>
                <w:ilvl w:val="3"/>
                <w:numId w:val="9"/>
              </w:numPr>
              <w:contextualSpacing w:val="0"/>
              <w:jc w:val="both"/>
              <w:rPr>
                <w:rFonts w:eastAsia="MS Mincho"/>
              </w:rPr>
            </w:pPr>
            <w:r w:rsidRPr="00F53868">
              <w:rPr>
                <w:rFonts w:eastAsia="MS Mincho"/>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BDC9A3A" w14:textId="77777777" w:rsidR="00D41565" w:rsidRPr="00F53868" w:rsidRDefault="00D41565" w:rsidP="00C4583A">
            <w:pPr>
              <w:pStyle w:val="ListParagraph"/>
              <w:numPr>
                <w:ilvl w:val="2"/>
                <w:numId w:val="9"/>
              </w:numPr>
              <w:contextualSpacing w:val="0"/>
              <w:jc w:val="both"/>
              <w:rPr>
                <w:rFonts w:eastAsia="MS Mincho"/>
              </w:rPr>
            </w:pPr>
            <w:r w:rsidRPr="00F53868">
              <w:rPr>
                <w:rFonts w:eastAsia="MS Mincho"/>
              </w:rPr>
              <w:t>The PHY layer of NR module applies the above procedure in Step 5 in Section 8.1.4 of TS 38.214</w:t>
            </w:r>
          </w:p>
          <w:p w14:paraId="69157903" w14:textId="77777777" w:rsidR="00D41565" w:rsidRPr="00F53868" w:rsidRDefault="00D41565" w:rsidP="00C4583A">
            <w:pPr>
              <w:pStyle w:val="ListParagraph"/>
              <w:numPr>
                <w:ilvl w:val="3"/>
                <w:numId w:val="9"/>
              </w:numPr>
              <w:contextualSpacing w:val="0"/>
              <w:jc w:val="both"/>
              <w:rPr>
                <w:rFonts w:eastAsia="MS Mincho"/>
              </w:rPr>
            </w:pPr>
            <w:r w:rsidRPr="00F53868">
              <w:rPr>
                <w:rFonts w:eastAsia="MS Mincho"/>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77D04F0A" w14:textId="77777777" w:rsidR="00D41565" w:rsidRPr="00F53868" w:rsidRDefault="00D41565" w:rsidP="00C4583A">
            <w:pPr>
              <w:pStyle w:val="ListParagraph"/>
              <w:numPr>
                <w:ilvl w:val="3"/>
                <w:numId w:val="9"/>
              </w:numPr>
              <w:contextualSpacing w:val="0"/>
              <w:jc w:val="both"/>
              <w:rPr>
                <w:rFonts w:eastAsia="MS Mincho"/>
              </w:rPr>
            </w:pPr>
            <w:r w:rsidRPr="00F53868">
              <w:rPr>
                <w:rFonts w:eastAsia="MS Mincho"/>
              </w:rPr>
              <w:t>Note: When the PHY layer of NR module cancels the above procedure according to Step 5a in Section 8.1.4 of TS 38.214, UE selects either LTE SL transmission or NR SL transmission according to Rel-16 NR SL in-device coexistence rule</w:t>
            </w:r>
          </w:p>
          <w:p w14:paraId="0D752281" w14:textId="77777777" w:rsidR="00D41565" w:rsidRPr="00F53868" w:rsidRDefault="00D41565" w:rsidP="00C4583A">
            <w:pPr>
              <w:pStyle w:val="ListParagraph"/>
              <w:numPr>
                <w:ilvl w:val="2"/>
                <w:numId w:val="9"/>
              </w:numPr>
              <w:contextualSpacing w:val="0"/>
              <w:jc w:val="both"/>
              <w:rPr>
                <w:rFonts w:eastAsia="MS Mincho"/>
              </w:rPr>
            </w:pPr>
            <w:r w:rsidRPr="00F53868">
              <w:rPr>
                <w:rFonts w:eastAsia="DengXian"/>
                <w:lang w:eastAsia="ko-KR"/>
              </w:rPr>
              <w:t>FFS: whether the above procedure is applied based on the priority of LTE SL transmission and the priority of NR SL transmission</w:t>
            </w:r>
          </w:p>
          <w:p w14:paraId="61B969AE" w14:textId="77777777" w:rsidR="00D41565" w:rsidRPr="00F53868" w:rsidRDefault="00D41565" w:rsidP="00C4583A">
            <w:pPr>
              <w:pStyle w:val="ListParagraph"/>
              <w:numPr>
                <w:ilvl w:val="2"/>
                <w:numId w:val="9"/>
              </w:numPr>
              <w:contextualSpacing w:val="0"/>
              <w:jc w:val="both"/>
              <w:rPr>
                <w:rFonts w:eastAsia="MS Mincho"/>
              </w:rPr>
            </w:pPr>
            <w:r w:rsidRPr="00F53868">
              <w:rPr>
                <w:rFonts w:eastAsia="MS Mincho"/>
              </w:rPr>
              <w:t>Note: It is assumed that the information relevant to LTE SL resources selected to be used for LTE SL module’s own LTE SL transmission used in the above procedure is shared from LTE SL module to NR SL module</w:t>
            </w:r>
          </w:p>
          <w:p w14:paraId="2118289B" w14:textId="77777777" w:rsidR="00D41565" w:rsidRPr="00F53868" w:rsidRDefault="00D41565" w:rsidP="00C4583A">
            <w:pPr>
              <w:numPr>
                <w:ilvl w:val="0"/>
                <w:numId w:val="8"/>
              </w:numPr>
              <w:autoSpaceDE w:val="0"/>
              <w:autoSpaceDN w:val="0"/>
              <w:rPr>
                <w:rFonts w:eastAsia="MS Mincho"/>
              </w:rPr>
            </w:pPr>
            <w:r w:rsidRPr="00F53868">
              <w:rPr>
                <w:rFonts w:eastAsia="MS Mincho"/>
              </w:rPr>
              <w:t xml:space="preserve">Option 2: </w:t>
            </w:r>
            <w:r w:rsidRPr="00F53868">
              <w:rPr>
                <w:rFonts w:eastAsia="Malgun Gothic"/>
                <w:lang w:eastAsia="ko-KR"/>
              </w:rPr>
              <w:t>T</w:t>
            </w:r>
            <w:r w:rsidRPr="00F53868">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36DA8778" w14:textId="77777777" w:rsidR="00D41565" w:rsidRPr="00F53868" w:rsidRDefault="00D41565" w:rsidP="00C4583A">
            <w:pPr>
              <w:pStyle w:val="ListParagraph"/>
              <w:numPr>
                <w:ilvl w:val="2"/>
                <w:numId w:val="9"/>
              </w:numPr>
              <w:contextualSpacing w:val="0"/>
              <w:jc w:val="both"/>
              <w:rPr>
                <w:rFonts w:eastAsia="MS Mincho"/>
              </w:rPr>
            </w:pPr>
            <w:r w:rsidRPr="00F53868">
              <w:rPr>
                <w:rFonts w:eastAsia="MS Mincho"/>
              </w:rPr>
              <w:t>UE selects either LTE SL transmission or NR SL transmission according to Rel-16 NR SL in-device coexistence rule</w:t>
            </w:r>
          </w:p>
          <w:p w14:paraId="6F66E89C" w14:textId="77777777" w:rsidR="00D41565" w:rsidRDefault="00D41565" w:rsidP="00D41565">
            <w:pPr>
              <w:rPr>
                <w:lang w:val="en-GB"/>
              </w:rPr>
            </w:pPr>
          </w:p>
        </w:tc>
      </w:tr>
    </w:tbl>
    <w:p w14:paraId="09F460DD" w14:textId="77777777" w:rsidR="00D41565" w:rsidRPr="00D41565" w:rsidRDefault="00D41565" w:rsidP="00D41565">
      <w:pPr>
        <w:rPr>
          <w:lang w:val="en-GB"/>
        </w:rPr>
      </w:pPr>
    </w:p>
    <w:p w14:paraId="6BF94C89" w14:textId="77777777" w:rsidR="0060543D" w:rsidRDefault="0060543D" w:rsidP="0060543D">
      <w:pPr>
        <w:rPr>
          <w:lang w:val="en-GB"/>
        </w:rPr>
      </w:pPr>
    </w:p>
    <w:p w14:paraId="0970A7C6"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6BF8" w14:textId="77777777" w:rsidR="00C5633D" w:rsidRDefault="00C5633D" w:rsidP="00001C9B">
      <w:pPr>
        <w:spacing w:after="0" w:line="240" w:lineRule="auto"/>
      </w:pPr>
      <w:r>
        <w:separator/>
      </w:r>
    </w:p>
  </w:endnote>
  <w:endnote w:type="continuationSeparator" w:id="0">
    <w:p w14:paraId="58349714" w14:textId="77777777" w:rsidR="00C5633D" w:rsidRDefault="00C5633D" w:rsidP="00001C9B">
      <w:pPr>
        <w:spacing w:after="0" w:line="240" w:lineRule="auto"/>
      </w:pPr>
      <w:r>
        <w:continuationSeparator/>
      </w:r>
    </w:p>
  </w:endnote>
  <w:endnote w:type="continuationNotice" w:id="1">
    <w:p w14:paraId="0B8B766B" w14:textId="77777777" w:rsidR="00C5633D" w:rsidRDefault="00C563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FF2C" w14:textId="77777777" w:rsidR="00C5633D" w:rsidRDefault="00C5633D" w:rsidP="00001C9B">
      <w:pPr>
        <w:spacing w:after="0" w:line="240" w:lineRule="auto"/>
      </w:pPr>
      <w:r>
        <w:separator/>
      </w:r>
    </w:p>
  </w:footnote>
  <w:footnote w:type="continuationSeparator" w:id="0">
    <w:p w14:paraId="770BC1C5" w14:textId="77777777" w:rsidR="00C5633D" w:rsidRDefault="00C5633D" w:rsidP="00001C9B">
      <w:pPr>
        <w:spacing w:after="0" w:line="240" w:lineRule="auto"/>
      </w:pPr>
      <w:r>
        <w:continuationSeparator/>
      </w:r>
    </w:p>
  </w:footnote>
  <w:footnote w:type="continuationNotice" w:id="1">
    <w:p w14:paraId="6EFDE6B5" w14:textId="77777777" w:rsidR="00C5633D" w:rsidRDefault="00C563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E75"/>
    <w:multiLevelType w:val="multilevel"/>
    <w:tmpl w:val="9550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7C47D3"/>
    <w:multiLevelType w:val="multilevel"/>
    <w:tmpl w:val="5F54A6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C98503A"/>
    <w:multiLevelType w:val="multilevel"/>
    <w:tmpl w:val="2138D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EF5CBD"/>
    <w:multiLevelType w:val="multilevel"/>
    <w:tmpl w:val="1A7688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E2471B5"/>
    <w:multiLevelType w:val="multilevel"/>
    <w:tmpl w:val="DA5209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914BB4"/>
    <w:multiLevelType w:val="multilevel"/>
    <w:tmpl w:val="20105D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17541"/>
    <w:multiLevelType w:val="multilevel"/>
    <w:tmpl w:val="17E63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180D18"/>
    <w:multiLevelType w:val="multilevel"/>
    <w:tmpl w:val="E6CA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F58EE"/>
    <w:multiLevelType w:val="multilevel"/>
    <w:tmpl w:val="F036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B241E1"/>
    <w:multiLevelType w:val="multilevel"/>
    <w:tmpl w:val="0DA2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8E2F4E"/>
    <w:multiLevelType w:val="multilevel"/>
    <w:tmpl w:val="1F6E14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A7F1580"/>
    <w:multiLevelType w:val="multilevel"/>
    <w:tmpl w:val="1F10F8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D65BB9"/>
    <w:multiLevelType w:val="multilevel"/>
    <w:tmpl w:val="21783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2366CC3"/>
    <w:multiLevelType w:val="multilevel"/>
    <w:tmpl w:val="6DC0D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3F6D46"/>
    <w:multiLevelType w:val="multilevel"/>
    <w:tmpl w:val="CEE601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71270A1"/>
    <w:multiLevelType w:val="multilevel"/>
    <w:tmpl w:val="37E84A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9B321E"/>
    <w:multiLevelType w:val="multilevel"/>
    <w:tmpl w:val="BD6426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5216FC"/>
    <w:multiLevelType w:val="multilevel"/>
    <w:tmpl w:val="DAA8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B764EC"/>
    <w:multiLevelType w:val="multilevel"/>
    <w:tmpl w:val="E47E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030C2B"/>
    <w:multiLevelType w:val="multilevel"/>
    <w:tmpl w:val="18D60F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D64D8D"/>
    <w:multiLevelType w:val="multilevel"/>
    <w:tmpl w:val="B498C9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E61FC8"/>
    <w:multiLevelType w:val="hybridMultilevel"/>
    <w:tmpl w:val="D87246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04CE0"/>
    <w:multiLevelType w:val="multilevel"/>
    <w:tmpl w:val="D4149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5DA41F1"/>
    <w:multiLevelType w:val="multilevel"/>
    <w:tmpl w:val="07742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E35555"/>
    <w:multiLevelType w:val="multilevel"/>
    <w:tmpl w:val="BB16E4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747C43"/>
    <w:multiLevelType w:val="multilevel"/>
    <w:tmpl w:val="E9C832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47AD7"/>
    <w:multiLevelType w:val="hybridMultilevel"/>
    <w:tmpl w:val="00503DE2"/>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346423A"/>
    <w:multiLevelType w:val="multilevel"/>
    <w:tmpl w:val="E96093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EC11DD"/>
    <w:multiLevelType w:val="multilevel"/>
    <w:tmpl w:val="F462DF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42C0314"/>
    <w:multiLevelType w:val="multilevel"/>
    <w:tmpl w:val="8584AD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609356266">
    <w:abstractNumId w:val="26"/>
  </w:num>
  <w:num w:numId="2" w16cid:durableId="1453866603">
    <w:abstractNumId w:val="23"/>
  </w:num>
  <w:num w:numId="3" w16cid:durableId="1286085711">
    <w:abstractNumId w:val="25"/>
  </w:num>
  <w:num w:numId="4" w16cid:durableId="637615118">
    <w:abstractNumId w:val="36"/>
  </w:num>
  <w:num w:numId="5" w16cid:durableId="1825926017">
    <w:abstractNumId w:val="33"/>
  </w:num>
  <w:num w:numId="6" w16cid:durableId="429786803">
    <w:abstractNumId w:val="1"/>
  </w:num>
  <w:num w:numId="7" w16cid:durableId="784691760">
    <w:abstractNumId w:val="2"/>
  </w:num>
  <w:num w:numId="8" w16cid:durableId="1753694784">
    <w:abstractNumId w:val="5"/>
  </w:num>
  <w:num w:numId="9" w16cid:durableId="2138789286">
    <w:abstractNumId w:val="29"/>
  </w:num>
  <w:num w:numId="10" w16cid:durableId="360328894">
    <w:abstractNumId w:val="0"/>
  </w:num>
  <w:num w:numId="11" w16cid:durableId="1903640379">
    <w:abstractNumId w:val="38"/>
  </w:num>
  <w:num w:numId="12" w16cid:durableId="2131701241">
    <w:abstractNumId w:val="14"/>
  </w:num>
  <w:num w:numId="13" w16cid:durableId="1576549587">
    <w:abstractNumId w:val="37"/>
  </w:num>
  <w:num w:numId="14" w16cid:durableId="723287035">
    <w:abstractNumId w:val="31"/>
  </w:num>
  <w:num w:numId="15" w16cid:durableId="242616447">
    <w:abstractNumId w:val="12"/>
  </w:num>
  <w:num w:numId="16" w16cid:durableId="408118540">
    <w:abstractNumId w:val="20"/>
  </w:num>
  <w:num w:numId="17" w16cid:durableId="1498956603">
    <w:abstractNumId w:val="19"/>
  </w:num>
  <w:num w:numId="18" w16cid:durableId="1672681315">
    <w:abstractNumId w:val="4"/>
  </w:num>
  <w:num w:numId="19" w16cid:durableId="1802914224">
    <w:abstractNumId w:val="24"/>
  </w:num>
  <w:num w:numId="20" w16cid:durableId="805003635">
    <w:abstractNumId w:val="7"/>
  </w:num>
  <w:num w:numId="21" w16cid:durableId="998652471">
    <w:abstractNumId w:val="16"/>
  </w:num>
  <w:num w:numId="22" w16cid:durableId="9769545">
    <w:abstractNumId w:val="3"/>
  </w:num>
  <w:num w:numId="23" w16cid:durableId="501703246">
    <w:abstractNumId w:val="10"/>
  </w:num>
  <w:num w:numId="24" w16cid:durableId="135877471">
    <w:abstractNumId w:val="13"/>
  </w:num>
  <w:num w:numId="25" w16cid:durableId="429931404">
    <w:abstractNumId w:val="11"/>
  </w:num>
  <w:num w:numId="26" w16cid:durableId="813255373">
    <w:abstractNumId w:val="28"/>
  </w:num>
  <w:num w:numId="27" w16cid:durableId="1362978971">
    <w:abstractNumId w:val="35"/>
  </w:num>
  <w:num w:numId="28" w16cid:durableId="1431320255">
    <w:abstractNumId w:val="15"/>
  </w:num>
  <w:num w:numId="29" w16cid:durableId="2084134108">
    <w:abstractNumId w:val="21"/>
  </w:num>
  <w:num w:numId="30" w16cid:durableId="517239565">
    <w:abstractNumId w:val="17"/>
  </w:num>
  <w:num w:numId="31" w16cid:durableId="302583402">
    <w:abstractNumId w:val="22"/>
  </w:num>
  <w:num w:numId="32" w16cid:durableId="556281735">
    <w:abstractNumId w:val="32"/>
  </w:num>
  <w:num w:numId="33" w16cid:durableId="50620391">
    <w:abstractNumId w:val="8"/>
  </w:num>
  <w:num w:numId="34" w16cid:durableId="1732994001">
    <w:abstractNumId w:val="6"/>
  </w:num>
  <w:num w:numId="35" w16cid:durableId="550072508">
    <w:abstractNumId w:val="9"/>
  </w:num>
  <w:num w:numId="36" w16cid:durableId="996493222">
    <w:abstractNumId w:val="18"/>
  </w:num>
  <w:num w:numId="37" w16cid:durableId="1516189536">
    <w:abstractNumId w:val="2"/>
  </w:num>
  <w:num w:numId="38" w16cid:durableId="1534492613">
    <w:abstractNumId w:val="34"/>
  </w:num>
  <w:num w:numId="39" w16cid:durableId="328363827">
    <w:abstractNumId w:val="27"/>
  </w:num>
  <w:num w:numId="40" w16cid:durableId="938562843">
    <w:abstractNumId w:val="30"/>
    <w:lvlOverride w:ilvl="0">
      <w:startOverride w:val="1"/>
    </w:lvlOverride>
  </w:num>
  <w:num w:numId="41" w16cid:durableId="438456823">
    <w:abstractNumId w:val="25"/>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40DC"/>
    <w:rsid w:val="000117D7"/>
    <w:rsid w:val="00012C62"/>
    <w:rsid w:val="000151EF"/>
    <w:rsid w:val="000239F5"/>
    <w:rsid w:val="000370EE"/>
    <w:rsid w:val="000414C6"/>
    <w:rsid w:val="00042BB0"/>
    <w:rsid w:val="00047600"/>
    <w:rsid w:val="000804F0"/>
    <w:rsid w:val="00085264"/>
    <w:rsid w:val="0008612A"/>
    <w:rsid w:val="00090E18"/>
    <w:rsid w:val="000A10BC"/>
    <w:rsid w:val="000A3C65"/>
    <w:rsid w:val="000A584A"/>
    <w:rsid w:val="000B0056"/>
    <w:rsid w:val="000B106C"/>
    <w:rsid w:val="000B30C9"/>
    <w:rsid w:val="000C21B2"/>
    <w:rsid w:val="000C3C7B"/>
    <w:rsid w:val="000C42B9"/>
    <w:rsid w:val="000D0F93"/>
    <w:rsid w:val="000D3261"/>
    <w:rsid w:val="000D36A9"/>
    <w:rsid w:val="000D6A2A"/>
    <w:rsid w:val="000D7921"/>
    <w:rsid w:val="000E1306"/>
    <w:rsid w:val="000E64D6"/>
    <w:rsid w:val="00101A81"/>
    <w:rsid w:val="001055D1"/>
    <w:rsid w:val="00106416"/>
    <w:rsid w:val="00110481"/>
    <w:rsid w:val="001127C9"/>
    <w:rsid w:val="0011478A"/>
    <w:rsid w:val="00115B88"/>
    <w:rsid w:val="00120F22"/>
    <w:rsid w:val="00132F6A"/>
    <w:rsid w:val="00133913"/>
    <w:rsid w:val="00137731"/>
    <w:rsid w:val="00140221"/>
    <w:rsid w:val="001429D4"/>
    <w:rsid w:val="0016010C"/>
    <w:rsid w:val="00160E9B"/>
    <w:rsid w:val="001642FC"/>
    <w:rsid w:val="0016496B"/>
    <w:rsid w:val="001660B4"/>
    <w:rsid w:val="001712EE"/>
    <w:rsid w:val="001743E2"/>
    <w:rsid w:val="001745F8"/>
    <w:rsid w:val="001763DF"/>
    <w:rsid w:val="001838CF"/>
    <w:rsid w:val="001868EE"/>
    <w:rsid w:val="00192ABA"/>
    <w:rsid w:val="001A3472"/>
    <w:rsid w:val="001A3BA4"/>
    <w:rsid w:val="001A58A3"/>
    <w:rsid w:val="001A6D1F"/>
    <w:rsid w:val="001C31C6"/>
    <w:rsid w:val="001C32CB"/>
    <w:rsid w:val="001D3543"/>
    <w:rsid w:val="001D557D"/>
    <w:rsid w:val="001E30F6"/>
    <w:rsid w:val="001F2D73"/>
    <w:rsid w:val="00211B88"/>
    <w:rsid w:val="00217EE5"/>
    <w:rsid w:val="002246E3"/>
    <w:rsid w:val="00227ADB"/>
    <w:rsid w:val="002321FB"/>
    <w:rsid w:val="00235F5C"/>
    <w:rsid w:val="00244315"/>
    <w:rsid w:val="00246C48"/>
    <w:rsid w:val="00255AF8"/>
    <w:rsid w:val="00257FA3"/>
    <w:rsid w:val="002602F1"/>
    <w:rsid w:val="0026056B"/>
    <w:rsid w:val="00271A79"/>
    <w:rsid w:val="00272F5B"/>
    <w:rsid w:val="00277B56"/>
    <w:rsid w:val="00277CA6"/>
    <w:rsid w:val="00287A06"/>
    <w:rsid w:val="00295A5B"/>
    <w:rsid w:val="00297D69"/>
    <w:rsid w:val="002A19F5"/>
    <w:rsid w:val="002B4922"/>
    <w:rsid w:val="002B7FBA"/>
    <w:rsid w:val="002C0C53"/>
    <w:rsid w:val="002C22C3"/>
    <w:rsid w:val="002C2D19"/>
    <w:rsid w:val="002D0DB9"/>
    <w:rsid w:val="002D10FA"/>
    <w:rsid w:val="002D34C6"/>
    <w:rsid w:val="002D4C55"/>
    <w:rsid w:val="002E6DED"/>
    <w:rsid w:val="00300956"/>
    <w:rsid w:val="00313FE7"/>
    <w:rsid w:val="00317187"/>
    <w:rsid w:val="0032499A"/>
    <w:rsid w:val="003341F7"/>
    <w:rsid w:val="00334A82"/>
    <w:rsid w:val="00347FEC"/>
    <w:rsid w:val="00356F45"/>
    <w:rsid w:val="00361441"/>
    <w:rsid w:val="00362A6D"/>
    <w:rsid w:val="00366B74"/>
    <w:rsid w:val="003750E3"/>
    <w:rsid w:val="0038388D"/>
    <w:rsid w:val="00394BFB"/>
    <w:rsid w:val="003963AA"/>
    <w:rsid w:val="003A0886"/>
    <w:rsid w:val="003A12CD"/>
    <w:rsid w:val="003A710A"/>
    <w:rsid w:val="003B659E"/>
    <w:rsid w:val="003C275E"/>
    <w:rsid w:val="003C4FDE"/>
    <w:rsid w:val="003C572F"/>
    <w:rsid w:val="003D178A"/>
    <w:rsid w:val="003D441B"/>
    <w:rsid w:val="003D5A5F"/>
    <w:rsid w:val="003E3245"/>
    <w:rsid w:val="003E58DF"/>
    <w:rsid w:val="003F0AE4"/>
    <w:rsid w:val="00400601"/>
    <w:rsid w:val="0040222F"/>
    <w:rsid w:val="004049A7"/>
    <w:rsid w:val="00404C4C"/>
    <w:rsid w:val="00407B5C"/>
    <w:rsid w:val="00407E75"/>
    <w:rsid w:val="0041423F"/>
    <w:rsid w:val="00414F81"/>
    <w:rsid w:val="004169B8"/>
    <w:rsid w:val="00431E29"/>
    <w:rsid w:val="004347B9"/>
    <w:rsid w:val="00436A0F"/>
    <w:rsid w:val="00437150"/>
    <w:rsid w:val="0043750A"/>
    <w:rsid w:val="00447516"/>
    <w:rsid w:val="00452481"/>
    <w:rsid w:val="00472852"/>
    <w:rsid w:val="004732E9"/>
    <w:rsid w:val="00476356"/>
    <w:rsid w:val="00482475"/>
    <w:rsid w:val="004854BB"/>
    <w:rsid w:val="00492AFC"/>
    <w:rsid w:val="00496606"/>
    <w:rsid w:val="004A117B"/>
    <w:rsid w:val="004B4A6A"/>
    <w:rsid w:val="004B703E"/>
    <w:rsid w:val="004D23CA"/>
    <w:rsid w:val="004E21B4"/>
    <w:rsid w:val="004E5E66"/>
    <w:rsid w:val="004E7ADB"/>
    <w:rsid w:val="0050163E"/>
    <w:rsid w:val="00503B4D"/>
    <w:rsid w:val="00504EE9"/>
    <w:rsid w:val="00512934"/>
    <w:rsid w:val="00521576"/>
    <w:rsid w:val="005250E6"/>
    <w:rsid w:val="00526895"/>
    <w:rsid w:val="00533370"/>
    <w:rsid w:val="00542D23"/>
    <w:rsid w:val="0054442C"/>
    <w:rsid w:val="00550285"/>
    <w:rsid w:val="005528B9"/>
    <w:rsid w:val="00557E46"/>
    <w:rsid w:val="00562492"/>
    <w:rsid w:val="00572A20"/>
    <w:rsid w:val="005741E3"/>
    <w:rsid w:val="005836F8"/>
    <w:rsid w:val="005918FA"/>
    <w:rsid w:val="0059266D"/>
    <w:rsid w:val="00592A86"/>
    <w:rsid w:val="00593326"/>
    <w:rsid w:val="00594F0C"/>
    <w:rsid w:val="005A0227"/>
    <w:rsid w:val="005A1DBC"/>
    <w:rsid w:val="005B4801"/>
    <w:rsid w:val="005C23A4"/>
    <w:rsid w:val="005D1CDF"/>
    <w:rsid w:val="005D2BB7"/>
    <w:rsid w:val="005D3153"/>
    <w:rsid w:val="005D7976"/>
    <w:rsid w:val="005E045B"/>
    <w:rsid w:val="005E61A8"/>
    <w:rsid w:val="005E7B9B"/>
    <w:rsid w:val="005F4D59"/>
    <w:rsid w:val="005F6419"/>
    <w:rsid w:val="0060543D"/>
    <w:rsid w:val="006061AA"/>
    <w:rsid w:val="006104DD"/>
    <w:rsid w:val="00611217"/>
    <w:rsid w:val="00612F54"/>
    <w:rsid w:val="006130B5"/>
    <w:rsid w:val="006133DB"/>
    <w:rsid w:val="00617400"/>
    <w:rsid w:val="006216FB"/>
    <w:rsid w:val="006248EE"/>
    <w:rsid w:val="00632D29"/>
    <w:rsid w:val="006446F0"/>
    <w:rsid w:val="00645435"/>
    <w:rsid w:val="00654AB8"/>
    <w:rsid w:val="00657D63"/>
    <w:rsid w:val="00664950"/>
    <w:rsid w:val="006743AF"/>
    <w:rsid w:val="00683220"/>
    <w:rsid w:val="0068600C"/>
    <w:rsid w:val="00687FA0"/>
    <w:rsid w:val="006A3C11"/>
    <w:rsid w:val="006A4403"/>
    <w:rsid w:val="006B7010"/>
    <w:rsid w:val="006C3095"/>
    <w:rsid w:val="006E1151"/>
    <w:rsid w:val="006E1263"/>
    <w:rsid w:val="006E6311"/>
    <w:rsid w:val="007112FD"/>
    <w:rsid w:val="00711885"/>
    <w:rsid w:val="00714294"/>
    <w:rsid w:val="007145FF"/>
    <w:rsid w:val="00715B2A"/>
    <w:rsid w:val="007176F5"/>
    <w:rsid w:val="00724793"/>
    <w:rsid w:val="0072531F"/>
    <w:rsid w:val="00733EEB"/>
    <w:rsid w:val="007450F1"/>
    <w:rsid w:val="00751515"/>
    <w:rsid w:val="007626B7"/>
    <w:rsid w:val="00764AB8"/>
    <w:rsid w:val="00767A15"/>
    <w:rsid w:val="00780103"/>
    <w:rsid w:val="0078052E"/>
    <w:rsid w:val="0078212B"/>
    <w:rsid w:val="00784DF6"/>
    <w:rsid w:val="00785232"/>
    <w:rsid w:val="00793B0A"/>
    <w:rsid w:val="00797EA6"/>
    <w:rsid w:val="007B186C"/>
    <w:rsid w:val="007B6DA2"/>
    <w:rsid w:val="007C1696"/>
    <w:rsid w:val="007C3ED0"/>
    <w:rsid w:val="007C5971"/>
    <w:rsid w:val="007D3E5B"/>
    <w:rsid w:val="007E1944"/>
    <w:rsid w:val="007E7084"/>
    <w:rsid w:val="007F0B0A"/>
    <w:rsid w:val="007F54B9"/>
    <w:rsid w:val="00806A76"/>
    <w:rsid w:val="00811C9D"/>
    <w:rsid w:val="008143F9"/>
    <w:rsid w:val="00816C80"/>
    <w:rsid w:val="008214D2"/>
    <w:rsid w:val="00823D39"/>
    <w:rsid w:val="00826490"/>
    <w:rsid w:val="0084074F"/>
    <w:rsid w:val="008412A5"/>
    <w:rsid w:val="00841BCD"/>
    <w:rsid w:val="00851A8E"/>
    <w:rsid w:val="0085365B"/>
    <w:rsid w:val="008562A7"/>
    <w:rsid w:val="008613C4"/>
    <w:rsid w:val="008826C1"/>
    <w:rsid w:val="00883DFD"/>
    <w:rsid w:val="008849B5"/>
    <w:rsid w:val="00891857"/>
    <w:rsid w:val="008A1912"/>
    <w:rsid w:val="008A1BF7"/>
    <w:rsid w:val="008A4A95"/>
    <w:rsid w:val="008A5B0E"/>
    <w:rsid w:val="008B0961"/>
    <w:rsid w:val="008B2354"/>
    <w:rsid w:val="008B467C"/>
    <w:rsid w:val="008B6295"/>
    <w:rsid w:val="008C0D2B"/>
    <w:rsid w:val="008C6CA9"/>
    <w:rsid w:val="0090091A"/>
    <w:rsid w:val="0090392E"/>
    <w:rsid w:val="009042BD"/>
    <w:rsid w:val="00910083"/>
    <w:rsid w:val="00915D78"/>
    <w:rsid w:val="009205E1"/>
    <w:rsid w:val="0093034E"/>
    <w:rsid w:val="00936159"/>
    <w:rsid w:val="0093632F"/>
    <w:rsid w:val="009431B6"/>
    <w:rsid w:val="00952997"/>
    <w:rsid w:val="0095392E"/>
    <w:rsid w:val="00977050"/>
    <w:rsid w:val="00977E1D"/>
    <w:rsid w:val="00983C7C"/>
    <w:rsid w:val="00984ED0"/>
    <w:rsid w:val="00990B08"/>
    <w:rsid w:val="00997347"/>
    <w:rsid w:val="009A3967"/>
    <w:rsid w:val="009B044F"/>
    <w:rsid w:val="009B0573"/>
    <w:rsid w:val="009B1064"/>
    <w:rsid w:val="009B33C0"/>
    <w:rsid w:val="009B7B4B"/>
    <w:rsid w:val="009B7C21"/>
    <w:rsid w:val="009D64EF"/>
    <w:rsid w:val="009E0B76"/>
    <w:rsid w:val="009E1D40"/>
    <w:rsid w:val="009F2084"/>
    <w:rsid w:val="00A025A6"/>
    <w:rsid w:val="00A04992"/>
    <w:rsid w:val="00A11A09"/>
    <w:rsid w:val="00A147AA"/>
    <w:rsid w:val="00A21D71"/>
    <w:rsid w:val="00A22B78"/>
    <w:rsid w:val="00A25AE5"/>
    <w:rsid w:val="00A274A7"/>
    <w:rsid w:val="00A36A48"/>
    <w:rsid w:val="00A37002"/>
    <w:rsid w:val="00A4355E"/>
    <w:rsid w:val="00A46B46"/>
    <w:rsid w:val="00A54782"/>
    <w:rsid w:val="00A744D2"/>
    <w:rsid w:val="00A822F1"/>
    <w:rsid w:val="00A85144"/>
    <w:rsid w:val="00A9009D"/>
    <w:rsid w:val="00A92BCD"/>
    <w:rsid w:val="00A95162"/>
    <w:rsid w:val="00AA1B0E"/>
    <w:rsid w:val="00AA1BBB"/>
    <w:rsid w:val="00AA47B6"/>
    <w:rsid w:val="00AB0BE5"/>
    <w:rsid w:val="00AB742F"/>
    <w:rsid w:val="00AC163B"/>
    <w:rsid w:val="00AC5CA7"/>
    <w:rsid w:val="00AC6058"/>
    <w:rsid w:val="00AD210A"/>
    <w:rsid w:val="00AE2BA5"/>
    <w:rsid w:val="00AE3AE5"/>
    <w:rsid w:val="00AE56B1"/>
    <w:rsid w:val="00AE6834"/>
    <w:rsid w:val="00AE6D09"/>
    <w:rsid w:val="00AF7A7C"/>
    <w:rsid w:val="00B03300"/>
    <w:rsid w:val="00B04E6F"/>
    <w:rsid w:val="00B05036"/>
    <w:rsid w:val="00B151EB"/>
    <w:rsid w:val="00B408B6"/>
    <w:rsid w:val="00B434A3"/>
    <w:rsid w:val="00B4410D"/>
    <w:rsid w:val="00B53509"/>
    <w:rsid w:val="00B542DA"/>
    <w:rsid w:val="00B72494"/>
    <w:rsid w:val="00B733D1"/>
    <w:rsid w:val="00B73862"/>
    <w:rsid w:val="00B73F43"/>
    <w:rsid w:val="00B761E6"/>
    <w:rsid w:val="00B8324A"/>
    <w:rsid w:val="00B84D4A"/>
    <w:rsid w:val="00B90307"/>
    <w:rsid w:val="00BA6B66"/>
    <w:rsid w:val="00BA6E48"/>
    <w:rsid w:val="00BB1EA1"/>
    <w:rsid w:val="00BB6401"/>
    <w:rsid w:val="00BD2490"/>
    <w:rsid w:val="00BE0234"/>
    <w:rsid w:val="00BE0AF6"/>
    <w:rsid w:val="00BE1F03"/>
    <w:rsid w:val="00BE33E1"/>
    <w:rsid w:val="00BE58A7"/>
    <w:rsid w:val="00BE7028"/>
    <w:rsid w:val="00BE7F99"/>
    <w:rsid w:val="00BF02B9"/>
    <w:rsid w:val="00BF2218"/>
    <w:rsid w:val="00BF28B1"/>
    <w:rsid w:val="00C0426B"/>
    <w:rsid w:val="00C045DF"/>
    <w:rsid w:val="00C04E91"/>
    <w:rsid w:val="00C1528D"/>
    <w:rsid w:val="00C23631"/>
    <w:rsid w:val="00C240D4"/>
    <w:rsid w:val="00C26D43"/>
    <w:rsid w:val="00C37620"/>
    <w:rsid w:val="00C37B15"/>
    <w:rsid w:val="00C4583A"/>
    <w:rsid w:val="00C46548"/>
    <w:rsid w:val="00C4692A"/>
    <w:rsid w:val="00C548C4"/>
    <w:rsid w:val="00C55958"/>
    <w:rsid w:val="00C5633D"/>
    <w:rsid w:val="00C56DFC"/>
    <w:rsid w:val="00C574D5"/>
    <w:rsid w:val="00C73F32"/>
    <w:rsid w:val="00C87462"/>
    <w:rsid w:val="00C8746E"/>
    <w:rsid w:val="00CA180C"/>
    <w:rsid w:val="00CB22B2"/>
    <w:rsid w:val="00CC3EE2"/>
    <w:rsid w:val="00CD0B62"/>
    <w:rsid w:val="00CD4855"/>
    <w:rsid w:val="00CD6599"/>
    <w:rsid w:val="00CD7492"/>
    <w:rsid w:val="00CE23ED"/>
    <w:rsid w:val="00CE3A6B"/>
    <w:rsid w:val="00CF0310"/>
    <w:rsid w:val="00CF4B8B"/>
    <w:rsid w:val="00CF7BFF"/>
    <w:rsid w:val="00D00211"/>
    <w:rsid w:val="00D00638"/>
    <w:rsid w:val="00D06309"/>
    <w:rsid w:val="00D10F1B"/>
    <w:rsid w:val="00D205E7"/>
    <w:rsid w:val="00D230CD"/>
    <w:rsid w:val="00D2518A"/>
    <w:rsid w:val="00D2558C"/>
    <w:rsid w:val="00D351EA"/>
    <w:rsid w:val="00D35AB2"/>
    <w:rsid w:val="00D37670"/>
    <w:rsid w:val="00D40288"/>
    <w:rsid w:val="00D41565"/>
    <w:rsid w:val="00D420AB"/>
    <w:rsid w:val="00D42125"/>
    <w:rsid w:val="00D43403"/>
    <w:rsid w:val="00D5270B"/>
    <w:rsid w:val="00D6204A"/>
    <w:rsid w:val="00D62E71"/>
    <w:rsid w:val="00D6430D"/>
    <w:rsid w:val="00D66188"/>
    <w:rsid w:val="00D71653"/>
    <w:rsid w:val="00D731F6"/>
    <w:rsid w:val="00D740CA"/>
    <w:rsid w:val="00D85728"/>
    <w:rsid w:val="00D95481"/>
    <w:rsid w:val="00DA1355"/>
    <w:rsid w:val="00DC7A13"/>
    <w:rsid w:val="00DE2183"/>
    <w:rsid w:val="00DE57C3"/>
    <w:rsid w:val="00DF2997"/>
    <w:rsid w:val="00E001F2"/>
    <w:rsid w:val="00E0432F"/>
    <w:rsid w:val="00E10BC4"/>
    <w:rsid w:val="00E11F99"/>
    <w:rsid w:val="00E1415D"/>
    <w:rsid w:val="00E22C33"/>
    <w:rsid w:val="00E25D89"/>
    <w:rsid w:val="00E26D3E"/>
    <w:rsid w:val="00E27A31"/>
    <w:rsid w:val="00E323E9"/>
    <w:rsid w:val="00E34018"/>
    <w:rsid w:val="00E437D2"/>
    <w:rsid w:val="00E47CE6"/>
    <w:rsid w:val="00E507B7"/>
    <w:rsid w:val="00E55751"/>
    <w:rsid w:val="00E5696D"/>
    <w:rsid w:val="00E62DCA"/>
    <w:rsid w:val="00E63178"/>
    <w:rsid w:val="00E716E5"/>
    <w:rsid w:val="00E737CC"/>
    <w:rsid w:val="00EA2311"/>
    <w:rsid w:val="00EC7BC3"/>
    <w:rsid w:val="00ED1729"/>
    <w:rsid w:val="00ED7600"/>
    <w:rsid w:val="00EF6073"/>
    <w:rsid w:val="00EF698B"/>
    <w:rsid w:val="00F1362C"/>
    <w:rsid w:val="00F20C80"/>
    <w:rsid w:val="00F20F46"/>
    <w:rsid w:val="00F3203B"/>
    <w:rsid w:val="00F35922"/>
    <w:rsid w:val="00F35CE3"/>
    <w:rsid w:val="00F414F1"/>
    <w:rsid w:val="00F43089"/>
    <w:rsid w:val="00F508B8"/>
    <w:rsid w:val="00F530BF"/>
    <w:rsid w:val="00F56F2A"/>
    <w:rsid w:val="00F60AE7"/>
    <w:rsid w:val="00F6521E"/>
    <w:rsid w:val="00F70264"/>
    <w:rsid w:val="00F72CB1"/>
    <w:rsid w:val="00F8215E"/>
    <w:rsid w:val="00F824F5"/>
    <w:rsid w:val="00F90FAB"/>
    <w:rsid w:val="00F9374D"/>
    <w:rsid w:val="00F94C3E"/>
    <w:rsid w:val="00FA1028"/>
    <w:rsid w:val="00FC1BF6"/>
    <w:rsid w:val="00FC29B9"/>
    <w:rsid w:val="00FC401E"/>
    <w:rsid w:val="00FC6FD3"/>
    <w:rsid w:val="00FD2B08"/>
    <w:rsid w:val="00FE039C"/>
    <w:rsid w:val="00FE305C"/>
    <w:rsid w:val="00FF0301"/>
    <w:rsid w:val="45FF472F"/>
    <w:rsid w:val="4A56E96D"/>
    <w:rsid w:val="6444A150"/>
    <w:rsid w:val="6C17B2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7CE6098D-7B6F-4849-87BC-6E0730EF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Ericsson Capital TT" w:hAnsi="Ericsson Capital T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71653"/>
    <w:pPr>
      <w:tabs>
        <w:tab w:val="right" w:leader="dot" w:pos="9617"/>
      </w:tabs>
      <w:spacing w:after="100"/>
    </w:pPr>
  </w:style>
  <w:style w:type="paragraph" w:styleId="TOC5">
    <w:name w:val="toc 5"/>
    <w:aliases w:val="Proposal"/>
    <w:basedOn w:val="Normal"/>
    <w:next w:val="Normal"/>
    <w:autoRedefine/>
    <w:uiPriority w:val="39"/>
    <w:unhideWhenUsed/>
    <w:rsid w:val="00492AFC"/>
    <w:pPr>
      <w:tabs>
        <w:tab w:val="right" w:leader="dot" w:pos="9617"/>
      </w:tabs>
      <w:spacing w:after="100"/>
    </w:pPr>
    <w:rPr>
      <w:b/>
    </w:rPr>
  </w:style>
  <w:style w:type="character" w:customStyle="1" w:styleId="normaltextrun">
    <w:name w:val="normaltextrun"/>
    <w:basedOn w:val="DefaultParagraphFont"/>
    <w:rsid w:val="00B151EB"/>
  </w:style>
  <w:style w:type="character" w:customStyle="1" w:styleId="eop">
    <w:name w:val="eop"/>
    <w:basedOn w:val="DefaultParagraphFont"/>
    <w:rsid w:val="00B151EB"/>
  </w:style>
  <w:style w:type="paragraph" w:customStyle="1" w:styleId="paragraph">
    <w:name w:val="paragraph"/>
    <w:basedOn w:val="Normal"/>
    <w:rsid w:val="00C4583A"/>
    <w:pPr>
      <w:spacing w:before="100" w:beforeAutospacing="1" w:after="100" w:afterAutospacing="1" w:line="240" w:lineRule="auto"/>
    </w:pPr>
    <w:rPr>
      <w:rFonts w:eastAsia="Times New Roman" w:cs="Times New Roman"/>
      <w:sz w:val="24"/>
      <w:szCs w:val="24"/>
      <w:lang w:val="en-IN" w:eastAsia="en-IN"/>
    </w:rPr>
  </w:style>
  <w:style w:type="character" w:customStyle="1" w:styleId="tabchar">
    <w:name w:val="tabchar"/>
    <w:basedOn w:val="DefaultParagraphFont"/>
    <w:rsid w:val="00C4583A"/>
  </w:style>
  <w:style w:type="paragraph" w:styleId="Header">
    <w:name w:val="header"/>
    <w:basedOn w:val="Normal"/>
    <w:link w:val="HeaderChar"/>
    <w:uiPriority w:val="99"/>
    <w:semiHidden/>
    <w:unhideWhenUsed/>
    <w:rsid w:val="00C4583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4583A"/>
    <w:rPr>
      <w:rFonts w:ascii="Times New Roman" w:hAnsi="Times New Roman"/>
      <w:sz w:val="20"/>
    </w:rPr>
  </w:style>
  <w:style w:type="paragraph" w:styleId="Footer">
    <w:name w:val="footer"/>
    <w:basedOn w:val="Normal"/>
    <w:link w:val="FooterChar"/>
    <w:uiPriority w:val="99"/>
    <w:semiHidden/>
    <w:unhideWhenUsed/>
    <w:rsid w:val="00C4583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4583A"/>
    <w:rPr>
      <w:rFonts w:ascii="Times New Roman" w:hAnsi="Times New Roman"/>
      <w:sz w:val="20"/>
    </w:rPr>
  </w:style>
  <w:style w:type="paragraph" w:styleId="Revision">
    <w:name w:val="Revision"/>
    <w:hidden/>
    <w:uiPriority w:val="99"/>
    <w:semiHidden/>
    <w:rsid w:val="0052689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05725">
      <w:bodyDiv w:val="1"/>
      <w:marLeft w:val="0"/>
      <w:marRight w:val="0"/>
      <w:marTop w:val="0"/>
      <w:marBottom w:val="0"/>
      <w:divBdr>
        <w:top w:val="none" w:sz="0" w:space="0" w:color="auto"/>
        <w:left w:val="none" w:sz="0" w:space="0" w:color="auto"/>
        <w:bottom w:val="none" w:sz="0" w:space="0" w:color="auto"/>
        <w:right w:val="none" w:sz="0" w:space="0" w:color="auto"/>
      </w:divBdr>
      <w:divsChild>
        <w:div w:id="34040682">
          <w:marLeft w:val="0"/>
          <w:marRight w:val="0"/>
          <w:marTop w:val="0"/>
          <w:marBottom w:val="0"/>
          <w:divBdr>
            <w:top w:val="none" w:sz="0" w:space="0" w:color="auto"/>
            <w:left w:val="none" w:sz="0" w:space="0" w:color="auto"/>
            <w:bottom w:val="none" w:sz="0" w:space="0" w:color="auto"/>
            <w:right w:val="none" w:sz="0" w:space="0" w:color="auto"/>
          </w:divBdr>
        </w:div>
        <w:div w:id="55445163">
          <w:marLeft w:val="0"/>
          <w:marRight w:val="0"/>
          <w:marTop w:val="0"/>
          <w:marBottom w:val="0"/>
          <w:divBdr>
            <w:top w:val="none" w:sz="0" w:space="0" w:color="auto"/>
            <w:left w:val="none" w:sz="0" w:space="0" w:color="auto"/>
            <w:bottom w:val="none" w:sz="0" w:space="0" w:color="auto"/>
            <w:right w:val="none" w:sz="0" w:space="0" w:color="auto"/>
          </w:divBdr>
        </w:div>
        <w:div w:id="88891270">
          <w:marLeft w:val="0"/>
          <w:marRight w:val="0"/>
          <w:marTop w:val="0"/>
          <w:marBottom w:val="0"/>
          <w:divBdr>
            <w:top w:val="none" w:sz="0" w:space="0" w:color="auto"/>
            <w:left w:val="none" w:sz="0" w:space="0" w:color="auto"/>
            <w:bottom w:val="none" w:sz="0" w:space="0" w:color="auto"/>
            <w:right w:val="none" w:sz="0" w:space="0" w:color="auto"/>
          </w:divBdr>
        </w:div>
        <w:div w:id="140074976">
          <w:marLeft w:val="0"/>
          <w:marRight w:val="0"/>
          <w:marTop w:val="0"/>
          <w:marBottom w:val="0"/>
          <w:divBdr>
            <w:top w:val="none" w:sz="0" w:space="0" w:color="auto"/>
            <w:left w:val="none" w:sz="0" w:space="0" w:color="auto"/>
            <w:bottom w:val="none" w:sz="0" w:space="0" w:color="auto"/>
            <w:right w:val="none" w:sz="0" w:space="0" w:color="auto"/>
          </w:divBdr>
        </w:div>
        <w:div w:id="154228232">
          <w:marLeft w:val="0"/>
          <w:marRight w:val="0"/>
          <w:marTop w:val="0"/>
          <w:marBottom w:val="0"/>
          <w:divBdr>
            <w:top w:val="none" w:sz="0" w:space="0" w:color="auto"/>
            <w:left w:val="none" w:sz="0" w:space="0" w:color="auto"/>
            <w:bottom w:val="none" w:sz="0" w:space="0" w:color="auto"/>
            <w:right w:val="none" w:sz="0" w:space="0" w:color="auto"/>
          </w:divBdr>
        </w:div>
        <w:div w:id="208960383">
          <w:marLeft w:val="0"/>
          <w:marRight w:val="0"/>
          <w:marTop w:val="0"/>
          <w:marBottom w:val="0"/>
          <w:divBdr>
            <w:top w:val="none" w:sz="0" w:space="0" w:color="auto"/>
            <w:left w:val="none" w:sz="0" w:space="0" w:color="auto"/>
            <w:bottom w:val="none" w:sz="0" w:space="0" w:color="auto"/>
            <w:right w:val="none" w:sz="0" w:space="0" w:color="auto"/>
          </w:divBdr>
        </w:div>
        <w:div w:id="218715294">
          <w:marLeft w:val="0"/>
          <w:marRight w:val="0"/>
          <w:marTop w:val="0"/>
          <w:marBottom w:val="0"/>
          <w:divBdr>
            <w:top w:val="none" w:sz="0" w:space="0" w:color="auto"/>
            <w:left w:val="none" w:sz="0" w:space="0" w:color="auto"/>
            <w:bottom w:val="none" w:sz="0" w:space="0" w:color="auto"/>
            <w:right w:val="none" w:sz="0" w:space="0" w:color="auto"/>
          </w:divBdr>
        </w:div>
        <w:div w:id="237600617">
          <w:marLeft w:val="0"/>
          <w:marRight w:val="0"/>
          <w:marTop w:val="0"/>
          <w:marBottom w:val="0"/>
          <w:divBdr>
            <w:top w:val="none" w:sz="0" w:space="0" w:color="auto"/>
            <w:left w:val="none" w:sz="0" w:space="0" w:color="auto"/>
            <w:bottom w:val="none" w:sz="0" w:space="0" w:color="auto"/>
            <w:right w:val="none" w:sz="0" w:space="0" w:color="auto"/>
          </w:divBdr>
        </w:div>
        <w:div w:id="404882424">
          <w:marLeft w:val="0"/>
          <w:marRight w:val="0"/>
          <w:marTop w:val="0"/>
          <w:marBottom w:val="0"/>
          <w:divBdr>
            <w:top w:val="none" w:sz="0" w:space="0" w:color="auto"/>
            <w:left w:val="none" w:sz="0" w:space="0" w:color="auto"/>
            <w:bottom w:val="none" w:sz="0" w:space="0" w:color="auto"/>
            <w:right w:val="none" w:sz="0" w:space="0" w:color="auto"/>
          </w:divBdr>
        </w:div>
        <w:div w:id="478572759">
          <w:marLeft w:val="0"/>
          <w:marRight w:val="0"/>
          <w:marTop w:val="0"/>
          <w:marBottom w:val="0"/>
          <w:divBdr>
            <w:top w:val="none" w:sz="0" w:space="0" w:color="auto"/>
            <w:left w:val="none" w:sz="0" w:space="0" w:color="auto"/>
            <w:bottom w:val="none" w:sz="0" w:space="0" w:color="auto"/>
            <w:right w:val="none" w:sz="0" w:space="0" w:color="auto"/>
          </w:divBdr>
        </w:div>
        <w:div w:id="530151307">
          <w:marLeft w:val="0"/>
          <w:marRight w:val="0"/>
          <w:marTop w:val="0"/>
          <w:marBottom w:val="0"/>
          <w:divBdr>
            <w:top w:val="none" w:sz="0" w:space="0" w:color="auto"/>
            <w:left w:val="none" w:sz="0" w:space="0" w:color="auto"/>
            <w:bottom w:val="none" w:sz="0" w:space="0" w:color="auto"/>
            <w:right w:val="none" w:sz="0" w:space="0" w:color="auto"/>
          </w:divBdr>
        </w:div>
        <w:div w:id="675888343">
          <w:marLeft w:val="0"/>
          <w:marRight w:val="0"/>
          <w:marTop w:val="0"/>
          <w:marBottom w:val="0"/>
          <w:divBdr>
            <w:top w:val="none" w:sz="0" w:space="0" w:color="auto"/>
            <w:left w:val="none" w:sz="0" w:space="0" w:color="auto"/>
            <w:bottom w:val="none" w:sz="0" w:space="0" w:color="auto"/>
            <w:right w:val="none" w:sz="0" w:space="0" w:color="auto"/>
          </w:divBdr>
        </w:div>
        <w:div w:id="778841654">
          <w:marLeft w:val="0"/>
          <w:marRight w:val="0"/>
          <w:marTop w:val="0"/>
          <w:marBottom w:val="0"/>
          <w:divBdr>
            <w:top w:val="none" w:sz="0" w:space="0" w:color="auto"/>
            <w:left w:val="none" w:sz="0" w:space="0" w:color="auto"/>
            <w:bottom w:val="none" w:sz="0" w:space="0" w:color="auto"/>
            <w:right w:val="none" w:sz="0" w:space="0" w:color="auto"/>
          </w:divBdr>
        </w:div>
        <w:div w:id="815755012">
          <w:marLeft w:val="0"/>
          <w:marRight w:val="0"/>
          <w:marTop w:val="0"/>
          <w:marBottom w:val="0"/>
          <w:divBdr>
            <w:top w:val="none" w:sz="0" w:space="0" w:color="auto"/>
            <w:left w:val="none" w:sz="0" w:space="0" w:color="auto"/>
            <w:bottom w:val="none" w:sz="0" w:space="0" w:color="auto"/>
            <w:right w:val="none" w:sz="0" w:space="0" w:color="auto"/>
          </w:divBdr>
        </w:div>
        <w:div w:id="875577641">
          <w:marLeft w:val="0"/>
          <w:marRight w:val="0"/>
          <w:marTop w:val="0"/>
          <w:marBottom w:val="0"/>
          <w:divBdr>
            <w:top w:val="none" w:sz="0" w:space="0" w:color="auto"/>
            <w:left w:val="none" w:sz="0" w:space="0" w:color="auto"/>
            <w:bottom w:val="none" w:sz="0" w:space="0" w:color="auto"/>
            <w:right w:val="none" w:sz="0" w:space="0" w:color="auto"/>
          </w:divBdr>
        </w:div>
        <w:div w:id="920913135">
          <w:marLeft w:val="0"/>
          <w:marRight w:val="0"/>
          <w:marTop w:val="0"/>
          <w:marBottom w:val="0"/>
          <w:divBdr>
            <w:top w:val="none" w:sz="0" w:space="0" w:color="auto"/>
            <w:left w:val="none" w:sz="0" w:space="0" w:color="auto"/>
            <w:bottom w:val="none" w:sz="0" w:space="0" w:color="auto"/>
            <w:right w:val="none" w:sz="0" w:space="0" w:color="auto"/>
          </w:divBdr>
        </w:div>
        <w:div w:id="956301343">
          <w:marLeft w:val="0"/>
          <w:marRight w:val="0"/>
          <w:marTop w:val="0"/>
          <w:marBottom w:val="0"/>
          <w:divBdr>
            <w:top w:val="none" w:sz="0" w:space="0" w:color="auto"/>
            <w:left w:val="none" w:sz="0" w:space="0" w:color="auto"/>
            <w:bottom w:val="none" w:sz="0" w:space="0" w:color="auto"/>
            <w:right w:val="none" w:sz="0" w:space="0" w:color="auto"/>
          </w:divBdr>
        </w:div>
        <w:div w:id="960304814">
          <w:marLeft w:val="0"/>
          <w:marRight w:val="0"/>
          <w:marTop w:val="0"/>
          <w:marBottom w:val="0"/>
          <w:divBdr>
            <w:top w:val="none" w:sz="0" w:space="0" w:color="auto"/>
            <w:left w:val="none" w:sz="0" w:space="0" w:color="auto"/>
            <w:bottom w:val="none" w:sz="0" w:space="0" w:color="auto"/>
            <w:right w:val="none" w:sz="0" w:space="0" w:color="auto"/>
          </w:divBdr>
        </w:div>
        <w:div w:id="1135367594">
          <w:marLeft w:val="0"/>
          <w:marRight w:val="0"/>
          <w:marTop w:val="0"/>
          <w:marBottom w:val="0"/>
          <w:divBdr>
            <w:top w:val="none" w:sz="0" w:space="0" w:color="auto"/>
            <w:left w:val="none" w:sz="0" w:space="0" w:color="auto"/>
            <w:bottom w:val="none" w:sz="0" w:space="0" w:color="auto"/>
            <w:right w:val="none" w:sz="0" w:space="0" w:color="auto"/>
          </w:divBdr>
        </w:div>
        <w:div w:id="1160923972">
          <w:marLeft w:val="0"/>
          <w:marRight w:val="0"/>
          <w:marTop w:val="0"/>
          <w:marBottom w:val="0"/>
          <w:divBdr>
            <w:top w:val="none" w:sz="0" w:space="0" w:color="auto"/>
            <w:left w:val="none" w:sz="0" w:space="0" w:color="auto"/>
            <w:bottom w:val="none" w:sz="0" w:space="0" w:color="auto"/>
            <w:right w:val="none" w:sz="0" w:space="0" w:color="auto"/>
          </w:divBdr>
        </w:div>
        <w:div w:id="1216893676">
          <w:marLeft w:val="0"/>
          <w:marRight w:val="0"/>
          <w:marTop w:val="0"/>
          <w:marBottom w:val="0"/>
          <w:divBdr>
            <w:top w:val="none" w:sz="0" w:space="0" w:color="auto"/>
            <w:left w:val="none" w:sz="0" w:space="0" w:color="auto"/>
            <w:bottom w:val="none" w:sz="0" w:space="0" w:color="auto"/>
            <w:right w:val="none" w:sz="0" w:space="0" w:color="auto"/>
          </w:divBdr>
        </w:div>
        <w:div w:id="1225527409">
          <w:marLeft w:val="0"/>
          <w:marRight w:val="0"/>
          <w:marTop w:val="0"/>
          <w:marBottom w:val="0"/>
          <w:divBdr>
            <w:top w:val="none" w:sz="0" w:space="0" w:color="auto"/>
            <w:left w:val="none" w:sz="0" w:space="0" w:color="auto"/>
            <w:bottom w:val="none" w:sz="0" w:space="0" w:color="auto"/>
            <w:right w:val="none" w:sz="0" w:space="0" w:color="auto"/>
          </w:divBdr>
        </w:div>
        <w:div w:id="1337805750">
          <w:marLeft w:val="0"/>
          <w:marRight w:val="0"/>
          <w:marTop w:val="0"/>
          <w:marBottom w:val="0"/>
          <w:divBdr>
            <w:top w:val="none" w:sz="0" w:space="0" w:color="auto"/>
            <w:left w:val="none" w:sz="0" w:space="0" w:color="auto"/>
            <w:bottom w:val="none" w:sz="0" w:space="0" w:color="auto"/>
            <w:right w:val="none" w:sz="0" w:space="0" w:color="auto"/>
          </w:divBdr>
        </w:div>
        <w:div w:id="1380670239">
          <w:marLeft w:val="0"/>
          <w:marRight w:val="0"/>
          <w:marTop w:val="0"/>
          <w:marBottom w:val="0"/>
          <w:divBdr>
            <w:top w:val="none" w:sz="0" w:space="0" w:color="auto"/>
            <w:left w:val="none" w:sz="0" w:space="0" w:color="auto"/>
            <w:bottom w:val="none" w:sz="0" w:space="0" w:color="auto"/>
            <w:right w:val="none" w:sz="0" w:space="0" w:color="auto"/>
          </w:divBdr>
        </w:div>
        <w:div w:id="1406031488">
          <w:marLeft w:val="0"/>
          <w:marRight w:val="0"/>
          <w:marTop w:val="0"/>
          <w:marBottom w:val="0"/>
          <w:divBdr>
            <w:top w:val="none" w:sz="0" w:space="0" w:color="auto"/>
            <w:left w:val="none" w:sz="0" w:space="0" w:color="auto"/>
            <w:bottom w:val="none" w:sz="0" w:space="0" w:color="auto"/>
            <w:right w:val="none" w:sz="0" w:space="0" w:color="auto"/>
          </w:divBdr>
        </w:div>
        <w:div w:id="1431193875">
          <w:marLeft w:val="0"/>
          <w:marRight w:val="0"/>
          <w:marTop w:val="0"/>
          <w:marBottom w:val="0"/>
          <w:divBdr>
            <w:top w:val="none" w:sz="0" w:space="0" w:color="auto"/>
            <w:left w:val="none" w:sz="0" w:space="0" w:color="auto"/>
            <w:bottom w:val="none" w:sz="0" w:space="0" w:color="auto"/>
            <w:right w:val="none" w:sz="0" w:space="0" w:color="auto"/>
          </w:divBdr>
        </w:div>
        <w:div w:id="1471749259">
          <w:marLeft w:val="0"/>
          <w:marRight w:val="0"/>
          <w:marTop w:val="0"/>
          <w:marBottom w:val="0"/>
          <w:divBdr>
            <w:top w:val="none" w:sz="0" w:space="0" w:color="auto"/>
            <w:left w:val="none" w:sz="0" w:space="0" w:color="auto"/>
            <w:bottom w:val="none" w:sz="0" w:space="0" w:color="auto"/>
            <w:right w:val="none" w:sz="0" w:space="0" w:color="auto"/>
          </w:divBdr>
        </w:div>
        <w:div w:id="1492327361">
          <w:marLeft w:val="0"/>
          <w:marRight w:val="0"/>
          <w:marTop w:val="0"/>
          <w:marBottom w:val="0"/>
          <w:divBdr>
            <w:top w:val="none" w:sz="0" w:space="0" w:color="auto"/>
            <w:left w:val="none" w:sz="0" w:space="0" w:color="auto"/>
            <w:bottom w:val="none" w:sz="0" w:space="0" w:color="auto"/>
            <w:right w:val="none" w:sz="0" w:space="0" w:color="auto"/>
          </w:divBdr>
        </w:div>
        <w:div w:id="1493645346">
          <w:marLeft w:val="0"/>
          <w:marRight w:val="0"/>
          <w:marTop w:val="0"/>
          <w:marBottom w:val="0"/>
          <w:divBdr>
            <w:top w:val="none" w:sz="0" w:space="0" w:color="auto"/>
            <w:left w:val="none" w:sz="0" w:space="0" w:color="auto"/>
            <w:bottom w:val="none" w:sz="0" w:space="0" w:color="auto"/>
            <w:right w:val="none" w:sz="0" w:space="0" w:color="auto"/>
          </w:divBdr>
        </w:div>
        <w:div w:id="1588687991">
          <w:marLeft w:val="0"/>
          <w:marRight w:val="0"/>
          <w:marTop w:val="0"/>
          <w:marBottom w:val="0"/>
          <w:divBdr>
            <w:top w:val="none" w:sz="0" w:space="0" w:color="auto"/>
            <w:left w:val="none" w:sz="0" w:space="0" w:color="auto"/>
            <w:bottom w:val="none" w:sz="0" w:space="0" w:color="auto"/>
            <w:right w:val="none" w:sz="0" w:space="0" w:color="auto"/>
          </w:divBdr>
        </w:div>
        <w:div w:id="1604192695">
          <w:marLeft w:val="0"/>
          <w:marRight w:val="0"/>
          <w:marTop w:val="0"/>
          <w:marBottom w:val="0"/>
          <w:divBdr>
            <w:top w:val="none" w:sz="0" w:space="0" w:color="auto"/>
            <w:left w:val="none" w:sz="0" w:space="0" w:color="auto"/>
            <w:bottom w:val="none" w:sz="0" w:space="0" w:color="auto"/>
            <w:right w:val="none" w:sz="0" w:space="0" w:color="auto"/>
          </w:divBdr>
        </w:div>
        <w:div w:id="1605379323">
          <w:marLeft w:val="0"/>
          <w:marRight w:val="0"/>
          <w:marTop w:val="0"/>
          <w:marBottom w:val="0"/>
          <w:divBdr>
            <w:top w:val="none" w:sz="0" w:space="0" w:color="auto"/>
            <w:left w:val="none" w:sz="0" w:space="0" w:color="auto"/>
            <w:bottom w:val="none" w:sz="0" w:space="0" w:color="auto"/>
            <w:right w:val="none" w:sz="0" w:space="0" w:color="auto"/>
          </w:divBdr>
        </w:div>
        <w:div w:id="1670060406">
          <w:marLeft w:val="0"/>
          <w:marRight w:val="0"/>
          <w:marTop w:val="0"/>
          <w:marBottom w:val="0"/>
          <w:divBdr>
            <w:top w:val="none" w:sz="0" w:space="0" w:color="auto"/>
            <w:left w:val="none" w:sz="0" w:space="0" w:color="auto"/>
            <w:bottom w:val="none" w:sz="0" w:space="0" w:color="auto"/>
            <w:right w:val="none" w:sz="0" w:space="0" w:color="auto"/>
          </w:divBdr>
        </w:div>
        <w:div w:id="1679236983">
          <w:marLeft w:val="0"/>
          <w:marRight w:val="0"/>
          <w:marTop w:val="0"/>
          <w:marBottom w:val="0"/>
          <w:divBdr>
            <w:top w:val="none" w:sz="0" w:space="0" w:color="auto"/>
            <w:left w:val="none" w:sz="0" w:space="0" w:color="auto"/>
            <w:bottom w:val="none" w:sz="0" w:space="0" w:color="auto"/>
            <w:right w:val="none" w:sz="0" w:space="0" w:color="auto"/>
          </w:divBdr>
        </w:div>
        <w:div w:id="1733306706">
          <w:marLeft w:val="0"/>
          <w:marRight w:val="0"/>
          <w:marTop w:val="0"/>
          <w:marBottom w:val="0"/>
          <w:divBdr>
            <w:top w:val="none" w:sz="0" w:space="0" w:color="auto"/>
            <w:left w:val="none" w:sz="0" w:space="0" w:color="auto"/>
            <w:bottom w:val="none" w:sz="0" w:space="0" w:color="auto"/>
            <w:right w:val="none" w:sz="0" w:space="0" w:color="auto"/>
          </w:divBdr>
        </w:div>
        <w:div w:id="1867058053">
          <w:marLeft w:val="0"/>
          <w:marRight w:val="0"/>
          <w:marTop w:val="0"/>
          <w:marBottom w:val="0"/>
          <w:divBdr>
            <w:top w:val="none" w:sz="0" w:space="0" w:color="auto"/>
            <w:left w:val="none" w:sz="0" w:space="0" w:color="auto"/>
            <w:bottom w:val="none" w:sz="0" w:space="0" w:color="auto"/>
            <w:right w:val="none" w:sz="0" w:space="0" w:color="auto"/>
          </w:divBdr>
        </w:div>
        <w:div w:id="1888638551">
          <w:marLeft w:val="0"/>
          <w:marRight w:val="0"/>
          <w:marTop w:val="0"/>
          <w:marBottom w:val="0"/>
          <w:divBdr>
            <w:top w:val="none" w:sz="0" w:space="0" w:color="auto"/>
            <w:left w:val="none" w:sz="0" w:space="0" w:color="auto"/>
            <w:bottom w:val="none" w:sz="0" w:space="0" w:color="auto"/>
            <w:right w:val="none" w:sz="0" w:space="0" w:color="auto"/>
          </w:divBdr>
        </w:div>
        <w:div w:id="1889762143">
          <w:marLeft w:val="0"/>
          <w:marRight w:val="0"/>
          <w:marTop w:val="0"/>
          <w:marBottom w:val="0"/>
          <w:divBdr>
            <w:top w:val="none" w:sz="0" w:space="0" w:color="auto"/>
            <w:left w:val="none" w:sz="0" w:space="0" w:color="auto"/>
            <w:bottom w:val="none" w:sz="0" w:space="0" w:color="auto"/>
            <w:right w:val="none" w:sz="0" w:space="0" w:color="auto"/>
          </w:divBdr>
        </w:div>
        <w:div w:id="1904869784">
          <w:marLeft w:val="0"/>
          <w:marRight w:val="0"/>
          <w:marTop w:val="0"/>
          <w:marBottom w:val="0"/>
          <w:divBdr>
            <w:top w:val="none" w:sz="0" w:space="0" w:color="auto"/>
            <w:left w:val="none" w:sz="0" w:space="0" w:color="auto"/>
            <w:bottom w:val="none" w:sz="0" w:space="0" w:color="auto"/>
            <w:right w:val="none" w:sz="0" w:space="0" w:color="auto"/>
          </w:divBdr>
        </w:div>
        <w:div w:id="2009552540">
          <w:marLeft w:val="0"/>
          <w:marRight w:val="0"/>
          <w:marTop w:val="0"/>
          <w:marBottom w:val="0"/>
          <w:divBdr>
            <w:top w:val="none" w:sz="0" w:space="0" w:color="auto"/>
            <w:left w:val="none" w:sz="0" w:space="0" w:color="auto"/>
            <w:bottom w:val="none" w:sz="0" w:space="0" w:color="auto"/>
            <w:right w:val="none" w:sz="0" w:space="0" w:color="auto"/>
          </w:divBdr>
        </w:div>
        <w:div w:id="2104566934">
          <w:marLeft w:val="0"/>
          <w:marRight w:val="0"/>
          <w:marTop w:val="0"/>
          <w:marBottom w:val="0"/>
          <w:divBdr>
            <w:top w:val="none" w:sz="0" w:space="0" w:color="auto"/>
            <w:left w:val="none" w:sz="0" w:space="0" w:color="auto"/>
            <w:bottom w:val="none" w:sz="0" w:space="0" w:color="auto"/>
            <w:right w:val="none" w:sz="0" w:space="0" w:color="auto"/>
          </w:divBdr>
        </w:div>
        <w:div w:id="2125078211">
          <w:marLeft w:val="0"/>
          <w:marRight w:val="0"/>
          <w:marTop w:val="0"/>
          <w:marBottom w:val="0"/>
          <w:divBdr>
            <w:top w:val="none" w:sz="0" w:space="0" w:color="auto"/>
            <w:left w:val="none" w:sz="0" w:space="0" w:color="auto"/>
            <w:bottom w:val="none" w:sz="0" w:space="0" w:color="auto"/>
            <w:right w:val="none" w:sz="0" w:space="0" w:color="auto"/>
          </w:divBdr>
        </w:div>
      </w:divsChild>
    </w:div>
    <w:div w:id="1629311774">
      <w:bodyDiv w:val="1"/>
      <w:marLeft w:val="0"/>
      <w:marRight w:val="0"/>
      <w:marTop w:val="0"/>
      <w:marBottom w:val="0"/>
      <w:divBdr>
        <w:top w:val="none" w:sz="0" w:space="0" w:color="auto"/>
        <w:left w:val="none" w:sz="0" w:space="0" w:color="auto"/>
        <w:bottom w:val="none" w:sz="0" w:space="0" w:color="auto"/>
        <w:right w:val="none" w:sz="0" w:space="0" w:color="auto"/>
      </w:divBdr>
      <w:divsChild>
        <w:div w:id="976567896">
          <w:marLeft w:val="0"/>
          <w:marRight w:val="0"/>
          <w:marTop w:val="0"/>
          <w:marBottom w:val="0"/>
          <w:divBdr>
            <w:top w:val="none" w:sz="0" w:space="0" w:color="auto"/>
            <w:left w:val="none" w:sz="0" w:space="0" w:color="auto"/>
            <w:bottom w:val="none" w:sz="0" w:space="0" w:color="auto"/>
            <w:right w:val="none" w:sz="0" w:space="0" w:color="auto"/>
          </w:divBdr>
        </w:div>
        <w:div w:id="994801225">
          <w:marLeft w:val="0"/>
          <w:marRight w:val="0"/>
          <w:marTop w:val="0"/>
          <w:marBottom w:val="0"/>
          <w:divBdr>
            <w:top w:val="none" w:sz="0" w:space="0" w:color="auto"/>
            <w:left w:val="none" w:sz="0" w:space="0" w:color="auto"/>
            <w:bottom w:val="none" w:sz="0" w:space="0" w:color="auto"/>
            <w:right w:val="none" w:sz="0" w:space="0" w:color="auto"/>
          </w:divBdr>
        </w:div>
        <w:div w:id="2022855791">
          <w:marLeft w:val="0"/>
          <w:marRight w:val="0"/>
          <w:marTop w:val="0"/>
          <w:marBottom w:val="0"/>
          <w:divBdr>
            <w:top w:val="none" w:sz="0" w:space="0" w:color="auto"/>
            <w:left w:val="none" w:sz="0" w:space="0" w:color="auto"/>
            <w:bottom w:val="none" w:sz="0" w:space="0" w:color="auto"/>
            <w:right w:val="none" w:sz="0" w:space="0" w:color="auto"/>
          </w:divBdr>
        </w:div>
      </w:divsChild>
    </w:div>
    <w:div w:id="1727796998">
      <w:bodyDiv w:val="1"/>
      <w:marLeft w:val="0"/>
      <w:marRight w:val="0"/>
      <w:marTop w:val="0"/>
      <w:marBottom w:val="0"/>
      <w:divBdr>
        <w:top w:val="none" w:sz="0" w:space="0" w:color="auto"/>
        <w:left w:val="none" w:sz="0" w:space="0" w:color="auto"/>
        <w:bottom w:val="none" w:sz="0" w:space="0" w:color="auto"/>
        <w:right w:val="none" w:sz="0" w:space="0" w:color="auto"/>
      </w:divBdr>
    </w:div>
    <w:div w:id="1795128317">
      <w:bodyDiv w:val="1"/>
      <w:marLeft w:val="0"/>
      <w:marRight w:val="0"/>
      <w:marTop w:val="0"/>
      <w:marBottom w:val="0"/>
      <w:divBdr>
        <w:top w:val="none" w:sz="0" w:space="0" w:color="auto"/>
        <w:left w:val="none" w:sz="0" w:space="0" w:color="auto"/>
        <w:bottom w:val="none" w:sz="0" w:space="0" w:color="auto"/>
        <w:right w:val="none" w:sz="0" w:space="0" w:color="auto"/>
      </w:divBdr>
    </w:div>
    <w:div w:id="214604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5AIRPNAIUNRU-1328258698-20837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https://nokia.sharepoint.com/sites/c5g/5gradio/_layouts/15/DocIdRedir.aspx?ID=5AIRPNAIUNRU-1328258698-20837</Url>
      <Description>5AIRPNAIUNRU-1328258698-20837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1</TotalTime>
  <Pages>4</Pages>
  <Words>1910</Words>
  <Characters>10887</Characters>
  <Application>Microsoft Office Word</Application>
  <DocSecurity>0</DocSecurity>
  <Lines>90</Lines>
  <Paragraphs>25</Paragraphs>
  <ScaleCrop>false</ScaleCrop>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 Networks - Lars</cp:lastModifiedBy>
  <cp:revision>2</cp:revision>
  <dcterms:created xsi:type="dcterms:W3CDTF">2023-04-10T16:37:00Z</dcterms:created>
  <dcterms:modified xsi:type="dcterms:W3CDTF">2023-04-10T16:37:00Z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6dd04bef-7e5a-4ff8-a6fd-802a06ae6752</vt:lpwstr>
  </property>
  <property fmtid="{D5CDD505-2E9C-101B-9397-08002B2CF9AE}" pid="11" name="MediaServiceImageTags">
    <vt:lpwstr/>
  </property>
  <property fmtid="{D5CDD505-2E9C-101B-9397-08002B2CF9AE}" pid="12" name="GrammarlyDocumentId">
    <vt:lpwstr>4e28b7aa-4b26-4864-8ad4-50dea9075790</vt:lpwstr>
  </property>
</Properties>
</file>