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1CA04" w14:textId="536A24F3" w:rsidR="00CC736E" w:rsidRPr="00643914"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643914">
        <w:rPr>
          <w:rFonts w:ascii="Arial" w:hAnsi="Arial" w:cs="Arial"/>
          <w:b/>
          <w:sz w:val="24"/>
          <w:szCs w:val="24"/>
        </w:rPr>
        <w:t>6</w:t>
      </w:r>
      <w:r w:rsidR="004C5EED">
        <w:rPr>
          <w:rFonts w:ascii="Arial" w:hAnsi="Arial" w:cs="Arial"/>
          <w:b/>
          <w:sz w:val="24"/>
          <w:szCs w:val="24"/>
        </w:rPr>
        <w:t>bis-e</w:t>
      </w:r>
      <w:r w:rsidRPr="00F644CF">
        <w:rPr>
          <w:rFonts w:ascii="Arial" w:hAnsi="Arial" w:cs="Arial"/>
          <w:b/>
          <w:sz w:val="24"/>
          <w:szCs w:val="24"/>
        </w:rPr>
        <w:tab/>
        <w:t>R4-</w:t>
      </w:r>
      <w:r w:rsidR="0073259F" w:rsidRPr="0073259F">
        <w:rPr>
          <w:rFonts w:ascii="Arial" w:hAnsi="Arial" w:cs="Arial"/>
          <w:b/>
          <w:sz w:val="24"/>
          <w:szCs w:val="24"/>
        </w:rPr>
        <w:t>2304907</w:t>
      </w:r>
    </w:p>
    <w:p w14:paraId="4D9FF775" w14:textId="77777777" w:rsidR="00DE55A0" w:rsidRPr="00807EF6" w:rsidRDefault="004C5EED"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Online</w:t>
      </w:r>
      <w:r w:rsidR="002476C5">
        <w:rPr>
          <w:rFonts w:ascii="Arial" w:eastAsia="SimSun" w:hAnsi="Arial"/>
          <w:b/>
          <w:sz w:val="24"/>
          <w:szCs w:val="24"/>
          <w:lang w:eastAsia="zh-CN"/>
        </w:rPr>
        <w:t>,</w:t>
      </w:r>
      <w:r w:rsidR="00CC736E">
        <w:rPr>
          <w:rFonts w:ascii="Arial" w:eastAsia="SimSun" w:hAnsi="Arial"/>
          <w:b/>
          <w:sz w:val="24"/>
          <w:szCs w:val="24"/>
          <w:lang w:eastAsia="zh-CN"/>
        </w:rPr>
        <w:t xml:space="preserve"> </w:t>
      </w:r>
      <w:r>
        <w:rPr>
          <w:rFonts w:ascii="Arial" w:eastAsia="SimSun" w:hAnsi="Arial" w:cs="Arial"/>
          <w:b/>
          <w:sz w:val="24"/>
          <w:szCs w:val="24"/>
          <w:lang w:eastAsia="zh-CN"/>
        </w:rPr>
        <w:t>April</w:t>
      </w:r>
      <w:r w:rsidR="00292E94" w:rsidRPr="004A029C">
        <w:rPr>
          <w:rFonts w:ascii="Arial" w:eastAsia="SimSun" w:hAnsi="Arial" w:cs="Arial"/>
          <w:b/>
          <w:sz w:val="24"/>
          <w:szCs w:val="24"/>
          <w:lang w:eastAsia="zh-CN"/>
        </w:rPr>
        <w:t xml:space="preserve"> </w:t>
      </w:r>
      <w:r>
        <w:rPr>
          <w:rFonts w:ascii="Arial" w:eastAsia="SimSun" w:hAnsi="Arial" w:cs="Arial"/>
          <w:b/>
          <w:sz w:val="24"/>
          <w:szCs w:val="24"/>
          <w:lang w:eastAsia="zh-CN"/>
        </w:rPr>
        <w:t>17</w:t>
      </w:r>
      <w:r w:rsidR="00292E94" w:rsidRPr="004A029C">
        <w:rPr>
          <w:rFonts w:ascii="Arial" w:eastAsia="SimSun" w:hAnsi="Arial" w:cs="Arial"/>
          <w:b/>
          <w:sz w:val="24"/>
          <w:szCs w:val="24"/>
          <w:lang w:eastAsia="zh-CN"/>
        </w:rPr>
        <w:t xml:space="preserve"> – </w:t>
      </w:r>
      <w:r>
        <w:rPr>
          <w:rFonts w:ascii="Arial" w:eastAsia="SimSun" w:hAnsi="Arial" w:cs="Arial"/>
          <w:b/>
          <w:sz w:val="24"/>
          <w:szCs w:val="24"/>
          <w:lang w:eastAsia="zh-CN"/>
        </w:rPr>
        <w:t>26</w:t>
      </w:r>
      <w:r w:rsidR="00292E94" w:rsidRPr="004A029C">
        <w:rPr>
          <w:rFonts w:ascii="Arial" w:eastAsia="SimSun" w:hAnsi="Arial" w:cs="Arial"/>
          <w:b/>
          <w:sz w:val="24"/>
          <w:szCs w:val="24"/>
          <w:lang w:eastAsia="zh-CN"/>
        </w:rPr>
        <w:t>, 202</w:t>
      </w:r>
      <w:r w:rsidR="00643914">
        <w:rPr>
          <w:rFonts w:ascii="Arial" w:eastAsia="SimSun" w:hAnsi="Arial" w:cs="Arial"/>
          <w:b/>
          <w:sz w:val="24"/>
          <w:szCs w:val="24"/>
          <w:lang w:eastAsia="zh-CN"/>
        </w:rPr>
        <w:t>3</w:t>
      </w:r>
    </w:p>
    <w:p w14:paraId="0CE534F3"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02D01E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9AEDA86" w14:textId="77777777"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3D3DDE">
        <w:rPr>
          <w:rFonts w:ascii="Arial" w:hAnsi="Arial" w:cs="Arial" w:hint="eastAsia"/>
          <w:lang w:val="en-US" w:eastAsia="ko-KR"/>
        </w:rPr>
        <w:t xml:space="preserve">Discussion on </w:t>
      </w:r>
      <w:r w:rsidR="00497353">
        <w:rPr>
          <w:rFonts w:ascii="Arial" w:hAnsi="Arial" w:cs="Arial"/>
          <w:lang w:val="en-US"/>
        </w:rPr>
        <w:t xml:space="preserve">measurement </w:t>
      </w:r>
      <w:r w:rsidR="00C044DB">
        <w:rPr>
          <w:rFonts w:ascii="Arial" w:hAnsi="Arial" w:cs="Arial"/>
          <w:lang w:val="en-US"/>
        </w:rPr>
        <w:t>for ATG operation</w:t>
      </w:r>
      <w:r w:rsidR="00441033">
        <w:rPr>
          <w:rFonts w:ascii="Arial" w:hAnsi="Arial" w:cs="Arial"/>
          <w:lang w:val="en-US"/>
        </w:rPr>
        <w:t xml:space="preserve"> </w:t>
      </w:r>
      <w:r w:rsidR="00100413">
        <w:rPr>
          <w:rFonts w:ascii="Arial" w:hAnsi="Arial" w:cs="Arial" w:hint="eastAsia"/>
          <w:lang w:val="en-US" w:eastAsia="ko-KR"/>
        </w:rPr>
        <w:t xml:space="preserve"> </w:t>
      </w:r>
    </w:p>
    <w:p w14:paraId="74023E30" w14:textId="77777777"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503596">
        <w:rPr>
          <w:rFonts w:ascii="Arial" w:hAnsi="Arial" w:cs="Arial"/>
          <w:lang w:val="en-US" w:eastAsia="ko-KR"/>
        </w:rPr>
        <w:t>5.</w:t>
      </w:r>
      <w:r w:rsidR="00C044DB">
        <w:rPr>
          <w:rFonts w:ascii="Arial" w:hAnsi="Arial" w:cs="Arial"/>
          <w:lang w:val="en-US" w:eastAsia="ko-KR"/>
        </w:rPr>
        <w:t>14.4.</w:t>
      </w:r>
      <w:r w:rsidR="00497353">
        <w:rPr>
          <w:rFonts w:ascii="Arial" w:hAnsi="Arial" w:cs="Arial"/>
          <w:lang w:val="en-US" w:eastAsia="ko-KR"/>
        </w:rPr>
        <w:t>5</w:t>
      </w:r>
    </w:p>
    <w:p w14:paraId="1518ACC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3D3DDE">
        <w:rPr>
          <w:rFonts w:ascii="Arial" w:hAnsi="Arial" w:cs="Arial"/>
          <w:bCs/>
          <w:lang w:val="en-US" w:eastAsia="ko-KR"/>
        </w:rPr>
        <w:t>Discussion</w:t>
      </w:r>
    </w:p>
    <w:p w14:paraId="6EA91326" w14:textId="77777777" w:rsidR="001171FA" w:rsidRPr="00576FCA" w:rsidRDefault="001171FA" w:rsidP="00D4523D">
      <w:pPr>
        <w:pBdr>
          <w:bottom w:val="single" w:sz="4" w:space="1" w:color="auto"/>
        </w:pBdr>
        <w:jc w:val="both"/>
        <w:rPr>
          <w:rFonts w:ascii="Arial" w:hAnsi="Arial" w:cs="Arial"/>
          <w:lang w:val="en-US"/>
        </w:rPr>
      </w:pPr>
    </w:p>
    <w:p w14:paraId="6750963C" w14:textId="77777777" w:rsidR="001171FA" w:rsidRPr="00576FCA" w:rsidRDefault="001171FA" w:rsidP="00D4523D">
      <w:pPr>
        <w:jc w:val="both"/>
        <w:rPr>
          <w:rFonts w:ascii="Arial" w:hAnsi="Arial" w:cs="Arial"/>
          <w:lang w:val="en-US"/>
        </w:rPr>
      </w:pPr>
    </w:p>
    <w:p w14:paraId="19A05856" w14:textId="77777777" w:rsidR="003C5363" w:rsidRDefault="001171FA" w:rsidP="00D4523D">
      <w:pPr>
        <w:pStyle w:val="1"/>
        <w:jc w:val="both"/>
        <w:rPr>
          <w:lang w:val="en-US" w:eastAsia="ko-KR"/>
        </w:rPr>
      </w:pPr>
      <w:r w:rsidRPr="00576FCA">
        <w:rPr>
          <w:lang w:val="en-US"/>
        </w:rPr>
        <w:t>Introduction</w:t>
      </w:r>
    </w:p>
    <w:p w14:paraId="37699B3B" w14:textId="1A9986A3" w:rsidR="00683CAB" w:rsidRDefault="00224367" w:rsidP="00A83F62">
      <w:pPr>
        <w:pStyle w:val="a0"/>
        <w:jc w:val="both"/>
        <w:rPr>
          <w:lang w:val="en-US" w:eastAsia="ko-KR"/>
        </w:rPr>
      </w:pPr>
      <w:r>
        <w:rPr>
          <w:lang w:val="en-US" w:eastAsia="ko-KR"/>
        </w:rPr>
        <w:t xml:space="preserve">In this contribution, we provide our views on </w:t>
      </w:r>
      <w:r w:rsidR="00133EBA">
        <w:rPr>
          <w:lang w:val="en-US" w:eastAsia="ko-KR"/>
        </w:rPr>
        <w:t>ATG RRM measurement requirements such as intra-frequency measurement requirement, scheduling restriction, measurement and measurement report with ATG UE altitude information.</w:t>
      </w:r>
    </w:p>
    <w:p w14:paraId="697504EA" w14:textId="77777777" w:rsidR="00683CAB" w:rsidRDefault="00683CAB" w:rsidP="00A83F62">
      <w:pPr>
        <w:pStyle w:val="a0"/>
        <w:jc w:val="both"/>
        <w:rPr>
          <w:lang w:val="en-US" w:eastAsia="ko-KR"/>
        </w:rPr>
      </w:pPr>
    </w:p>
    <w:p w14:paraId="494A8715" w14:textId="77777777" w:rsidR="002900EE" w:rsidRDefault="00441033" w:rsidP="00A83F62">
      <w:pPr>
        <w:pStyle w:val="1"/>
        <w:spacing w:line="276" w:lineRule="auto"/>
        <w:jc w:val="both"/>
        <w:rPr>
          <w:lang w:val="en-US" w:eastAsia="ko-KR"/>
        </w:rPr>
      </w:pPr>
      <w:r>
        <w:rPr>
          <w:lang w:val="en-US" w:eastAsia="ko-KR"/>
        </w:rPr>
        <w:t>Discussion</w:t>
      </w:r>
    </w:p>
    <w:p w14:paraId="4B2D170E" w14:textId="77777777" w:rsidR="00497353" w:rsidRDefault="00497353" w:rsidP="00497353">
      <w:pPr>
        <w:pStyle w:val="a0"/>
        <w:rPr>
          <w:lang w:val="en-US" w:eastAsia="ko-KR"/>
        </w:rPr>
      </w:pPr>
      <w:r w:rsidRPr="0012556D">
        <w:rPr>
          <w:b/>
          <w:u w:val="single"/>
          <w:lang w:eastAsia="ko-KR"/>
        </w:rPr>
        <w:t>Intra-frequency measurements requirement</w:t>
      </w:r>
    </w:p>
    <w:p w14:paraId="1BDA598B" w14:textId="77777777" w:rsidR="00497353" w:rsidRDefault="00497353" w:rsidP="00497353">
      <w:pPr>
        <w:pStyle w:val="a0"/>
        <w:rPr>
          <w:lang w:val="en-US" w:eastAsia="ko-KR"/>
        </w:rPr>
      </w:pPr>
      <w:r>
        <w:rPr>
          <w:rFonts w:hint="eastAsia"/>
          <w:lang w:val="en-US" w:eastAsia="ko-KR"/>
        </w:rPr>
        <w:t>In the last meeting, RAN4 agreed to reu</w:t>
      </w:r>
      <w:r>
        <w:rPr>
          <w:lang w:val="en-US" w:eastAsia="ko-KR"/>
        </w:rPr>
        <w:t xml:space="preserve">se the legacy NR intra-frequency measurement requirement with updating deriveSSB-IndexFromCell condition. </w:t>
      </w:r>
      <w:r w:rsidR="00C30056">
        <w:rPr>
          <w:lang w:val="en-US" w:eastAsia="ko-KR"/>
        </w:rPr>
        <w:t xml:space="preserve">In RF session, for 4GHz frequency, directional antenna is assumed for co-existence study. RAN4 RRM needs further clarification whether </w:t>
      </w:r>
      <w:r w:rsidR="00C30056" w:rsidRPr="00C30056">
        <w:rPr>
          <w:lang w:val="en-US" w:eastAsia="ko-KR"/>
        </w:rPr>
        <w:t>the assumption of a directional antenna affects the measurement requirements.</w:t>
      </w:r>
    </w:p>
    <w:p w14:paraId="22A9DABA" w14:textId="08DF69B6" w:rsidR="00C30056" w:rsidRDefault="00C30056" w:rsidP="00C30056">
      <w:pPr>
        <w:pStyle w:val="a0"/>
        <w:numPr>
          <w:ilvl w:val="0"/>
          <w:numId w:val="27"/>
        </w:numPr>
        <w:rPr>
          <w:lang w:val="en-US" w:eastAsia="ko-KR"/>
        </w:rPr>
      </w:pPr>
      <w:r w:rsidRPr="00C30056">
        <w:rPr>
          <w:b/>
          <w:i/>
          <w:lang w:val="en-US" w:eastAsia="ko-KR"/>
        </w:rPr>
        <w:t xml:space="preserve">Proposal </w:t>
      </w:r>
      <w:r w:rsidR="00377204">
        <w:rPr>
          <w:b/>
          <w:i/>
          <w:lang w:val="en-US" w:eastAsia="ko-KR"/>
        </w:rPr>
        <w:t>1</w:t>
      </w:r>
      <w:r w:rsidR="00AB18CA">
        <w:rPr>
          <w:lang w:val="en-US" w:eastAsia="ko-KR"/>
        </w:rPr>
        <w:t>.</w:t>
      </w:r>
      <w:r>
        <w:rPr>
          <w:lang w:val="en-US" w:eastAsia="ko-KR"/>
        </w:rPr>
        <w:t xml:space="preserve"> Further discuss whether </w:t>
      </w:r>
      <w:r w:rsidRPr="00C30056">
        <w:rPr>
          <w:lang w:val="en-US" w:eastAsia="ko-KR"/>
        </w:rPr>
        <w:t>the assumption of a directional antenna affects the measurement requirements.</w:t>
      </w:r>
    </w:p>
    <w:p w14:paraId="6938D202" w14:textId="77777777" w:rsidR="00AF65EA" w:rsidRDefault="00AF65EA" w:rsidP="00C30056">
      <w:pPr>
        <w:pStyle w:val="a0"/>
        <w:jc w:val="both"/>
        <w:rPr>
          <w:lang w:val="en-US" w:eastAsia="ko-KR"/>
        </w:rPr>
      </w:pPr>
    </w:p>
    <w:p w14:paraId="43DD78A8" w14:textId="77777777" w:rsidR="00C30056" w:rsidRPr="00C30056" w:rsidRDefault="00C30056" w:rsidP="00C30056">
      <w:pPr>
        <w:pStyle w:val="a0"/>
        <w:jc w:val="both"/>
        <w:rPr>
          <w:b/>
          <w:u w:val="single"/>
          <w:lang w:val="en-US" w:eastAsia="ko-KR"/>
        </w:rPr>
      </w:pPr>
      <w:r w:rsidRPr="00C30056">
        <w:rPr>
          <w:rFonts w:hint="eastAsia"/>
          <w:b/>
          <w:u w:val="single"/>
          <w:lang w:val="en-US" w:eastAsia="ko-KR"/>
        </w:rPr>
        <w:t>Scheduling restriction</w:t>
      </w:r>
    </w:p>
    <w:tbl>
      <w:tblPr>
        <w:tblStyle w:val="a9"/>
        <w:tblW w:w="0" w:type="auto"/>
        <w:tblLook w:val="04A0" w:firstRow="1" w:lastRow="0" w:firstColumn="1" w:lastColumn="0" w:noHBand="0" w:noVBand="1"/>
      </w:tblPr>
      <w:tblGrid>
        <w:gridCol w:w="9855"/>
      </w:tblGrid>
      <w:tr w:rsidR="00C30056" w14:paraId="6BE2D9C7" w14:textId="77777777" w:rsidTr="00C30056">
        <w:tc>
          <w:tcPr>
            <w:tcW w:w="9855" w:type="dxa"/>
          </w:tcPr>
          <w:p w14:paraId="226AAE62" w14:textId="77777777" w:rsidR="00C30056" w:rsidRPr="0085071B" w:rsidRDefault="00C30056" w:rsidP="00C30056">
            <w:pPr>
              <w:pStyle w:val="ad"/>
              <w:numPr>
                <w:ilvl w:val="0"/>
                <w:numId w:val="3"/>
              </w:numPr>
              <w:spacing w:after="120"/>
              <w:ind w:leftChars="0" w:left="454" w:hanging="283"/>
              <w:rPr>
                <w:rFonts w:eastAsia="SimSun"/>
              </w:rPr>
            </w:pPr>
            <w:r w:rsidRPr="0085071B">
              <w:rPr>
                <w:rFonts w:eastAsia="SimSun"/>
              </w:rPr>
              <w:t xml:space="preserve">Option </w:t>
            </w:r>
            <w:r>
              <w:rPr>
                <w:rFonts w:eastAsia="SimSun"/>
              </w:rPr>
              <w:t>1</w:t>
            </w:r>
            <w:r w:rsidRPr="0085071B">
              <w:rPr>
                <w:rFonts w:eastAsia="SimSun"/>
              </w:rPr>
              <w:t xml:space="preserve">: The legacy scheduling restriction requirement can be reused for ATG. </w:t>
            </w:r>
          </w:p>
          <w:p w14:paraId="71B0A7E9" w14:textId="77777777" w:rsidR="00C30056" w:rsidRPr="0085071B" w:rsidRDefault="00C30056" w:rsidP="00C30056">
            <w:pPr>
              <w:pStyle w:val="ad"/>
              <w:numPr>
                <w:ilvl w:val="1"/>
                <w:numId w:val="3"/>
              </w:numPr>
              <w:spacing w:after="120"/>
              <w:ind w:leftChars="0" w:left="738" w:hanging="284"/>
              <w:rPr>
                <w:rFonts w:eastAsia="SimSun"/>
              </w:rPr>
            </w:pPr>
            <w:r w:rsidRPr="0085071B">
              <w:rPr>
                <w:rFonts w:eastAsia="SimSun"/>
              </w:rPr>
              <w:t>Current scheduling restriction is depending on deriveSSB-IndexFromCell. However, there is no need to extend the scheduling restriction since it was agreed that legacy TN requirement can be reused for deriveSSB-IndexFromCell. This means it is up to NW to enable to disable deriveSSB-IndexFromCell, but in either case the scheduling restriction would be same as today.</w:t>
            </w:r>
          </w:p>
          <w:p w14:paraId="21268C55" w14:textId="77777777" w:rsidR="00C30056" w:rsidRPr="0085071B" w:rsidRDefault="00C30056" w:rsidP="00C30056">
            <w:pPr>
              <w:pStyle w:val="ad"/>
              <w:numPr>
                <w:ilvl w:val="1"/>
                <w:numId w:val="3"/>
              </w:numPr>
              <w:spacing w:after="120"/>
              <w:ind w:leftChars="0" w:left="738" w:hanging="284"/>
              <w:rPr>
                <w:rFonts w:eastAsia="SimSun"/>
              </w:rPr>
            </w:pPr>
            <w:r w:rsidRPr="0085071B">
              <w:rPr>
                <w:rFonts w:eastAsia="SimSun"/>
              </w:rPr>
              <w:t>When it is enabled, the restriction is on SSB symbols and 1 data symbol before and after.</w:t>
            </w:r>
          </w:p>
          <w:p w14:paraId="5EE267ED" w14:textId="77777777" w:rsidR="00C30056" w:rsidRPr="0085071B" w:rsidRDefault="00C30056" w:rsidP="00C30056">
            <w:pPr>
              <w:pStyle w:val="ad"/>
              <w:numPr>
                <w:ilvl w:val="1"/>
                <w:numId w:val="3"/>
              </w:numPr>
              <w:spacing w:after="120"/>
              <w:ind w:leftChars="0" w:left="738" w:hanging="284"/>
              <w:rPr>
                <w:rFonts w:eastAsia="SimSun"/>
              </w:rPr>
            </w:pPr>
            <w:r w:rsidRPr="0085071B">
              <w:rPr>
                <w:rFonts w:eastAsia="SimSun"/>
              </w:rPr>
              <w:t>When it is disabled, the restriction is on all symbols in SMTC.</w:t>
            </w:r>
          </w:p>
          <w:p w14:paraId="2EB9E124" w14:textId="77777777" w:rsidR="00C30056" w:rsidRPr="0085071B" w:rsidRDefault="00C30056" w:rsidP="00C30056">
            <w:pPr>
              <w:pStyle w:val="ad"/>
              <w:numPr>
                <w:ilvl w:val="0"/>
                <w:numId w:val="3"/>
              </w:numPr>
              <w:spacing w:after="120"/>
              <w:ind w:leftChars="0" w:left="454" w:hanging="283"/>
              <w:rPr>
                <w:rFonts w:eastAsia="SimSun"/>
              </w:rPr>
            </w:pPr>
            <w:r w:rsidRPr="0085071B">
              <w:rPr>
                <w:rFonts w:eastAsia="SimSun"/>
              </w:rPr>
              <w:t xml:space="preserve">Option </w:t>
            </w:r>
            <w:r>
              <w:rPr>
                <w:rFonts w:eastAsia="SimSun"/>
              </w:rPr>
              <w:t>2</w:t>
            </w:r>
            <w:r w:rsidRPr="0085071B">
              <w:rPr>
                <w:rFonts w:eastAsia="SimSun"/>
              </w:rPr>
              <w:t>: RAN4 to study the impact of larger propagation delay for scheduling restriction</w:t>
            </w:r>
          </w:p>
          <w:p w14:paraId="2BFEE717" w14:textId="77777777" w:rsidR="00C30056" w:rsidRDefault="00C30056" w:rsidP="00C30056">
            <w:pPr>
              <w:pStyle w:val="ad"/>
              <w:numPr>
                <w:ilvl w:val="1"/>
                <w:numId w:val="3"/>
              </w:numPr>
              <w:spacing w:after="120"/>
              <w:ind w:leftChars="0" w:left="738" w:hanging="284"/>
              <w:rPr>
                <w:rFonts w:eastAsia="SimSun"/>
              </w:rPr>
            </w:pPr>
            <w:r w:rsidRPr="0085071B">
              <w:rPr>
                <w:rFonts w:eastAsia="SimSun"/>
              </w:rPr>
              <w:t>Due to large time difference between the neighbour cells, the legacy scheduling restriction for 1 symbol before after SMTCs may not be suitable for ATG system.</w:t>
            </w:r>
          </w:p>
          <w:p w14:paraId="6CF41BFE" w14:textId="77777777" w:rsidR="00C30056" w:rsidRPr="00C30056" w:rsidRDefault="00C30056" w:rsidP="00C30056">
            <w:pPr>
              <w:pStyle w:val="ad"/>
              <w:numPr>
                <w:ilvl w:val="0"/>
                <w:numId w:val="3"/>
              </w:numPr>
              <w:spacing w:after="120"/>
              <w:ind w:leftChars="0" w:left="454" w:hanging="283"/>
              <w:rPr>
                <w:rFonts w:eastAsia="SimSun"/>
              </w:rPr>
            </w:pPr>
            <w:r>
              <w:rPr>
                <w:rFonts w:eastAsia="SimSun" w:hint="eastAsia"/>
              </w:rPr>
              <w:t>O</w:t>
            </w:r>
            <w:r>
              <w:rPr>
                <w:rFonts w:eastAsia="SimSun"/>
              </w:rPr>
              <w:t>ther Options are not precluded.</w:t>
            </w:r>
          </w:p>
        </w:tc>
      </w:tr>
    </w:tbl>
    <w:p w14:paraId="78C9A6E5" w14:textId="77777777" w:rsidR="00C30056" w:rsidRDefault="00C30056" w:rsidP="00C30056">
      <w:pPr>
        <w:pStyle w:val="a0"/>
        <w:jc w:val="both"/>
        <w:rPr>
          <w:lang w:val="en-US" w:eastAsia="ko-KR"/>
        </w:rPr>
      </w:pPr>
      <w:r>
        <w:rPr>
          <w:lang w:val="en-US" w:eastAsia="ko-KR"/>
        </w:rPr>
        <w:t>In ATG, depending on ISD,</w:t>
      </w:r>
      <w:r w:rsidR="00D335F6">
        <w:rPr>
          <w:lang w:val="en-US" w:eastAsia="ko-KR"/>
        </w:rPr>
        <w:t xml:space="preserve"> the difference </w:t>
      </w:r>
      <w:r w:rsidR="00AE4AE3">
        <w:rPr>
          <w:lang w:val="en-US" w:eastAsia="ko-KR"/>
        </w:rPr>
        <w:t xml:space="preserve">of </w:t>
      </w:r>
      <w:r w:rsidR="00D335F6">
        <w:rPr>
          <w:lang w:val="en-US" w:eastAsia="ko-KR"/>
        </w:rPr>
        <w:t xml:space="preserve">propagation delay from serving cell and neighbor cell can be about 600usec based on ISD 200km in worst case. In this case, to measure neighbor cell, legacy scheduling restriction is not suitable. If ISD is small such as 20km, the legacy scheduling restriction can be reused. It is related to the difference </w:t>
      </w:r>
      <w:r w:rsidR="00AE4AE3">
        <w:rPr>
          <w:lang w:val="en-US" w:eastAsia="ko-KR"/>
        </w:rPr>
        <w:t xml:space="preserve">of </w:t>
      </w:r>
      <w:r w:rsidR="00D335F6">
        <w:rPr>
          <w:lang w:val="en-US" w:eastAsia="ko-KR"/>
        </w:rPr>
        <w:t>propagation delay from serving cell and neighbor cell</w:t>
      </w:r>
      <w:r w:rsidR="00AE4AE3">
        <w:rPr>
          <w:lang w:val="en-US" w:eastAsia="ko-KR"/>
        </w:rPr>
        <w:t>. RAN4 needs to decide how to define scheduling restriction to measure neighbor cell considering following Alts</w:t>
      </w:r>
    </w:p>
    <w:p w14:paraId="6B1485EA" w14:textId="77777777" w:rsidR="00AE4AE3" w:rsidRDefault="00AE4AE3" w:rsidP="00AE4AE3">
      <w:pPr>
        <w:pStyle w:val="a0"/>
        <w:numPr>
          <w:ilvl w:val="0"/>
          <w:numId w:val="28"/>
        </w:numPr>
        <w:jc w:val="both"/>
        <w:rPr>
          <w:lang w:val="en-US" w:eastAsia="ko-KR"/>
        </w:rPr>
      </w:pPr>
      <w:r>
        <w:rPr>
          <w:rFonts w:hint="eastAsia"/>
          <w:lang w:val="en-US" w:eastAsia="ko-KR"/>
        </w:rPr>
        <w:t>Alt</w:t>
      </w:r>
      <w:r>
        <w:rPr>
          <w:lang w:val="en-US" w:eastAsia="ko-KR"/>
        </w:rPr>
        <w:t xml:space="preserve"> </w:t>
      </w:r>
      <w:r>
        <w:rPr>
          <w:rFonts w:hint="eastAsia"/>
          <w:lang w:val="en-US" w:eastAsia="ko-KR"/>
        </w:rPr>
        <w:t>1</w:t>
      </w:r>
      <w:r>
        <w:rPr>
          <w:lang w:val="en-US" w:eastAsia="ko-KR"/>
        </w:rPr>
        <w:t>: define scheduling restriction based on maximum ISD in ATG</w:t>
      </w:r>
    </w:p>
    <w:p w14:paraId="0D62636A" w14:textId="77777777" w:rsidR="00AE4AE3" w:rsidRPr="00C30056" w:rsidRDefault="00AE4AE3" w:rsidP="00AE4AE3">
      <w:pPr>
        <w:pStyle w:val="a0"/>
        <w:numPr>
          <w:ilvl w:val="0"/>
          <w:numId w:val="28"/>
        </w:numPr>
        <w:jc w:val="both"/>
        <w:rPr>
          <w:lang w:val="en-US" w:eastAsia="ko-KR"/>
        </w:rPr>
      </w:pPr>
      <w:r>
        <w:rPr>
          <w:lang w:val="en-US" w:eastAsia="ko-KR"/>
        </w:rPr>
        <w:t>Alt 2: define scheduling restriction based on the difference of propagation delay from serving cell and neighbor cells</w:t>
      </w:r>
    </w:p>
    <w:p w14:paraId="128C814C" w14:textId="77777777" w:rsidR="00AF65EA" w:rsidRDefault="00AF65EA" w:rsidP="00A83F62">
      <w:pPr>
        <w:pStyle w:val="a0"/>
        <w:jc w:val="both"/>
        <w:rPr>
          <w:lang w:val="en-US" w:eastAsia="ko-KR"/>
        </w:rPr>
      </w:pPr>
    </w:p>
    <w:p w14:paraId="33490565" w14:textId="7CF534BD" w:rsidR="00AE4AE3" w:rsidRDefault="00AE4AE3" w:rsidP="00AE4AE3">
      <w:pPr>
        <w:pStyle w:val="a0"/>
        <w:numPr>
          <w:ilvl w:val="0"/>
          <w:numId w:val="27"/>
        </w:numPr>
        <w:jc w:val="both"/>
        <w:rPr>
          <w:lang w:val="en-US" w:eastAsia="ko-KR"/>
        </w:rPr>
      </w:pPr>
      <w:r w:rsidRPr="00AE4AE3">
        <w:rPr>
          <w:b/>
          <w:i/>
          <w:lang w:val="en-US" w:eastAsia="ko-KR"/>
        </w:rPr>
        <w:t xml:space="preserve">Proposal </w:t>
      </w:r>
      <w:r w:rsidR="00377204">
        <w:rPr>
          <w:b/>
          <w:i/>
          <w:lang w:val="en-US" w:eastAsia="ko-KR"/>
        </w:rPr>
        <w:t>2</w:t>
      </w:r>
      <w:r w:rsidR="00AB18CA">
        <w:rPr>
          <w:lang w:val="en-US" w:eastAsia="ko-KR"/>
        </w:rPr>
        <w:t>.</w:t>
      </w:r>
      <w:r>
        <w:rPr>
          <w:lang w:val="en-US" w:eastAsia="ko-KR"/>
        </w:rPr>
        <w:t xml:space="preserve"> Legacy scheduling restriction to measure neighbor cell is not suitable, so RAN4 needs to decide how to define scheduling restriction considering </w:t>
      </w:r>
    </w:p>
    <w:p w14:paraId="1360C3CB" w14:textId="77777777" w:rsidR="00AE4AE3" w:rsidRDefault="00AE4AE3" w:rsidP="00AE4AE3">
      <w:pPr>
        <w:pStyle w:val="a0"/>
        <w:numPr>
          <w:ilvl w:val="1"/>
          <w:numId w:val="29"/>
        </w:numPr>
        <w:ind w:leftChars="780" w:left="1842" w:hangingChars="141" w:hanging="282"/>
        <w:jc w:val="both"/>
        <w:rPr>
          <w:lang w:val="en-US" w:eastAsia="ko-KR"/>
        </w:rPr>
      </w:pPr>
      <w:r>
        <w:rPr>
          <w:rFonts w:hint="eastAsia"/>
          <w:lang w:val="en-US" w:eastAsia="ko-KR"/>
        </w:rPr>
        <w:t>Alt</w:t>
      </w:r>
      <w:r>
        <w:rPr>
          <w:lang w:val="en-US" w:eastAsia="ko-KR"/>
        </w:rPr>
        <w:t xml:space="preserve"> </w:t>
      </w:r>
      <w:r>
        <w:rPr>
          <w:rFonts w:hint="eastAsia"/>
          <w:lang w:val="en-US" w:eastAsia="ko-KR"/>
        </w:rPr>
        <w:t>1</w:t>
      </w:r>
      <w:r>
        <w:rPr>
          <w:lang w:val="en-US" w:eastAsia="ko-KR"/>
        </w:rPr>
        <w:t>: define scheduling restriction based on maximum ISD in ATG</w:t>
      </w:r>
    </w:p>
    <w:p w14:paraId="0243FCE5" w14:textId="77777777" w:rsidR="00AE4AE3" w:rsidRPr="00C30056" w:rsidRDefault="00AE4AE3" w:rsidP="00AE4AE3">
      <w:pPr>
        <w:pStyle w:val="a0"/>
        <w:numPr>
          <w:ilvl w:val="1"/>
          <w:numId w:val="29"/>
        </w:numPr>
        <w:ind w:leftChars="780" w:left="1842" w:hangingChars="141" w:hanging="282"/>
        <w:jc w:val="both"/>
        <w:rPr>
          <w:lang w:val="en-US" w:eastAsia="ko-KR"/>
        </w:rPr>
      </w:pPr>
      <w:r>
        <w:rPr>
          <w:lang w:val="en-US" w:eastAsia="ko-KR"/>
        </w:rPr>
        <w:lastRenderedPageBreak/>
        <w:t>Alt 2: define scheduling restriction based on the difference of propagation delay from serving cell and neighbor cells</w:t>
      </w:r>
    </w:p>
    <w:p w14:paraId="4B728E8B" w14:textId="77777777" w:rsidR="00DE2DF1" w:rsidRPr="00281B62" w:rsidRDefault="00DE2DF1" w:rsidP="00DE2DF1">
      <w:pPr>
        <w:pStyle w:val="a0"/>
        <w:jc w:val="both"/>
        <w:rPr>
          <w:b/>
          <w:szCs w:val="16"/>
          <w:u w:val="single"/>
          <w:lang w:val="en-US" w:eastAsia="ko-KR"/>
        </w:rPr>
      </w:pPr>
      <w:r w:rsidRPr="00281B62">
        <w:rPr>
          <w:b/>
          <w:szCs w:val="16"/>
          <w:u w:val="single"/>
          <w:lang w:val="en-US" w:eastAsia="ko-KR"/>
        </w:rPr>
        <w:t>Measurement and measurement reporting for ATG UE</w:t>
      </w:r>
    </w:p>
    <w:p w14:paraId="04D34BC2" w14:textId="77777777" w:rsidR="00DE2DF1" w:rsidRDefault="00DE2DF1" w:rsidP="00DE2DF1">
      <w:pPr>
        <w:pStyle w:val="a0"/>
        <w:keepNext/>
        <w:jc w:val="center"/>
      </w:pPr>
      <w:r>
        <w:rPr>
          <w:noProof/>
          <w:lang w:val="en-US" w:eastAsia="ko-KR"/>
        </w:rPr>
        <w:drawing>
          <wp:inline distT="0" distB="0" distL="0" distR="0" wp14:anchorId="60983864" wp14:editId="4AB8428C">
            <wp:extent cx="3998477" cy="24420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08901" cy="2448416"/>
                    </a:xfrm>
                    <a:prstGeom prst="rect">
                      <a:avLst/>
                    </a:prstGeom>
                  </pic:spPr>
                </pic:pic>
              </a:graphicData>
            </a:graphic>
          </wp:inline>
        </w:drawing>
      </w:r>
    </w:p>
    <w:p w14:paraId="390DFC1D" w14:textId="35550A51" w:rsidR="00DE2DF1" w:rsidRDefault="00DE2DF1" w:rsidP="00DE2DF1">
      <w:pPr>
        <w:pStyle w:val="a7"/>
        <w:jc w:val="center"/>
        <w:rPr>
          <w:lang w:val="en-US" w:eastAsia="ko-KR"/>
        </w:rPr>
      </w:pPr>
      <w:r>
        <w:t xml:space="preserve">Figure </w:t>
      </w:r>
      <w:r w:rsidR="002A7659">
        <w:t>1</w:t>
      </w:r>
      <w:r>
        <w:t>. ATG NW</w:t>
      </w:r>
    </w:p>
    <w:p w14:paraId="688DA592" w14:textId="77777777" w:rsidR="00DE2DF1" w:rsidRDefault="00DE2DF1" w:rsidP="00DE2DF1">
      <w:pPr>
        <w:pStyle w:val="a0"/>
        <w:jc w:val="both"/>
        <w:rPr>
          <w:lang w:val="en-US" w:eastAsia="ko-KR"/>
        </w:rPr>
      </w:pPr>
    </w:p>
    <w:p w14:paraId="1D15C55B" w14:textId="77777777" w:rsidR="00DE2DF1" w:rsidRDefault="00DE2DF1" w:rsidP="00DE2DF1">
      <w:pPr>
        <w:pStyle w:val="a0"/>
        <w:ind w:firstLineChars="50" w:firstLine="100"/>
        <w:jc w:val="both"/>
        <w:rPr>
          <w:lang w:val="en-US" w:eastAsia="ko-KR"/>
        </w:rPr>
      </w:pPr>
      <w:r>
        <w:rPr>
          <w:rFonts w:hint="eastAsia"/>
          <w:lang w:val="en-US" w:eastAsia="ko-KR"/>
        </w:rPr>
        <w:t>D</w:t>
      </w:r>
      <w:r>
        <w:rPr>
          <w:lang w:val="en-US" w:eastAsia="ko-KR"/>
        </w:rPr>
        <w:t>ue to the up-tilt angle and base station height as discussed in RF session, ATG UEs do not need to detect/measure/evaluate ATG cells if ATG UEs are on the ground (i.e. before take-off and after landing) or located on the certain low altitude. For the same reason, UEs do not need to perform measurement report to efficiently use Tx power. Also, as shown in Fig 2, interference from ATG UE and interference from TN are can affect measurement performance. So, measurement report and measurement of ATG UE should be restricted w</w:t>
      </w:r>
      <w:r w:rsidRPr="001D67F5">
        <w:rPr>
          <w:lang w:val="en-US" w:eastAsia="ko-KR"/>
        </w:rPr>
        <w:t>hen the altitude is below a certain</w:t>
      </w:r>
      <w:r>
        <w:rPr>
          <w:lang w:val="en-US" w:eastAsia="ko-KR"/>
        </w:rPr>
        <w:t xml:space="preserve"> threshold. And altitude can be used as measurement and measurement report condition to efficiently use and to mitigate the interference.</w:t>
      </w:r>
    </w:p>
    <w:p w14:paraId="6740FC70" w14:textId="77777777" w:rsidR="00DE2DF1" w:rsidRDefault="00DE2DF1" w:rsidP="00DE2DF1">
      <w:pPr>
        <w:pStyle w:val="a0"/>
        <w:jc w:val="center"/>
        <w:rPr>
          <w:lang w:val="en-US" w:eastAsia="ko-KR"/>
        </w:rPr>
      </w:pPr>
    </w:p>
    <w:p w14:paraId="4321405C" w14:textId="2DD1B9AB" w:rsidR="00DE2DF1" w:rsidRPr="00AB3919" w:rsidRDefault="00DE2DF1" w:rsidP="00DE2DF1">
      <w:pPr>
        <w:pStyle w:val="a0"/>
        <w:numPr>
          <w:ilvl w:val="0"/>
          <w:numId w:val="30"/>
        </w:numPr>
        <w:jc w:val="both"/>
        <w:rPr>
          <w:b/>
          <w:i/>
          <w:lang w:val="en-US" w:eastAsia="ko-KR"/>
        </w:rPr>
      </w:pPr>
      <w:r w:rsidRPr="00AB3919">
        <w:rPr>
          <w:b/>
          <w:i/>
          <w:lang w:val="en-US" w:eastAsia="ko-KR"/>
        </w:rPr>
        <w:t xml:space="preserve">Proposal </w:t>
      </w:r>
      <w:r w:rsidR="00D9007E">
        <w:rPr>
          <w:b/>
          <w:i/>
          <w:lang w:val="en-US" w:eastAsia="ko-KR"/>
        </w:rPr>
        <w:t>3</w:t>
      </w:r>
      <w:r w:rsidRPr="00AB3919">
        <w:rPr>
          <w:b/>
          <w:i/>
          <w:lang w:val="en-US" w:eastAsia="ko-KR"/>
        </w:rPr>
        <w:t xml:space="preserve">. </w:t>
      </w:r>
      <w:r w:rsidRPr="00AB3919">
        <w:rPr>
          <w:lang w:val="en-US" w:eastAsia="ko-KR"/>
        </w:rPr>
        <w:t>F</w:t>
      </w:r>
      <w:r>
        <w:rPr>
          <w:lang w:val="en-US" w:eastAsia="ko-KR"/>
        </w:rPr>
        <w:t xml:space="preserve">or ATG UE in ILDE/Inactive mode, </w:t>
      </w:r>
    </w:p>
    <w:p w14:paraId="6DAEE3EF" w14:textId="77777777" w:rsidR="00DE2DF1" w:rsidRDefault="00DE2DF1" w:rsidP="00DE2DF1">
      <w:pPr>
        <w:pStyle w:val="a0"/>
        <w:numPr>
          <w:ilvl w:val="1"/>
          <w:numId w:val="30"/>
        </w:numPr>
        <w:jc w:val="both"/>
        <w:rPr>
          <w:lang w:val="en-US" w:eastAsia="ko-KR"/>
        </w:rPr>
      </w:pPr>
      <w:r>
        <w:rPr>
          <w:lang w:val="en-US" w:eastAsia="ko-KR"/>
        </w:rPr>
        <w:t>If ATG UE altitude higher than certain threshold, ATG UE perform measurement</w:t>
      </w:r>
    </w:p>
    <w:p w14:paraId="696B31D8" w14:textId="77777777" w:rsidR="00DE2DF1" w:rsidRDefault="00DE2DF1" w:rsidP="00DE2DF1">
      <w:pPr>
        <w:pStyle w:val="a0"/>
        <w:numPr>
          <w:ilvl w:val="1"/>
          <w:numId w:val="30"/>
        </w:numPr>
        <w:jc w:val="both"/>
        <w:rPr>
          <w:lang w:val="en-US" w:eastAsia="ko-KR"/>
        </w:rPr>
      </w:pPr>
      <w:r>
        <w:rPr>
          <w:lang w:val="en-US" w:eastAsia="ko-KR"/>
        </w:rPr>
        <w:t>If ATG UE altitude lower than certain threshold, ATG UE may not perform measurement</w:t>
      </w:r>
    </w:p>
    <w:p w14:paraId="50642C92" w14:textId="030514B1" w:rsidR="00DE2DF1" w:rsidRPr="00AB3919" w:rsidRDefault="00DE2DF1" w:rsidP="00DE2DF1">
      <w:pPr>
        <w:pStyle w:val="a0"/>
        <w:numPr>
          <w:ilvl w:val="0"/>
          <w:numId w:val="30"/>
        </w:numPr>
        <w:jc w:val="both"/>
        <w:rPr>
          <w:b/>
          <w:i/>
          <w:lang w:val="en-US" w:eastAsia="ko-KR"/>
        </w:rPr>
      </w:pPr>
      <w:r w:rsidRPr="00AB3919">
        <w:rPr>
          <w:b/>
          <w:i/>
          <w:lang w:val="en-US" w:eastAsia="ko-KR"/>
        </w:rPr>
        <w:t xml:space="preserve">Proposal </w:t>
      </w:r>
      <w:r w:rsidR="00D9007E">
        <w:rPr>
          <w:b/>
          <w:i/>
          <w:lang w:val="en-US" w:eastAsia="ko-KR"/>
        </w:rPr>
        <w:t>4</w:t>
      </w:r>
      <w:r w:rsidRPr="00AB3919">
        <w:rPr>
          <w:b/>
          <w:i/>
          <w:lang w:val="en-US" w:eastAsia="ko-KR"/>
        </w:rPr>
        <w:t xml:space="preserve">. </w:t>
      </w:r>
      <w:r w:rsidRPr="00AB3919">
        <w:rPr>
          <w:lang w:val="en-US" w:eastAsia="ko-KR"/>
        </w:rPr>
        <w:t>F</w:t>
      </w:r>
      <w:r>
        <w:rPr>
          <w:lang w:val="en-US" w:eastAsia="ko-KR"/>
        </w:rPr>
        <w:t>or ATG UE in connected mode,</w:t>
      </w:r>
    </w:p>
    <w:p w14:paraId="2E0EB59B" w14:textId="77777777" w:rsidR="00DE2DF1" w:rsidRDefault="00DE2DF1" w:rsidP="00DE2DF1">
      <w:pPr>
        <w:pStyle w:val="a0"/>
        <w:numPr>
          <w:ilvl w:val="1"/>
          <w:numId w:val="30"/>
        </w:numPr>
        <w:jc w:val="both"/>
        <w:rPr>
          <w:lang w:val="en-US" w:eastAsia="ko-KR"/>
        </w:rPr>
      </w:pPr>
      <w:r>
        <w:rPr>
          <w:lang w:val="en-US" w:eastAsia="ko-KR"/>
        </w:rPr>
        <w:t>If ATG UE altitude higher than certain threshold, ATG UE perform measurement and measurement report</w:t>
      </w:r>
    </w:p>
    <w:p w14:paraId="0559C99D" w14:textId="77777777" w:rsidR="00DE2DF1" w:rsidRPr="00541D18" w:rsidRDefault="00DE2DF1" w:rsidP="00DE2DF1">
      <w:pPr>
        <w:pStyle w:val="a0"/>
        <w:numPr>
          <w:ilvl w:val="1"/>
          <w:numId w:val="30"/>
        </w:numPr>
        <w:jc w:val="both"/>
        <w:rPr>
          <w:lang w:val="en-US" w:eastAsia="ko-KR"/>
        </w:rPr>
      </w:pPr>
      <w:r>
        <w:rPr>
          <w:lang w:val="en-US" w:eastAsia="ko-KR"/>
        </w:rPr>
        <w:t xml:space="preserve">If </w:t>
      </w:r>
      <w:r w:rsidRPr="00541D18">
        <w:rPr>
          <w:lang w:val="en-US" w:eastAsia="ko-KR"/>
        </w:rPr>
        <w:t>ATG UE altitude lower</w:t>
      </w:r>
      <w:r>
        <w:rPr>
          <w:lang w:val="en-US" w:eastAsia="ko-KR"/>
        </w:rPr>
        <w:t xml:space="preserve"> than certain threshold,</w:t>
      </w:r>
      <w:r w:rsidRPr="00541D18">
        <w:rPr>
          <w:lang w:val="en-US" w:eastAsia="ko-KR"/>
        </w:rPr>
        <w:t xml:space="preserve"> ATG UE may not perform measurement and</w:t>
      </w:r>
      <w:r>
        <w:rPr>
          <w:lang w:val="en-US" w:eastAsia="ko-KR"/>
        </w:rPr>
        <w:t>/or</w:t>
      </w:r>
      <w:r w:rsidRPr="00541D18">
        <w:rPr>
          <w:lang w:val="en-US" w:eastAsia="ko-KR"/>
        </w:rPr>
        <w:t xml:space="preserve"> does not perform measurement report</w:t>
      </w:r>
    </w:p>
    <w:p w14:paraId="05498EDF" w14:textId="77777777" w:rsidR="00AE4AE3" w:rsidRPr="00DE2DF1" w:rsidRDefault="00AE4AE3" w:rsidP="00DE2DF1">
      <w:pPr>
        <w:pStyle w:val="a0"/>
        <w:jc w:val="both"/>
        <w:rPr>
          <w:lang w:val="en-US" w:eastAsia="ko-KR"/>
        </w:rPr>
      </w:pPr>
    </w:p>
    <w:p w14:paraId="71FAC4E5" w14:textId="77777777" w:rsidR="001171FA" w:rsidRDefault="001171FA" w:rsidP="00D4523D">
      <w:pPr>
        <w:pStyle w:val="1"/>
        <w:jc w:val="both"/>
        <w:rPr>
          <w:lang w:val="en-US" w:eastAsia="ko-KR"/>
        </w:rPr>
      </w:pPr>
      <w:r>
        <w:rPr>
          <w:rFonts w:hint="eastAsia"/>
          <w:lang w:val="en-US" w:eastAsia="ko-KR"/>
        </w:rPr>
        <w:t xml:space="preserve">Conclusion </w:t>
      </w:r>
    </w:p>
    <w:p w14:paraId="3C608BC1" w14:textId="01181235"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DE5836">
        <w:rPr>
          <w:lang w:val="en-US" w:eastAsia="ko-KR"/>
        </w:rPr>
        <w:t xml:space="preserve">the </w:t>
      </w:r>
      <w:r w:rsidR="00503596">
        <w:rPr>
          <w:lang w:val="en-US" w:eastAsia="ko-KR"/>
        </w:rPr>
        <w:t xml:space="preserve">views on </w:t>
      </w:r>
      <w:r w:rsidR="0074330D">
        <w:rPr>
          <w:lang w:val="en-US" w:eastAsia="ko-KR"/>
        </w:rPr>
        <w:t>guard period due to large TDD cell</w:t>
      </w:r>
      <w:r w:rsidR="00BB0E5B">
        <w:rPr>
          <w:lang w:val="en-US" w:eastAsia="ko-KR"/>
        </w:rPr>
        <w:t xml:space="preserve"> </w:t>
      </w:r>
      <w:r w:rsidR="00BB0E5B">
        <w:rPr>
          <w:rFonts w:hint="eastAsia"/>
          <w:lang w:val="en-US" w:eastAsia="ko-KR"/>
        </w:rPr>
        <w:t>a</w:t>
      </w:r>
      <w:r w:rsidR="00BB0E5B">
        <w:rPr>
          <w:lang w:val="en-US" w:eastAsia="ko-KR"/>
        </w:rPr>
        <w:t>nd measurement mechanism</w:t>
      </w:r>
      <w:r w:rsidR="0074330D">
        <w:rPr>
          <w:lang w:val="en-US" w:eastAsia="ko-KR"/>
        </w:rPr>
        <w:t xml:space="preserve">, </w:t>
      </w:r>
      <w:r w:rsidR="00503596">
        <w:rPr>
          <w:lang w:val="en-US" w:eastAsia="ko-KR"/>
        </w:rPr>
        <w:t>and</w:t>
      </w:r>
      <w:r w:rsidR="00770982">
        <w:rPr>
          <w:lang w:val="en-US" w:eastAsia="ko-KR"/>
        </w:rPr>
        <w:t xml:space="preserve"> we propose</w:t>
      </w:r>
    </w:p>
    <w:p w14:paraId="2084DA16" w14:textId="5163AD97" w:rsidR="00D9007E" w:rsidRDefault="00D9007E" w:rsidP="00D9007E">
      <w:pPr>
        <w:pStyle w:val="a0"/>
        <w:numPr>
          <w:ilvl w:val="0"/>
          <w:numId w:val="27"/>
        </w:numPr>
        <w:rPr>
          <w:lang w:val="en-US" w:eastAsia="ko-KR"/>
        </w:rPr>
      </w:pPr>
      <w:r w:rsidRPr="00C30056">
        <w:rPr>
          <w:b/>
          <w:i/>
          <w:lang w:val="en-US" w:eastAsia="ko-KR"/>
        </w:rPr>
        <w:t xml:space="preserve">Proposal </w:t>
      </w:r>
      <w:r>
        <w:rPr>
          <w:b/>
          <w:i/>
          <w:lang w:val="en-US" w:eastAsia="ko-KR"/>
        </w:rPr>
        <w:t>1</w:t>
      </w:r>
      <w:r w:rsidR="00D40E80">
        <w:rPr>
          <w:lang w:val="en-US" w:eastAsia="ko-KR"/>
        </w:rPr>
        <w:t>.</w:t>
      </w:r>
      <w:r>
        <w:rPr>
          <w:lang w:val="en-US" w:eastAsia="ko-KR"/>
        </w:rPr>
        <w:t xml:space="preserve"> Further discuss whether </w:t>
      </w:r>
      <w:r w:rsidRPr="00C30056">
        <w:rPr>
          <w:lang w:val="en-US" w:eastAsia="ko-KR"/>
        </w:rPr>
        <w:t>the assumption of a directional antenna affects the measurement requirements.</w:t>
      </w:r>
    </w:p>
    <w:p w14:paraId="1EF43ABC" w14:textId="4F899E26" w:rsidR="00D9007E" w:rsidRDefault="00D9007E" w:rsidP="00D9007E">
      <w:pPr>
        <w:pStyle w:val="a0"/>
        <w:numPr>
          <w:ilvl w:val="0"/>
          <w:numId w:val="27"/>
        </w:numPr>
        <w:jc w:val="both"/>
        <w:rPr>
          <w:lang w:val="en-US" w:eastAsia="ko-KR"/>
        </w:rPr>
      </w:pPr>
      <w:r w:rsidRPr="00AE4AE3">
        <w:rPr>
          <w:b/>
          <w:i/>
          <w:lang w:val="en-US" w:eastAsia="ko-KR"/>
        </w:rPr>
        <w:t xml:space="preserve">Proposal </w:t>
      </w:r>
      <w:r>
        <w:rPr>
          <w:b/>
          <w:i/>
          <w:lang w:val="en-US" w:eastAsia="ko-KR"/>
        </w:rPr>
        <w:t>2</w:t>
      </w:r>
      <w:r w:rsidR="00D40E80">
        <w:rPr>
          <w:lang w:val="en-US" w:eastAsia="ko-KR"/>
        </w:rPr>
        <w:t>.</w:t>
      </w:r>
      <w:r>
        <w:rPr>
          <w:lang w:val="en-US" w:eastAsia="ko-KR"/>
        </w:rPr>
        <w:t xml:space="preserve"> Legacy scheduling restriction to measure neighbor cell is not suitable, so RAN4 needs to decide how to define scheduling restriction considering </w:t>
      </w:r>
    </w:p>
    <w:p w14:paraId="1A7E0568" w14:textId="77777777" w:rsidR="00D9007E" w:rsidRDefault="00D9007E" w:rsidP="00D9007E">
      <w:pPr>
        <w:pStyle w:val="a0"/>
        <w:numPr>
          <w:ilvl w:val="1"/>
          <w:numId w:val="29"/>
        </w:numPr>
        <w:ind w:leftChars="780" w:left="1842" w:hangingChars="141" w:hanging="282"/>
        <w:jc w:val="both"/>
        <w:rPr>
          <w:lang w:val="en-US" w:eastAsia="ko-KR"/>
        </w:rPr>
      </w:pPr>
      <w:r>
        <w:rPr>
          <w:rFonts w:hint="eastAsia"/>
          <w:lang w:val="en-US" w:eastAsia="ko-KR"/>
        </w:rPr>
        <w:t>Alt</w:t>
      </w:r>
      <w:r>
        <w:rPr>
          <w:lang w:val="en-US" w:eastAsia="ko-KR"/>
        </w:rPr>
        <w:t xml:space="preserve"> </w:t>
      </w:r>
      <w:r>
        <w:rPr>
          <w:rFonts w:hint="eastAsia"/>
          <w:lang w:val="en-US" w:eastAsia="ko-KR"/>
        </w:rPr>
        <w:t>1</w:t>
      </w:r>
      <w:r>
        <w:rPr>
          <w:lang w:val="en-US" w:eastAsia="ko-KR"/>
        </w:rPr>
        <w:t>: define scheduling restriction based on maximum ISD in ATG</w:t>
      </w:r>
    </w:p>
    <w:p w14:paraId="6FA228B7" w14:textId="77777777" w:rsidR="00D9007E" w:rsidRPr="00C30056" w:rsidRDefault="00D9007E" w:rsidP="00D9007E">
      <w:pPr>
        <w:pStyle w:val="a0"/>
        <w:numPr>
          <w:ilvl w:val="1"/>
          <w:numId w:val="29"/>
        </w:numPr>
        <w:ind w:leftChars="780" w:left="1842" w:hangingChars="141" w:hanging="282"/>
        <w:jc w:val="both"/>
        <w:rPr>
          <w:lang w:val="en-US" w:eastAsia="ko-KR"/>
        </w:rPr>
      </w:pPr>
      <w:r>
        <w:rPr>
          <w:lang w:val="en-US" w:eastAsia="ko-KR"/>
        </w:rPr>
        <w:t>Alt 2: define scheduling restriction based on the difference of propagation delay from serving cell and neighbor cells</w:t>
      </w:r>
    </w:p>
    <w:p w14:paraId="2FE405E2" w14:textId="77777777" w:rsidR="00D9007E" w:rsidRPr="00AB3919" w:rsidRDefault="00D9007E" w:rsidP="00D9007E">
      <w:pPr>
        <w:pStyle w:val="a0"/>
        <w:numPr>
          <w:ilvl w:val="0"/>
          <w:numId w:val="29"/>
        </w:numPr>
        <w:jc w:val="both"/>
        <w:rPr>
          <w:b/>
          <w:i/>
          <w:lang w:val="en-US" w:eastAsia="ko-KR"/>
        </w:rPr>
      </w:pPr>
      <w:r w:rsidRPr="00AB3919">
        <w:rPr>
          <w:b/>
          <w:i/>
          <w:lang w:val="en-US" w:eastAsia="ko-KR"/>
        </w:rPr>
        <w:t xml:space="preserve">Proposal </w:t>
      </w:r>
      <w:r>
        <w:rPr>
          <w:b/>
          <w:i/>
          <w:lang w:val="en-US" w:eastAsia="ko-KR"/>
        </w:rPr>
        <w:t>3</w:t>
      </w:r>
      <w:r w:rsidRPr="00AB3919">
        <w:rPr>
          <w:b/>
          <w:i/>
          <w:lang w:val="en-US" w:eastAsia="ko-KR"/>
        </w:rPr>
        <w:t xml:space="preserve">. </w:t>
      </w:r>
      <w:r w:rsidRPr="00AB3919">
        <w:rPr>
          <w:lang w:val="en-US" w:eastAsia="ko-KR"/>
        </w:rPr>
        <w:t>F</w:t>
      </w:r>
      <w:r>
        <w:rPr>
          <w:lang w:val="en-US" w:eastAsia="ko-KR"/>
        </w:rPr>
        <w:t xml:space="preserve">or ATG UE in ILDE/Inactive mode, </w:t>
      </w:r>
    </w:p>
    <w:p w14:paraId="59C2698B" w14:textId="77777777" w:rsidR="00D9007E" w:rsidRDefault="00D9007E" w:rsidP="00CA7E0D">
      <w:pPr>
        <w:pStyle w:val="a0"/>
        <w:numPr>
          <w:ilvl w:val="1"/>
          <w:numId w:val="29"/>
        </w:numPr>
        <w:ind w:leftChars="780" w:left="1842" w:hangingChars="141" w:hanging="282"/>
        <w:jc w:val="both"/>
        <w:rPr>
          <w:lang w:val="en-US" w:eastAsia="ko-KR"/>
        </w:rPr>
      </w:pPr>
      <w:r>
        <w:rPr>
          <w:lang w:val="en-US" w:eastAsia="ko-KR"/>
        </w:rPr>
        <w:t>If ATG UE altitude higher than certain threshold, ATG UE perform measurement</w:t>
      </w:r>
    </w:p>
    <w:p w14:paraId="1257ED6A" w14:textId="77777777" w:rsidR="00D9007E" w:rsidRDefault="00D9007E" w:rsidP="00CA7E0D">
      <w:pPr>
        <w:pStyle w:val="a0"/>
        <w:numPr>
          <w:ilvl w:val="1"/>
          <w:numId w:val="29"/>
        </w:numPr>
        <w:ind w:leftChars="780" w:left="1842" w:hangingChars="141" w:hanging="282"/>
        <w:jc w:val="both"/>
        <w:rPr>
          <w:lang w:val="en-US" w:eastAsia="ko-KR"/>
        </w:rPr>
      </w:pPr>
      <w:r>
        <w:rPr>
          <w:lang w:val="en-US" w:eastAsia="ko-KR"/>
        </w:rPr>
        <w:t>If ATG UE altitude lower than certain threshold, ATG UE may not perform measurement</w:t>
      </w:r>
    </w:p>
    <w:p w14:paraId="523BAEE8" w14:textId="77777777" w:rsidR="00D9007E" w:rsidRPr="00AB3919" w:rsidRDefault="00D9007E" w:rsidP="00D9007E">
      <w:pPr>
        <w:pStyle w:val="a0"/>
        <w:numPr>
          <w:ilvl w:val="0"/>
          <w:numId w:val="29"/>
        </w:numPr>
        <w:jc w:val="both"/>
        <w:rPr>
          <w:b/>
          <w:i/>
          <w:lang w:val="en-US" w:eastAsia="ko-KR"/>
        </w:rPr>
      </w:pPr>
      <w:r w:rsidRPr="00AB3919">
        <w:rPr>
          <w:b/>
          <w:i/>
          <w:lang w:val="en-US" w:eastAsia="ko-KR"/>
        </w:rPr>
        <w:lastRenderedPageBreak/>
        <w:t xml:space="preserve">Proposal </w:t>
      </w:r>
      <w:r>
        <w:rPr>
          <w:b/>
          <w:i/>
          <w:lang w:val="en-US" w:eastAsia="ko-KR"/>
        </w:rPr>
        <w:t>4</w:t>
      </w:r>
      <w:r w:rsidRPr="00AB3919">
        <w:rPr>
          <w:b/>
          <w:i/>
          <w:lang w:val="en-US" w:eastAsia="ko-KR"/>
        </w:rPr>
        <w:t xml:space="preserve">. </w:t>
      </w:r>
      <w:r w:rsidRPr="00AB3919">
        <w:rPr>
          <w:lang w:val="en-US" w:eastAsia="ko-KR"/>
        </w:rPr>
        <w:t>F</w:t>
      </w:r>
      <w:r>
        <w:rPr>
          <w:lang w:val="en-US" w:eastAsia="ko-KR"/>
        </w:rPr>
        <w:t>or ATG UE in connected mode,</w:t>
      </w:r>
    </w:p>
    <w:p w14:paraId="56B1EB59" w14:textId="77777777" w:rsidR="00D9007E" w:rsidRDefault="00D9007E" w:rsidP="00CA7E0D">
      <w:pPr>
        <w:pStyle w:val="a0"/>
        <w:numPr>
          <w:ilvl w:val="1"/>
          <w:numId w:val="29"/>
        </w:numPr>
        <w:ind w:leftChars="780" w:left="1842" w:hangingChars="141" w:hanging="282"/>
        <w:jc w:val="both"/>
        <w:rPr>
          <w:lang w:val="en-US" w:eastAsia="ko-KR"/>
        </w:rPr>
      </w:pPr>
      <w:r>
        <w:rPr>
          <w:lang w:val="en-US" w:eastAsia="ko-KR"/>
        </w:rPr>
        <w:t>If ATG UE altitude higher than certain threshold, ATG UE perform measurement and measurement report</w:t>
      </w:r>
    </w:p>
    <w:p w14:paraId="029E92D9" w14:textId="77777777" w:rsidR="00D9007E" w:rsidRPr="00541D18" w:rsidRDefault="00D9007E" w:rsidP="00CA7E0D">
      <w:pPr>
        <w:pStyle w:val="a0"/>
        <w:numPr>
          <w:ilvl w:val="1"/>
          <w:numId w:val="29"/>
        </w:numPr>
        <w:ind w:leftChars="780" w:left="1842" w:hangingChars="141" w:hanging="282"/>
        <w:jc w:val="both"/>
        <w:rPr>
          <w:lang w:val="en-US" w:eastAsia="ko-KR"/>
        </w:rPr>
      </w:pPr>
      <w:r>
        <w:rPr>
          <w:lang w:val="en-US" w:eastAsia="ko-KR"/>
        </w:rPr>
        <w:t xml:space="preserve">If </w:t>
      </w:r>
      <w:r w:rsidRPr="00541D18">
        <w:rPr>
          <w:lang w:val="en-US" w:eastAsia="ko-KR"/>
        </w:rPr>
        <w:t>ATG UE altitude lower</w:t>
      </w:r>
      <w:r>
        <w:rPr>
          <w:lang w:val="en-US" w:eastAsia="ko-KR"/>
        </w:rPr>
        <w:t xml:space="preserve"> than certain threshold,</w:t>
      </w:r>
      <w:r w:rsidRPr="00541D18">
        <w:rPr>
          <w:lang w:val="en-US" w:eastAsia="ko-KR"/>
        </w:rPr>
        <w:t xml:space="preserve"> ATG UE may not perform measurement and</w:t>
      </w:r>
      <w:r>
        <w:rPr>
          <w:lang w:val="en-US" w:eastAsia="ko-KR"/>
        </w:rPr>
        <w:t>/or</w:t>
      </w:r>
      <w:r w:rsidRPr="00541D18">
        <w:rPr>
          <w:lang w:val="en-US" w:eastAsia="ko-KR"/>
        </w:rPr>
        <w:t xml:space="preserve"> does not perform measurement report</w:t>
      </w:r>
    </w:p>
    <w:p w14:paraId="0F10E170" w14:textId="77777777" w:rsidR="00C6596A" w:rsidRPr="00D9007E" w:rsidRDefault="00C6596A" w:rsidP="00C6596A">
      <w:pPr>
        <w:pStyle w:val="a0"/>
        <w:jc w:val="both"/>
        <w:rPr>
          <w:lang w:val="en-US" w:eastAsia="ko-KR"/>
        </w:rPr>
      </w:pPr>
    </w:p>
    <w:p w14:paraId="15A541DC" w14:textId="77777777" w:rsidR="001171FA" w:rsidRDefault="001171FA" w:rsidP="00D4523D">
      <w:pPr>
        <w:pStyle w:val="1"/>
        <w:jc w:val="both"/>
        <w:rPr>
          <w:lang w:val="en-US" w:eastAsia="ko-KR"/>
        </w:rPr>
      </w:pPr>
      <w:r>
        <w:rPr>
          <w:rFonts w:hint="eastAsia"/>
          <w:lang w:val="en-US" w:eastAsia="ko-KR"/>
        </w:rPr>
        <w:t>Reference</w:t>
      </w:r>
    </w:p>
    <w:p w14:paraId="7FDC42ED" w14:textId="77777777" w:rsidR="00752799" w:rsidRDefault="00752799" w:rsidP="00CD0965">
      <w:pPr>
        <w:pStyle w:val="a0"/>
        <w:rPr>
          <w:lang w:val="en-US" w:eastAsia="ko-KR"/>
        </w:rPr>
      </w:pPr>
      <w:r>
        <w:rPr>
          <w:lang w:val="en-US" w:eastAsia="ko-KR"/>
        </w:rPr>
        <w:t>[</w:t>
      </w:r>
      <w:r w:rsidR="00283E4A">
        <w:rPr>
          <w:lang w:val="en-US" w:eastAsia="ko-KR"/>
        </w:rPr>
        <w:t>1</w:t>
      </w:r>
      <w:r>
        <w:rPr>
          <w:lang w:val="en-US" w:eastAsia="ko-KR"/>
        </w:rPr>
        <w:t xml:space="preserve">] </w:t>
      </w:r>
      <w:r w:rsidR="00C044DB" w:rsidRPr="00C044DB">
        <w:rPr>
          <w:lang w:val="en-US" w:eastAsia="ko-KR"/>
        </w:rPr>
        <w:t>R4-2303226</w:t>
      </w:r>
      <w:r w:rsidR="00CD0965">
        <w:rPr>
          <w:lang w:val="en-US" w:eastAsia="ko-KR"/>
        </w:rPr>
        <w:t>, “</w:t>
      </w:r>
      <w:r w:rsidR="00C044DB" w:rsidRPr="00C044DB">
        <w:rPr>
          <w:lang w:val="en-US" w:eastAsia="ko-KR"/>
        </w:rPr>
        <w:t>WF on NR ATG RRM requirements</w:t>
      </w:r>
      <w:r w:rsidR="00CD0965">
        <w:rPr>
          <w:lang w:val="en-US" w:eastAsia="ko-KR"/>
        </w:rPr>
        <w:t xml:space="preserve">,” </w:t>
      </w:r>
      <w:r w:rsidR="00C044DB">
        <w:rPr>
          <w:lang w:val="en-US" w:eastAsia="ko-KR"/>
        </w:rPr>
        <w:t>CMCC</w:t>
      </w:r>
    </w:p>
    <w:p w14:paraId="40006C2B" w14:textId="77777777" w:rsidR="009247C3" w:rsidRDefault="009247C3" w:rsidP="00CD0965">
      <w:pPr>
        <w:pStyle w:val="a0"/>
        <w:rPr>
          <w:lang w:val="en-US" w:eastAsia="ko-KR"/>
        </w:rPr>
      </w:pPr>
      <w:r>
        <w:rPr>
          <w:lang w:val="en-US" w:eastAsia="ko-KR"/>
        </w:rPr>
        <w:t xml:space="preserve">[2] R4-2301900, “On large TDD cells and other timing requirements.” Ericsson </w:t>
      </w:r>
    </w:p>
    <w:sectPr w:rsidR="009247C3"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E713E" w14:textId="77777777" w:rsidR="00A77094" w:rsidRDefault="00A77094" w:rsidP="00D306DF">
      <w:r>
        <w:separator/>
      </w:r>
    </w:p>
  </w:endnote>
  <w:endnote w:type="continuationSeparator" w:id="0">
    <w:p w14:paraId="0B4EA870" w14:textId="77777777" w:rsidR="00A77094" w:rsidRDefault="00A77094"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B1724" w14:textId="77777777" w:rsidR="00A77094" w:rsidRDefault="00A77094" w:rsidP="00D306DF">
      <w:r>
        <w:separator/>
      </w:r>
    </w:p>
  </w:footnote>
  <w:footnote w:type="continuationSeparator" w:id="0">
    <w:p w14:paraId="0ACAB4CF" w14:textId="77777777" w:rsidR="00A77094" w:rsidRDefault="00A77094"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15:restartNumberingAfterBreak="0">
    <w:nsid w:val="016A717F"/>
    <w:multiLevelType w:val="hybridMultilevel"/>
    <w:tmpl w:val="A9BE6DB8"/>
    <w:lvl w:ilvl="0" w:tplc="9C20070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F13F9C"/>
    <w:multiLevelType w:val="hybridMultilevel"/>
    <w:tmpl w:val="B25ADB4A"/>
    <w:lvl w:ilvl="0" w:tplc="EFFC59A4">
      <w:start w:val="1"/>
      <w:numFmt w:val="bullet"/>
      <w:lvlText w:val="-"/>
      <w:lvlJc w:val="left"/>
      <w:pPr>
        <w:ind w:left="720" w:hanging="360"/>
      </w:pPr>
      <w:rPr>
        <w:rFonts w:ascii="Times" w:eastAsia="맑은 고딕" w:hAnsi="Times" w:cs="Time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CA51607"/>
    <w:multiLevelType w:val="hybridMultilevel"/>
    <w:tmpl w:val="FA94CAC8"/>
    <w:lvl w:ilvl="0" w:tplc="60BEEE2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0E4539"/>
    <w:multiLevelType w:val="hybridMultilevel"/>
    <w:tmpl w:val="879856B8"/>
    <w:lvl w:ilvl="0" w:tplc="3A08CB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AC61C62"/>
    <w:multiLevelType w:val="hybridMultilevel"/>
    <w:tmpl w:val="42CE6E5C"/>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09A484A"/>
    <w:multiLevelType w:val="hybridMultilevel"/>
    <w:tmpl w:val="DFA8CC1E"/>
    <w:lvl w:ilvl="0" w:tplc="ABE0602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109613C"/>
    <w:multiLevelType w:val="hybridMultilevel"/>
    <w:tmpl w:val="511E61C2"/>
    <w:lvl w:ilvl="0" w:tplc="FFFFFFFF">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8D863F9"/>
    <w:multiLevelType w:val="hybridMultilevel"/>
    <w:tmpl w:val="10168832"/>
    <w:lvl w:ilvl="0" w:tplc="65B65B0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AA7542D"/>
    <w:multiLevelType w:val="hybridMultilevel"/>
    <w:tmpl w:val="2F9E4DCC"/>
    <w:lvl w:ilvl="0" w:tplc="ABE06020">
      <w:start w:val="1"/>
      <w:numFmt w:val="bullet"/>
      <w:lvlText w:val="•"/>
      <w:lvlJc w:val="left"/>
      <w:pPr>
        <w:ind w:left="720" w:hanging="360"/>
      </w:pPr>
      <w:rPr>
        <w:rFonts w:ascii="Arial" w:hAnsi="Arial" w:hint="default"/>
      </w:rPr>
    </w:lvl>
    <w:lvl w:ilvl="1" w:tplc="9C20070A">
      <w:start w:val="1"/>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20667A"/>
    <w:multiLevelType w:val="hybridMultilevel"/>
    <w:tmpl w:val="AB4059AE"/>
    <w:lvl w:ilvl="0" w:tplc="FFFFFFFF">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8B90B5CA">
      <w:start w:val="5"/>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7405EE"/>
    <w:multiLevelType w:val="hybridMultilevel"/>
    <w:tmpl w:val="794E0D4E"/>
    <w:lvl w:ilvl="0" w:tplc="65B65B0A">
      <w:start w:val="1"/>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89953864">
    <w:abstractNumId w:val="8"/>
  </w:num>
  <w:num w:numId="2" w16cid:durableId="1966623139">
    <w:abstractNumId w:val="3"/>
  </w:num>
  <w:num w:numId="3" w16cid:durableId="116485819">
    <w:abstractNumId w:val="16"/>
  </w:num>
  <w:num w:numId="4" w16cid:durableId="1073091255">
    <w:abstractNumId w:val="11"/>
  </w:num>
  <w:num w:numId="5" w16cid:durableId="498430471">
    <w:abstractNumId w:val="7"/>
  </w:num>
  <w:num w:numId="6" w16cid:durableId="1939485674">
    <w:abstractNumId w:val="17"/>
  </w:num>
  <w:num w:numId="7" w16cid:durableId="574628766">
    <w:abstractNumId w:val="15"/>
  </w:num>
  <w:num w:numId="8" w16cid:durableId="499079255">
    <w:abstractNumId w:val="0"/>
  </w:num>
  <w:num w:numId="9" w16cid:durableId="1228296065">
    <w:abstractNumId w:val="28"/>
  </w:num>
  <w:num w:numId="10" w16cid:durableId="1603487868">
    <w:abstractNumId w:val="4"/>
  </w:num>
  <w:num w:numId="11" w16cid:durableId="1497646078">
    <w:abstractNumId w:val="22"/>
  </w:num>
  <w:num w:numId="12" w16cid:durableId="1010721497">
    <w:abstractNumId w:val="26"/>
  </w:num>
  <w:num w:numId="13" w16cid:durableId="905335471">
    <w:abstractNumId w:val="10"/>
  </w:num>
  <w:num w:numId="14" w16cid:durableId="2064979260">
    <w:abstractNumId w:val="19"/>
  </w:num>
  <w:num w:numId="15" w16cid:durableId="2112192348">
    <w:abstractNumId w:val="12"/>
  </w:num>
  <w:num w:numId="16" w16cid:durableId="1174953492">
    <w:abstractNumId w:val="9"/>
  </w:num>
  <w:num w:numId="17" w16cid:durableId="279146630">
    <w:abstractNumId w:val="14"/>
  </w:num>
  <w:num w:numId="18" w16cid:durableId="830677384">
    <w:abstractNumId w:val="13"/>
  </w:num>
  <w:num w:numId="19" w16cid:durableId="1432435154">
    <w:abstractNumId w:val="2"/>
  </w:num>
  <w:num w:numId="20" w16cid:durableId="932126285">
    <w:abstractNumId w:val="6"/>
  </w:num>
  <w:num w:numId="21" w16cid:durableId="145359214">
    <w:abstractNumId w:val="18"/>
  </w:num>
  <w:num w:numId="22" w16cid:durableId="1138306272">
    <w:abstractNumId w:val="8"/>
  </w:num>
  <w:num w:numId="23" w16cid:durableId="570695802">
    <w:abstractNumId w:val="24"/>
  </w:num>
  <w:num w:numId="24" w16cid:durableId="978994077">
    <w:abstractNumId w:val="20"/>
  </w:num>
  <w:num w:numId="25" w16cid:durableId="1519345778">
    <w:abstractNumId w:val="21"/>
  </w:num>
  <w:num w:numId="26" w16cid:durableId="1202669281">
    <w:abstractNumId w:val="5"/>
  </w:num>
  <w:num w:numId="27" w16cid:durableId="1816414222">
    <w:abstractNumId w:val="23"/>
  </w:num>
  <w:num w:numId="28" w16cid:durableId="1490976223">
    <w:abstractNumId w:val="1"/>
  </w:num>
  <w:num w:numId="29" w16cid:durableId="2060203298">
    <w:abstractNumId w:val="27"/>
  </w:num>
  <w:num w:numId="30" w16cid:durableId="786310251">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gFAEYVU5o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CCB"/>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297E"/>
    <w:rsid w:val="000B36F2"/>
    <w:rsid w:val="000B3E6D"/>
    <w:rsid w:val="000B4AFE"/>
    <w:rsid w:val="000B4FFA"/>
    <w:rsid w:val="000B55B1"/>
    <w:rsid w:val="000B7771"/>
    <w:rsid w:val="000B799B"/>
    <w:rsid w:val="000C15D6"/>
    <w:rsid w:val="000C1B7F"/>
    <w:rsid w:val="000C62E1"/>
    <w:rsid w:val="000C71C8"/>
    <w:rsid w:val="000C72DB"/>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13"/>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C4C"/>
    <w:rsid w:val="00130DBB"/>
    <w:rsid w:val="0013116E"/>
    <w:rsid w:val="00131E37"/>
    <w:rsid w:val="00131F78"/>
    <w:rsid w:val="00132135"/>
    <w:rsid w:val="00133EBA"/>
    <w:rsid w:val="00134809"/>
    <w:rsid w:val="00134D2C"/>
    <w:rsid w:val="0013597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6CE1"/>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1FA8"/>
    <w:rsid w:val="00182C2C"/>
    <w:rsid w:val="00183372"/>
    <w:rsid w:val="001839C8"/>
    <w:rsid w:val="00183F83"/>
    <w:rsid w:val="00187F2E"/>
    <w:rsid w:val="0019037B"/>
    <w:rsid w:val="00190F35"/>
    <w:rsid w:val="0019112E"/>
    <w:rsid w:val="001916DB"/>
    <w:rsid w:val="00191CCE"/>
    <w:rsid w:val="00192F30"/>
    <w:rsid w:val="001941DA"/>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3172"/>
    <w:rsid w:val="001D3676"/>
    <w:rsid w:val="001D3767"/>
    <w:rsid w:val="001D4A6B"/>
    <w:rsid w:val="001D5529"/>
    <w:rsid w:val="001D5E24"/>
    <w:rsid w:val="001D611F"/>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3E9"/>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1616E"/>
    <w:rsid w:val="002205B8"/>
    <w:rsid w:val="002213D8"/>
    <w:rsid w:val="00224367"/>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68C"/>
    <w:rsid w:val="00241772"/>
    <w:rsid w:val="0024187F"/>
    <w:rsid w:val="00241A94"/>
    <w:rsid w:val="00241F9E"/>
    <w:rsid w:val="00243353"/>
    <w:rsid w:val="00243A09"/>
    <w:rsid w:val="002462B8"/>
    <w:rsid w:val="002476C5"/>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1B62"/>
    <w:rsid w:val="00283068"/>
    <w:rsid w:val="0028378D"/>
    <w:rsid w:val="002838AD"/>
    <w:rsid w:val="00283E4A"/>
    <w:rsid w:val="0028430C"/>
    <w:rsid w:val="00284C4B"/>
    <w:rsid w:val="002858EE"/>
    <w:rsid w:val="002865BB"/>
    <w:rsid w:val="0028667B"/>
    <w:rsid w:val="00286F92"/>
    <w:rsid w:val="002900EE"/>
    <w:rsid w:val="00290C05"/>
    <w:rsid w:val="00290D16"/>
    <w:rsid w:val="00290DA5"/>
    <w:rsid w:val="0029116C"/>
    <w:rsid w:val="0029152E"/>
    <w:rsid w:val="0029168C"/>
    <w:rsid w:val="00292E94"/>
    <w:rsid w:val="0029445D"/>
    <w:rsid w:val="002947A7"/>
    <w:rsid w:val="00296DA6"/>
    <w:rsid w:val="00296DAA"/>
    <w:rsid w:val="002977ED"/>
    <w:rsid w:val="002A00E7"/>
    <w:rsid w:val="002A058F"/>
    <w:rsid w:val="002A10E3"/>
    <w:rsid w:val="002A2518"/>
    <w:rsid w:val="002A2DD0"/>
    <w:rsid w:val="002A2E79"/>
    <w:rsid w:val="002A2ED2"/>
    <w:rsid w:val="002A396A"/>
    <w:rsid w:val="002A3BBA"/>
    <w:rsid w:val="002A4B6E"/>
    <w:rsid w:val="002A5400"/>
    <w:rsid w:val="002A70CD"/>
    <w:rsid w:val="002A7659"/>
    <w:rsid w:val="002B2632"/>
    <w:rsid w:val="002B27D0"/>
    <w:rsid w:val="002B2D20"/>
    <w:rsid w:val="002B38C9"/>
    <w:rsid w:val="002B3AD2"/>
    <w:rsid w:val="002B4879"/>
    <w:rsid w:val="002B4A73"/>
    <w:rsid w:val="002B5AA3"/>
    <w:rsid w:val="002B6D35"/>
    <w:rsid w:val="002B796F"/>
    <w:rsid w:val="002B7DF0"/>
    <w:rsid w:val="002C1AA0"/>
    <w:rsid w:val="002C21A4"/>
    <w:rsid w:val="002C4364"/>
    <w:rsid w:val="002C64AC"/>
    <w:rsid w:val="002D1024"/>
    <w:rsid w:val="002D2149"/>
    <w:rsid w:val="002D2EC5"/>
    <w:rsid w:val="002D3290"/>
    <w:rsid w:val="002D32BD"/>
    <w:rsid w:val="002D41FF"/>
    <w:rsid w:val="002D4249"/>
    <w:rsid w:val="002D46F5"/>
    <w:rsid w:val="002D58FC"/>
    <w:rsid w:val="002D5FB2"/>
    <w:rsid w:val="002D6E17"/>
    <w:rsid w:val="002D74DD"/>
    <w:rsid w:val="002E0815"/>
    <w:rsid w:val="002E0FAB"/>
    <w:rsid w:val="002E127B"/>
    <w:rsid w:val="002E1C22"/>
    <w:rsid w:val="002E445A"/>
    <w:rsid w:val="002E51F5"/>
    <w:rsid w:val="002E5D2F"/>
    <w:rsid w:val="002E5E6E"/>
    <w:rsid w:val="002E66E0"/>
    <w:rsid w:val="002E7ABF"/>
    <w:rsid w:val="002F0010"/>
    <w:rsid w:val="002F08E7"/>
    <w:rsid w:val="002F0AC0"/>
    <w:rsid w:val="002F0BDA"/>
    <w:rsid w:val="002F1838"/>
    <w:rsid w:val="002F2ADC"/>
    <w:rsid w:val="002F304F"/>
    <w:rsid w:val="002F42A0"/>
    <w:rsid w:val="002F4599"/>
    <w:rsid w:val="002F5748"/>
    <w:rsid w:val="002F6BB2"/>
    <w:rsid w:val="002F7658"/>
    <w:rsid w:val="00300E47"/>
    <w:rsid w:val="00301C60"/>
    <w:rsid w:val="00304A17"/>
    <w:rsid w:val="00304C32"/>
    <w:rsid w:val="003058C2"/>
    <w:rsid w:val="0030668F"/>
    <w:rsid w:val="0030692C"/>
    <w:rsid w:val="00307252"/>
    <w:rsid w:val="00307A99"/>
    <w:rsid w:val="00310175"/>
    <w:rsid w:val="00310D20"/>
    <w:rsid w:val="00310FAB"/>
    <w:rsid w:val="00311B47"/>
    <w:rsid w:val="00313747"/>
    <w:rsid w:val="00314133"/>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73A"/>
    <w:rsid w:val="00346A79"/>
    <w:rsid w:val="00346A88"/>
    <w:rsid w:val="003472F1"/>
    <w:rsid w:val="00347ABC"/>
    <w:rsid w:val="003516B2"/>
    <w:rsid w:val="00351A8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204"/>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589"/>
    <w:rsid w:val="003C26B2"/>
    <w:rsid w:val="003C2F53"/>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E9"/>
    <w:rsid w:val="003E50CE"/>
    <w:rsid w:val="003E5A6E"/>
    <w:rsid w:val="003E5FD7"/>
    <w:rsid w:val="003E66E2"/>
    <w:rsid w:val="003E6796"/>
    <w:rsid w:val="003E7858"/>
    <w:rsid w:val="003F01F3"/>
    <w:rsid w:val="003F0A97"/>
    <w:rsid w:val="003F1046"/>
    <w:rsid w:val="003F219E"/>
    <w:rsid w:val="003F277C"/>
    <w:rsid w:val="003F345F"/>
    <w:rsid w:val="003F385D"/>
    <w:rsid w:val="003F3AFF"/>
    <w:rsid w:val="003F3E67"/>
    <w:rsid w:val="003F3FA5"/>
    <w:rsid w:val="003F4002"/>
    <w:rsid w:val="003F401D"/>
    <w:rsid w:val="003F4E31"/>
    <w:rsid w:val="003F5EE4"/>
    <w:rsid w:val="003F7499"/>
    <w:rsid w:val="00400771"/>
    <w:rsid w:val="00402707"/>
    <w:rsid w:val="00402AEA"/>
    <w:rsid w:val="00403337"/>
    <w:rsid w:val="00403779"/>
    <w:rsid w:val="004039A6"/>
    <w:rsid w:val="004045E9"/>
    <w:rsid w:val="004055C5"/>
    <w:rsid w:val="00405693"/>
    <w:rsid w:val="00410885"/>
    <w:rsid w:val="0041138F"/>
    <w:rsid w:val="00412363"/>
    <w:rsid w:val="004129C2"/>
    <w:rsid w:val="00413C49"/>
    <w:rsid w:val="004142DB"/>
    <w:rsid w:val="00416016"/>
    <w:rsid w:val="00417100"/>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033"/>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218E"/>
    <w:rsid w:val="00492640"/>
    <w:rsid w:val="00492EA4"/>
    <w:rsid w:val="00494285"/>
    <w:rsid w:val="00494941"/>
    <w:rsid w:val="004961B0"/>
    <w:rsid w:val="00497353"/>
    <w:rsid w:val="004A06BF"/>
    <w:rsid w:val="004A16CD"/>
    <w:rsid w:val="004A3660"/>
    <w:rsid w:val="004A61DC"/>
    <w:rsid w:val="004B0607"/>
    <w:rsid w:val="004B0A42"/>
    <w:rsid w:val="004B1DC5"/>
    <w:rsid w:val="004B2651"/>
    <w:rsid w:val="004B30AF"/>
    <w:rsid w:val="004B338D"/>
    <w:rsid w:val="004B49AE"/>
    <w:rsid w:val="004B4FAA"/>
    <w:rsid w:val="004B5719"/>
    <w:rsid w:val="004B5744"/>
    <w:rsid w:val="004B651B"/>
    <w:rsid w:val="004B702F"/>
    <w:rsid w:val="004B7473"/>
    <w:rsid w:val="004B798E"/>
    <w:rsid w:val="004C0CC5"/>
    <w:rsid w:val="004C1DC1"/>
    <w:rsid w:val="004C42C8"/>
    <w:rsid w:val="004C56BA"/>
    <w:rsid w:val="004C5EED"/>
    <w:rsid w:val="004C6282"/>
    <w:rsid w:val="004C6B6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3596"/>
    <w:rsid w:val="005066DA"/>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0AC0"/>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45E"/>
    <w:rsid w:val="00566A81"/>
    <w:rsid w:val="005671F4"/>
    <w:rsid w:val="005675E4"/>
    <w:rsid w:val="005678CA"/>
    <w:rsid w:val="00567B13"/>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2CF"/>
    <w:rsid w:val="005C142E"/>
    <w:rsid w:val="005C1457"/>
    <w:rsid w:val="005C1967"/>
    <w:rsid w:val="005C282D"/>
    <w:rsid w:val="005C3093"/>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4ACA"/>
    <w:rsid w:val="005F4AE4"/>
    <w:rsid w:val="005F57EC"/>
    <w:rsid w:val="005F7CAB"/>
    <w:rsid w:val="00600939"/>
    <w:rsid w:val="006023F6"/>
    <w:rsid w:val="00602BB4"/>
    <w:rsid w:val="00603094"/>
    <w:rsid w:val="00606790"/>
    <w:rsid w:val="00606E40"/>
    <w:rsid w:val="0061001D"/>
    <w:rsid w:val="00610BCA"/>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62107"/>
    <w:rsid w:val="00662A90"/>
    <w:rsid w:val="00665775"/>
    <w:rsid w:val="00665B67"/>
    <w:rsid w:val="00665D32"/>
    <w:rsid w:val="006662F5"/>
    <w:rsid w:val="006677C3"/>
    <w:rsid w:val="006717D7"/>
    <w:rsid w:val="0067203F"/>
    <w:rsid w:val="006745AE"/>
    <w:rsid w:val="006746DD"/>
    <w:rsid w:val="0067596C"/>
    <w:rsid w:val="00675D98"/>
    <w:rsid w:val="00676803"/>
    <w:rsid w:val="006778B6"/>
    <w:rsid w:val="00677A2C"/>
    <w:rsid w:val="0068010D"/>
    <w:rsid w:val="00680D9F"/>
    <w:rsid w:val="00680F95"/>
    <w:rsid w:val="00681D1B"/>
    <w:rsid w:val="00683296"/>
    <w:rsid w:val="006833AA"/>
    <w:rsid w:val="00683CAB"/>
    <w:rsid w:val="00684790"/>
    <w:rsid w:val="00684DF9"/>
    <w:rsid w:val="00685C8A"/>
    <w:rsid w:val="00685E1A"/>
    <w:rsid w:val="00685F5B"/>
    <w:rsid w:val="00687D0E"/>
    <w:rsid w:val="006903D2"/>
    <w:rsid w:val="006907A9"/>
    <w:rsid w:val="00691220"/>
    <w:rsid w:val="006931B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2C38"/>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1B56"/>
    <w:rsid w:val="007022B4"/>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280"/>
    <w:rsid w:val="00720FB0"/>
    <w:rsid w:val="00723748"/>
    <w:rsid w:val="0072442F"/>
    <w:rsid w:val="007249CF"/>
    <w:rsid w:val="00724CB9"/>
    <w:rsid w:val="00726001"/>
    <w:rsid w:val="0072730C"/>
    <w:rsid w:val="00727C59"/>
    <w:rsid w:val="00727E85"/>
    <w:rsid w:val="0073259F"/>
    <w:rsid w:val="00732643"/>
    <w:rsid w:val="0073403E"/>
    <w:rsid w:val="007348E4"/>
    <w:rsid w:val="00734B5E"/>
    <w:rsid w:val="00735570"/>
    <w:rsid w:val="007365E0"/>
    <w:rsid w:val="007370D1"/>
    <w:rsid w:val="00737DF6"/>
    <w:rsid w:val="00737F9E"/>
    <w:rsid w:val="00737FAF"/>
    <w:rsid w:val="00740E55"/>
    <w:rsid w:val="00741175"/>
    <w:rsid w:val="007416F0"/>
    <w:rsid w:val="00741720"/>
    <w:rsid w:val="00741B96"/>
    <w:rsid w:val="00741E6B"/>
    <w:rsid w:val="0074330D"/>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0982"/>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6779"/>
    <w:rsid w:val="007A7210"/>
    <w:rsid w:val="007A7530"/>
    <w:rsid w:val="007B0D1B"/>
    <w:rsid w:val="007B1256"/>
    <w:rsid w:val="007B2285"/>
    <w:rsid w:val="007B2960"/>
    <w:rsid w:val="007B2FAC"/>
    <w:rsid w:val="007B30E2"/>
    <w:rsid w:val="007C03D4"/>
    <w:rsid w:val="007C27CF"/>
    <w:rsid w:val="007C29F1"/>
    <w:rsid w:val="007C3FE5"/>
    <w:rsid w:val="007C45ED"/>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AAA"/>
    <w:rsid w:val="007F1C4F"/>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2EBD"/>
    <w:rsid w:val="0081353D"/>
    <w:rsid w:val="00813EF9"/>
    <w:rsid w:val="008141BE"/>
    <w:rsid w:val="00814D44"/>
    <w:rsid w:val="0081637A"/>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76F13"/>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0B"/>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7C3"/>
    <w:rsid w:val="00924F20"/>
    <w:rsid w:val="00925C5F"/>
    <w:rsid w:val="00926166"/>
    <w:rsid w:val="00926A84"/>
    <w:rsid w:val="0092731E"/>
    <w:rsid w:val="00927C82"/>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3E17"/>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5077"/>
    <w:rsid w:val="009B76B5"/>
    <w:rsid w:val="009B77F7"/>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094"/>
    <w:rsid w:val="00A77524"/>
    <w:rsid w:val="00A8007D"/>
    <w:rsid w:val="00A8024C"/>
    <w:rsid w:val="00A8040D"/>
    <w:rsid w:val="00A80D31"/>
    <w:rsid w:val="00A811CE"/>
    <w:rsid w:val="00A812D6"/>
    <w:rsid w:val="00A81637"/>
    <w:rsid w:val="00A82899"/>
    <w:rsid w:val="00A83363"/>
    <w:rsid w:val="00A837EA"/>
    <w:rsid w:val="00A83A85"/>
    <w:rsid w:val="00A83A98"/>
    <w:rsid w:val="00A83F62"/>
    <w:rsid w:val="00A84AD7"/>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A33"/>
    <w:rsid w:val="00AA7222"/>
    <w:rsid w:val="00AB01D0"/>
    <w:rsid w:val="00AB0720"/>
    <w:rsid w:val="00AB111A"/>
    <w:rsid w:val="00AB18C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4AE3"/>
    <w:rsid w:val="00AE6DC1"/>
    <w:rsid w:val="00AF00A1"/>
    <w:rsid w:val="00AF0662"/>
    <w:rsid w:val="00AF0745"/>
    <w:rsid w:val="00AF221D"/>
    <w:rsid w:val="00AF3101"/>
    <w:rsid w:val="00AF48AD"/>
    <w:rsid w:val="00AF6280"/>
    <w:rsid w:val="00AF65EA"/>
    <w:rsid w:val="00AF6ACD"/>
    <w:rsid w:val="00AF6B44"/>
    <w:rsid w:val="00AF729C"/>
    <w:rsid w:val="00AF7F15"/>
    <w:rsid w:val="00B0032A"/>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0E5B"/>
    <w:rsid w:val="00BB26B7"/>
    <w:rsid w:val="00BB3B14"/>
    <w:rsid w:val="00BB4421"/>
    <w:rsid w:val="00BB45E0"/>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2327"/>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0F20"/>
    <w:rsid w:val="00C01311"/>
    <w:rsid w:val="00C044DB"/>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0056"/>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2E1"/>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602F"/>
    <w:rsid w:val="00C96DED"/>
    <w:rsid w:val="00CA0134"/>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A7E0D"/>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1F0E"/>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5F6"/>
    <w:rsid w:val="00D3393E"/>
    <w:rsid w:val="00D33E40"/>
    <w:rsid w:val="00D34C54"/>
    <w:rsid w:val="00D35071"/>
    <w:rsid w:val="00D36056"/>
    <w:rsid w:val="00D374C1"/>
    <w:rsid w:val="00D374EB"/>
    <w:rsid w:val="00D408E6"/>
    <w:rsid w:val="00D40E80"/>
    <w:rsid w:val="00D41B39"/>
    <w:rsid w:val="00D42D47"/>
    <w:rsid w:val="00D431B7"/>
    <w:rsid w:val="00D43845"/>
    <w:rsid w:val="00D43AA6"/>
    <w:rsid w:val="00D43C4E"/>
    <w:rsid w:val="00D4523D"/>
    <w:rsid w:val="00D4628B"/>
    <w:rsid w:val="00D46462"/>
    <w:rsid w:val="00D46D0F"/>
    <w:rsid w:val="00D47B5C"/>
    <w:rsid w:val="00D47C1D"/>
    <w:rsid w:val="00D50DEC"/>
    <w:rsid w:val="00D52DDC"/>
    <w:rsid w:val="00D53617"/>
    <w:rsid w:val="00D541A5"/>
    <w:rsid w:val="00D54D39"/>
    <w:rsid w:val="00D550EE"/>
    <w:rsid w:val="00D579AF"/>
    <w:rsid w:val="00D57C04"/>
    <w:rsid w:val="00D61313"/>
    <w:rsid w:val="00D6146F"/>
    <w:rsid w:val="00D61789"/>
    <w:rsid w:val="00D62525"/>
    <w:rsid w:val="00D62582"/>
    <w:rsid w:val="00D63A43"/>
    <w:rsid w:val="00D63AB8"/>
    <w:rsid w:val="00D63ED7"/>
    <w:rsid w:val="00D7044B"/>
    <w:rsid w:val="00D70704"/>
    <w:rsid w:val="00D7083A"/>
    <w:rsid w:val="00D71B35"/>
    <w:rsid w:val="00D71B36"/>
    <w:rsid w:val="00D71B72"/>
    <w:rsid w:val="00D72053"/>
    <w:rsid w:val="00D727D1"/>
    <w:rsid w:val="00D72BB7"/>
    <w:rsid w:val="00D73533"/>
    <w:rsid w:val="00D73C02"/>
    <w:rsid w:val="00D75FBF"/>
    <w:rsid w:val="00D77509"/>
    <w:rsid w:val="00D77DC3"/>
    <w:rsid w:val="00D801D9"/>
    <w:rsid w:val="00D80798"/>
    <w:rsid w:val="00D81507"/>
    <w:rsid w:val="00D82339"/>
    <w:rsid w:val="00D826DA"/>
    <w:rsid w:val="00D82750"/>
    <w:rsid w:val="00D82FD7"/>
    <w:rsid w:val="00D85463"/>
    <w:rsid w:val="00D85C74"/>
    <w:rsid w:val="00D85D2C"/>
    <w:rsid w:val="00D867A4"/>
    <w:rsid w:val="00D86E97"/>
    <w:rsid w:val="00D9007E"/>
    <w:rsid w:val="00D90573"/>
    <w:rsid w:val="00D90C78"/>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3B3"/>
    <w:rsid w:val="00DC2A79"/>
    <w:rsid w:val="00DC32C1"/>
    <w:rsid w:val="00DC45EA"/>
    <w:rsid w:val="00DC6544"/>
    <w:rsid w:val="00DC6E13"/>
    <w:rsid w:val="00DD06E2"/>
    <w:rsid w:val="00DD11BC"/>
    <w:rsid w:val="00DD1814"/>
    <w:rsid w:val="00DD3F41"/>
    <w:rsid w:val="00DD40A7"/>
    <w:rsid w:val="00DD47E1"/>
    <w:rsid w:val="00DD5D17"/>
    <w:rsid w:val="00DD5DF5"/>
    <w:rsid w:val="00DD5E53"/>
    <w:rsid w:val="00DE2AD3"/>
    <w:rsid w:val="00DE2C7F"/>
    <w:rsid w:val="00DE2DF1"/>
    <w:rsid w:val="00DE308B"/>
    <w:rsid w:val="00DE362A"/>
    <w:rsid w:val="00DE376E"/>
    <w:rsid w:val="00DE44F4"/>
    <w:rsid w:val="00DE55A0"/>
    <w:rsid w:val="00DE5836"/>
    <w:rsid w:val="00DE5901"/>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021"/>
    <w:rsid w:val="00E24836"/>
    <w:rsid w:val="00E25942"/>
    <w:rsid w:val="00E25990"/>
    <w:rsid w:val="00E25D5D"/>
    <w:rsid w:val="00E26D32"/>
    <w:rsid w:val="00E274A3"/>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6DC1"/>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3FB"/>
    <w:rsid w:val="00ED5BC7"/>
    <w:rsid w:val="00ED70A0"/>
    <w:rsid w:val="00EE011E"/>
    <w:rsid w:val="00EE1017"/>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336"/>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29F"/>
    <w:rsid w:val="00F9439C"/>
    <w:rsid w:val="00F95026"/>
    <w:rsid w:val="00F956C2"/>
    <w:rsid w:val="00F966C5"/>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C45"/>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58F5"/>
    <w:rsid w:val="00FD77D8"/>
    <w:rsid w:val="00FD790A"/>
    <w:rsid w:val="00FD79FE"/>
    <w:rsid w:val="00FE0A0E"/>
    <w:rsid w:val="00FE1086"/>
    <w:rsid w:val="00FE3071"/>
    <w:rsid w:val="00FE3D2B"/>
    <w:rsid w:val="00FE4056"/>
    <w:rsid w:val="00FE47BC"/>
    <w:rsid w:val="00FE4EF5"/>
    <w:rsid w:val="00FE5557"/>
    <w:rsid w:val="00FE6664"/>
    <w:rsid w:val="00FE6A2E"/>
    <w:rsid w:val="00FF0BB9"/>
    <w:rsid w:val="00FF1505"/>
    <w:rsid w:val="00FF1DD8"/>
    <w:rsid w:val="00FF2795"/>
    <w:rsid w:val="00FF3129"/>
    <w:rsid w:val="00FF37A1"/>
    <w:rsid w:val="00FF3BCC"/>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D7D10"/>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F1915-D346-43CE-870A-1AF12305F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3</Pages>
  <Words>802</Words>
  <Characters>4573</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Jin Woong Park/Communication Standard TP(jinwoong.park@lge.com)</cp:lastModifiedBy>
  <cp:revision>31</cp:revision>
  <dcterms:created xsi:type="dcterms:W3CDTF">2023-02-14T23:28:00Z</dcterms:created>
  <dcterms:modified xsi:type="dcterms:W3CDTF">2023-04-10T07:42:00Z</dcterms:modified>
</cp:coreProperties>
</file>