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3E413DFB"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733D98">
        <w:rPr>
          <w:b/>
          <w:noProof/>
          <w:sz w:val="24"/>
        </w:rPr>
        <w:t>bis</w:t>
      </w:r>
      <w:r w:rsidR="00353FC6">
        <w:rPr>
          <w:b/>
          <w:noProof/>
          <w:sz w:val="24"/>
        </w:rPr>
        <w:t>-e</w:t>
      </w:r>
      <w:r w:rsidR="00B66DD7">
        <w:rPr>
          <w:b/>
          <w:i/>
          <w:noProof/>
          <w:sz w:val="28"/>
        </w:rPr>
        <w:tab/>
      </w:r>
      <w:r w:rsidR="00624008" w:rsidRPr="00624008">
        <w:rPr>
          <w:b/>
          <w:i/>
          <w:noProof/>
          <w:sz w:val="28"/>
        </w:rPr>
        <w:t>R4-2304834</w:t>
      </w:r>
    </w:p>
    <w:p w14:paraId="3E512B0B" w14:textId="4CE59E0C" w:rsidR="00D12A57" w:rsidRPr="006C1584" w:rsidRDefault="00534BCD" w:rsidP="0044364B">
      <w:pPr>
        <w:rPr>
          <w:rFonts w:ascii="Arial" w:hAnsi="Arial" w:cs="Arial"/>
          <w:b/>
          <w:bCs/>
          <w:noProof/>
          <w:sz w:val="24"/>
          <w:szCs w:val="24"/>
          <w:lang w:val="en-US"/>
        </w:rPr>
      </w:pPr>
      <w:r w:rsidRPr="00534BCD">
        <w:rPr>
          <w:rFonts w:ascii="Arial" w:hAnsi="Arial" w:cs="Arial"/>
          <w:b/>
          <w:sz w:val="24"/>
          <w:szCs w:val="24"/>
        </w:rPr>
        <w:t xml:space="preserve">Electronic Meeting, </w:t>
      </w:r>
      <w:r w:rsidR="00CF7877">
        <w:rPr>
          <w:rFonts w:ascii="Arial" w:hAnsi="Arial" w:cs="Arial"/>
          <w:b/>
          <w:sz w:val="24"/>
          <w:szCs w:val="24"/>
        </w:rPr>
        <w:t xml:space="preserve">April </w:t>
      </w:r>
      <w:r w:rsidR="004949C6">
        <w:rPr>
          <w:rFonts w:ascii="Arial" w:hAnsi="Arial" w:cs="Arial"/>
          <w:b/>
          <w:sz w:val="24"/>
          <w:szCs w:val="24"/>
        </w:rPr>
        <w:t>17-26</w:t>
      </w:r>
      <w:r w:rsidR="00965E47">
        <w:rPr>
          <w:rFonts w:ascii="Arial" w:hAnsi="Arial" w:cs="Arial"/>
          <w:b/>
          <w:sz w:val="24"/>
          <w:szCs w:val="24"/>
        </w:rPr>
        <w:t>, 2023</w:t>
      </w:r>
      <w:r w:rsidR="00D544DE" w:rsidRPr="00D544DE">
        <w:rPr>
          <w:rFonts w:ascii="Arial" w:hAnsi="Arial" w:cs="Arial"/>
          <w:b/>
          <w:sz w:val="24"/>
          <w:szCs w:val="24"/>
        </w:rPr>
        <w:t xml:space="preserve">      </w:t>
      </w:r>
    </w:p>
    <w:p w14:paraId="4AED29A0" w14:textId="4EB6FCE2"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57AA34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D2C65" w:rsidRPr="009D2C65">
        <w:rPr>
          <w:rFonts w:ascii="Arial" w:hAnsi="Arial" w:cs="Arial"/>
          <w:bCs/>
          <w:lang w:val="en-US"/>
        </w:rPr>
        <w:t>On timing requirements in ATG</w:t>
      </w:r>
    </w:p>
    <w:p w14:paraId="710B5126" w14:textId="41AA5AD7"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65FE2" w:rsidRPr="00F65FE2">
        <w:rPr>
          <w:rFonts w:ascii="Arial" w:hAnsi="Arial" w:cs="Arial"/>
          <w:lang w:val="en-US"/>
        </w:rPr>
        <w:t>5.14.4.3</w:t>
      </w:r>
    </w:p>
    <w:p w14:paraId="5A3522FA" w14:textId="62FD4A68"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F65FE2">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0B3B283A" w:rsidR="00B93FB3" w:rsidRDefault="00222541" w:rsidP="00B93FB3">
      <w:pPr>
        <w:rPr>
          <w:lang w:val="en-US"/>
        </w:rPr>
      </w:pPr>
      <w:r>
        <w:rPr>
          <w:lang w:val="en-US"/>
        </w:rPr>
        <w:t>In WF from RAN4#106 in Athens it is stated</w:t>
      </w:r>
      <w:r w:rsidR="00E41416">
        <w:rPr>
          <w:lang w:val="en-US"/>
        </w:rPr>
        <w:t xml:space="preserve"> [1]</w:t>
      </w:r>
      <w:r>
        <w:rPr>
          <w:lang w:val="en-US"/>
        </w:rPr>
        <w:t>:</w:t>
      </w:r>
    </w:p>
    <w:tbl>
      <w:tblPr>
        <w:tblStyle w:val="TableGrid"/>
        <w:tblW w:w="0" w:type="auto"/>
        <w:tblLook w:val="04A0" w:firstRow="1" w:lastRow="0" w:firstColumn="1" w:lastColumn="0" w:noHBand="0" w:noVBand="1"/>
      </w:tblPr>
      <w:tblGrid>
        <w:gridCol w:w="9631"/>
      </w:tblGrid>
      <w:tr w:rsidR="00222541" w14:paraId="0C8251AD" w14:textId="77777777" w:rsidTr="00222541">
        <w:tc>
          <w:tcPr>
            <w:tcW w:w="9631" w:type="dxa"/>
          </w:tcPr>
          <w:p w14:paraId="1E3052FE" w14:textId="77777777" w:rsidR="00222541" w:rsidRDefault="00222541" w:rsidP="00B93FB3">
            <w:pPr>
              <w:rPr>
                <w:lang w:val="en-US"/>
              </w:rPr>
            </w:pPr>
            <w:r>
              <w:rPr>
                <w:lang w:val="en-US"/>
              </w:rPr>
              <w:t>…</w:t>
            </w:r>
          </w:p>
          <w:p w14:paraId="61DA56BF" w14:textId="043F7D21" w:rsidR="003E5A27" w:rsidRPr="006933AC" w:rsidRDefault="002B2137" w:rsidP="002B2137">
            <w:pPr>
              <w:rPr>
                <w:rFonts w:ascii="Arial" w:hAnsi="Arial" w:cs="Arial"/>
                <w:b/>
                <w:bCs/>
                <w:sz w:val="28"/>
                <w:szCs w:val="28"/>
              </w:rPr>
            </w:pPr>
            <w:r w:rsidRPr="006933AC">
              <w:rPr>
                <w:rFonts w:ascii="Arial" w:hAnsi="Arial" w:cs="Arial"/>
                <w:sz w:val="28"/>
                <w:szCs w:val="28"/>
              </w:rPr>
              <w:t xml:space="preserve">3. </w:t>
            </w:r>
            <w:r w:rsidR="003E5A27" w:rsidRPr="006933AC">
              <w:rPr>
                <w:rFonts w:ascii="Arial" w:hAnsi="Arial" w:cs="Arial"/>
                <w:sz w:val="28"/>
                <w:szCs w:val="28"/>
              </w:rPr>
              <w:t xml:space="preserve">Timing and frequency adjustment </w:t>
            </w:r>
          </w:p>
          <w:p w14:paraId="103EB9A0" w14:textId="71C78292" w:rsidR="003E5A27" w:rsidRPr="006933AC" w:rsidRDefault="00FE219D" w:rsidP="00FE219D">
            <w:pPr>
              <w:rPr>
                <w:b/>
                <w:bCs/>
                <w:sz w:val="24"/>
                <w:szCs w:val="24"/>
              </w:rPr>
            </w:pPr>
            <w:r w:rsidRPr="006933AC">
              <w:rPr>
                <w:sz w:val="24"/>
                <w:szCs w:val="24"/>
              </w:rPr>
              <w:t xml:space="preserve">3.1 </w:t>
            </w:r>
            <w:r w:rsidR="003E5A27" w:rsidRPr="006933AC">
              <w:rPr>
                <w:sz w:val="24"/>
                <w:szCs w:val="24"/>
              </w:rPr>
              <w:t xml:space="preserve">Timing requirements </w:t>
            </w:r>
          </w:p>
          <w:p w14:paraId="5163F99A" w14:textId="77777777" w:rsidR="003E5A27" w:rsidRDefault="003E5A27" w:rsidP="003E5A27">
            <w:pPr>
              <w:rPr>
                <w:b/>
                <w:u w:val="single"/>
                <w:lang w:eastAsia="ko-KR"/>
              </w:rPr>
            </w:pPr>
            <w:r w:rsidRPr="00ED048A">
              <w:rPr>
                <w:b/>
                <w:u w:val="single"/>
                <w:lang w:eastAsia="ko-KR"/>
              </w:rPr>
              <w:t>Issue 3-1-1: How to introduce UE based Timing pre-compensation</w:t>
            </w:r>
          </w:p>
          <w:p w14:paraId="036B77EB" w14:textId="77777777" w:rsidR="003E5A27" w:rsidRPr="00ED048A" w:rsidRDefault="003E5A27" w:rsidP="003E5A27">
            <w:pPr>
              <w:spacing w:after="60"/>
              <w:rPr>
                <w:rFonts w:eastAsiaTheme="minorEastAsia"/>
                <w:iCs/>
              </w:rPr>
            </w:pPr>
            <w:r w:rsidRPr="00ED048A">
              <w:rPr>
                <w:rFonts w:eastAsiaTheme="minorEastAsia" w:hint="eastAsia"/>
                <w:iCs/>
              </w:rPr>
              <w:t>Agreement:</w:t>
            </w:r>
          </w:p>
          <w:p w14:paraId="4CE42639" w14:textId="77777777" w:rsidR="003E5A27" w:rsidRPr="00ED048A" w:rsidRDefault="003E5A27" w:rsidP="003E5A27">
            <w:pPr>
              <w:pStyle w:val="ListParagraph"/>
              <w:numPr>
                <w:ilvl w:val="0"/>
                <w:numId w:val="7"/>
              </w:numPr>
              <w:spacing w:after="120"/>
              <w:ind w:firstLineChars="0" w:hanging="357"/>
              <w:rPr>
                <w:rFonts w:eastAsia="SimSun" w:cs="Times New Roman"/>
                <w:sz w:val="20"/>
                <w:szCs w:val="20"/>
              </w:rPr>
            </w:pPr>
            <w:r w:rsidRPr="00ED048A">
              <w:rPr>
                <w:rFonts w:eastAsia="SimSun" w:cs="Times New Roman"/>
                <w:sz w:val="20"/>
                <w:szCs w:val="20"/>
              </w:rPr>
              <w:t>UE-based timing pre-compensation for ATG network should be supported in case of</w:t>
            </w:r>
            <w:r w:rsidRPr="00ED048A">
              <w:rPr>
                <w:rFonts w:eastAsia="SimSun" w:cs="Times New Roman" w:hint="eastAsia"/>
                <w:sz w:val="20"/>
                <w:szCs w:val="20"/>
              </w:rPr>
              <w:t xml:space="preserve"> 15KHz, </w:t>
            </w:r>
            <w:r w:rsidRPr="00ED048A">
              <w:rPr>
                <w:rFonts w:eastAsia="SimSun" w:cs="Times New Roman"/>
                <w:sz w:val="20"/>
                <w:szCs w:val="20"/>
              </w:rPr>
              <w:t>30kHz and 60kHz SCS.</w:t>
            </w:r>
          </w:p>
          <w:p w14:paraId="679B26DB" w14:textId="77777777" w:rsidR="003E5A27" w:rsidRPr="00ED048A" w:rsidRDefault="003E5A27" w:rsidP="003E5A27">
            <w:pPr>
              <w:pStyle w:val="ListParagraph"/>
              <w:numPr>
                <w:ilvl w:val="0"/>
                <w:numId w:val="7"/>
              </w:numPr>
              <w:spacing w:after="120"/>
              <w:ind w:firstLineChars="0" w:hanging="357"/>
              <w:rPr>
                <w:rFonts w:eastAsia="SimSun" w:cs="Times New Roman"/>
                <w:sz w:val="20"/>
                <w:szCs w:val="20"/>
              </w:rPr>
            </w:pPr>
            <w:bookmarkStart w:id="3" w:name="_Hlk131501627"/>
            <w:r w:rsidRPr="00ED048A">
              <w:rPr>
                <w:rFonts w:eastAsia="SimSun" w:cs="Times New Roman"/>
                <w:sz w:val="20"/>
                <w:szCs w:val="20"/>
              </w:rPr>
              <w:t>Network is expected to provide location information to assist UE-based timing pre-compensation for ATG network</w:t>
            </w:r>
          </w:p>
          <w:p w14:paraId="462E8AB5"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 xml:space="preserve">Option 1: Reuse </w:t>
            </w:r>
            <w:r w:rsidRPr="00ED048A">
              <w:rPr>
                <w:rFonts w:eastAsia="SimSun" w:cs="Times New Roman" w:hint="eastAsia"/>
                <w:sz w:val="20"/>
                <w:szCs w:val="20"/>
              </w:rPr>
              <w:t xml:space="preserve">SIB19 </w:t>
            </w:r>
            <w:r w:rsidRPr="00ED048A">
              <w:rPr>
                <w:rFonts w:eastAsia="SimSun" w:cs="Times New Roman"/>
                <w:sz w:val="20"/>
                <w:szCs w:val="20"/>
              </w:rPr>
              <w:t>for</w:t>
            </w:r>
            <w:r w:rsidRPr="00ED048A">
              <w:rPr>
                <w:rFonts w:eastAsia="SimSun" w:cs="Times New Roman" w:hint="eastAsia"/>
                <w:sz w:val="20"/>
                <w:szCs w:val="20"/>
              </w:rPr>
              <w:t xml:space="preserve"> ATG</w:t>
            </w:r>
            <w:bookmarkEnd w:id="3"/>
            <w:r w:rsidRPr="00ED048A">
              <w:rPr>
                <w:rFonts w:eastAsia="SimSun" w:cs="Times New Roman" w:hint="eastAsia"/>
                <w:sz w:val="20"/>
                <w:szCs w:val="20"/>
              </w:rPr>
              <w:t>.</w:t>
            </w:r>
          </w:p>
          <w:p w14:paraId="028C11DB"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Other options are not precluded</w:t>
            </w:r>
          </w:p>
          <w:p w14:paraId="5295B8B4" w14:textId="77777777" w:rsidR="003E5A27" w:rsidRDefault="003E5A27" w:rsidP="003E5A27">
            <w:pPr>
              <w:rPr>
                <w:b/>
                <w:u w:val="single"/>
                <w:vertAlign w:val="subscript"/>
                <w:lang w:eastAsia="ko-KR"/>
              </w:rPr>
            </w:pPr>
            <w:r w:rsidRPr="00ED048A">
              <w:rPr>
                <w:b/>
                <w:u w:val="single"/>
                <w:lang w:eastAsia="ko-KR"/>
              </w:rPr>
              <w:t>Issue 3-1-2: Initial transmit timing requirements T</w:t>
            </w:r>
            <w:r w:rsidRPr="00ED048A">
              <w:rPr>
                <w:b/>
                <w:u w:val="single"/>
                <w:vertAlign w:val="subscript"/>
                <w:lang w:eastAsia="ko-KR"/>
              </w:rPr>
              <w:t>e</w:t>
            </w:r>
          </w:p>
          <w:p w14:paraId="54DBA96F" w14:textId="77777777" w:rsidR="003E5A27" w:rsidRPr="00294970" w:rsidRDefault="003E5A27" w:rsidP="003E5A27">
            <w:pPr>
              <w:spacing w:after="60"/>
              <w:rPr>
                <w:rFonts w:eastAsiaTheme="minorEastAsia"/>
                <w:iCs/>
              </w:rPr>
            </w:pPr>
            <w:r w:rsidRPr="00294970">
              <w:rPr>
                <w:rFonts w:eastAsiaTheme="minorEastAsia" w:hint="eastAsia"/>
                <w:iCs/>
              </w:rPr>
              <w:t xml:space="preserve">Agreement: </w:t>
            </w:r>
          </w:p>
          <w:p w14:paraId="09FFE237" w14:textId="77777777" w:rsidR="003E5A27" w:rsidRPr="00294970" w:rsidRDefault="003E5A27" w:rsidP="003E5A27">
            <w:pPr>
              <w:pStyle w:val="ListParagraph"/>
              <w:numPr>
                <w:ilvl w:val="0"/>
                <w:numId w:val="7"/>
              </w:numPr>
              <w:spacing w:after="120"/>
              <w:ind w:firstLineChars="0" w:hanging="357"/>
              <w:rPr>
                <w:rFonts w:eastAsia="SimSun" w:cs="Times New Roman"/>
                <w:sz w:val="20"/>
                <w:szCs w:val="20"/>
              </w:rPr>
            </w:pPr>
            <w:r w:rsidRPr="00294970">
              <w:rPr>
                <w:rFonts w:eastAsia="SimSun" w:cs="Times New Roman" w:hint="eastAsia"/>
                <w:sz w:val="20"/>
                <w:szCs w:val="20"/>
              </w:rPr>
              <w:t xml:space="preserve">For </w:t>
            </w:r>
            <w:r w:rsidRPr="00294970">
              <w:rPr>
                <w:rFonts w:eastAsia="SimSun" w:cs="Times New Roman"/>
                <w:sz w:val="20"/>
                <w:szCs w:val="20"/>
              </w:rPr>
              <w:t>Initial transmit timing requirements Te</w:t>
            </w:r>
            <w:r w:rsidRPr="00294970">
              <w:rPr>
                <w:rFonts w:eastAsia="SimSun" w:cs="Times New Roman" w:hint="eastAsia"/>
                <w:sz w:val="20"/>
                <w:szCs w:val="20"/>
              </w:rPr>
              <w:t>,</w:t>
            </w:r>
            <w:r w:rsidRPr="00294970">
              <w:rPr>
                <w:rFonts w:eastAsia="SimSun" w:cs="Times New Roman"/>
                <w:sz w:val="20"/>
                <w:szCs w:val="20"/>
              </w:rPr>
              <w:t xml:space="preserve"> UE pre-compensation timing error</w:t>
            </w:r>
            <w:r w:rsidRPr="00294970">
              <w:rPr>
                <w:rFonts w:eastAsia="SimSun" w:cs="Times New Roman" w:hint="eastAsia"/>
                <w:sz w:val="20"/>
                <w:szCs w:val="20"/>
              </w:rPr>
              <w:t xml:space="preserve"> should be considered. </w:t>
            </w:r>
          </w:p>
          <w:p w14:paraId="3896181F" w14:textId="77777777" w:rsidR="003E5A27" w:rsidRPr="00294970" w:rsidRDefault="003E5A27" w:rsidP="003E5A27">
            <w:pPr>
              <w:pStyle w:val="ListParagraph"/>
              <w:numPr>
                <w:ilvl w:val="0"/>
                <w:numId w:val="7"/>
              </w:numPr>
              <w:spacing w:after="120"/>
              <w:ind w:firstLineChars="0" w:hanging="357"/>
              <w:rPr>
                <w:rFonts w:eastAsia="SimSun" w:cs="Times New Roman"/>
                <w:sz w:val="20"/>
                <w:szCs w:val="20"/>
              </w:rPr>
            </w:pPr>
            <w:r w:rsidRPr="00294970">
              <w:rPr>
                <w:rFonts w:eastAsia="SimSun" w:cs="Times New Roman"/>
                <w:sz w:val="20"/>
                <w:szCs w:val="20"/>
              </w:rPr>
              <w:t xml:space="preserve">The GNSS accuracy is </w:t>
            </w:r>
            <w:r w:rsidRPr="00294970">
              <w:rPr>
                <w:rFonts w:eastAsia="SimSun" w:cs="Times New Roman" w:hint="eastAsia"/>
                <w:sz w:val="20"/>
                <w:szCs w:val="20"/>
              </w:rPr>
              <w:t>FFS.</w:t>
            </w:r>
          </w:p>
          <w:p w14:paraId="71282351" w14:textId="77777777" w:rsidR="003E5A27" w:rsidRPr="00294970" w:rsidRDefault="003E5A27" w:rsidP="003E5A27">
            <w:pPr>
              <w:pStyle w:val="ListParagraph"/>
              <w:numPr>
                <w:ilvl w:val="1"/>
                <w:numId w:val="7"/>
              </w:numPr>
              <w:spacing w:after="120"/>
              <w:ind w:firstLineChars="0"/>
              <w:rPr>
                <w:rFonts w:eastAsia="SimSun" w:cs="Times New Roman"/>
                <w:sz w:val="20"/>
                <w:szCs w:val="20"/>
              </w:rPr>
            </w:pPr>
            <w:r w:rsidRPr="00294970">
              <w:rPr>
                <w:rFonts w:eastAsia="SimSun" w:cs="Times New Roman"/>
                <w:sz w:val="20"/>
                <w:szCs w:val="20"/>
              </w:rPr>
              <w:t>O</w:t>
            </w:r>
            <w:r w:rsidRPr="00294970">
              <w:rPr>
                <w:rFonts w:eastAsia="SimSun" w:cs="Times New Roman" w:hint="eastAsia"/>
                <w:sz w:val="20"/>
                <w:szCs w:val="20"/>
              </w:rPr>
              <w:t xml:space="preserve">ption 1: </w:t>
            </w:r>
            <w:bookmarkStart w:id="4" w:name="_Hlk131502073"/>
            <w:r w:rsidRPr="00294970">
              <w:rPr>
                <w:rFonts w:eastAsia="SimSun" w:cs="Times New Roman" w:hint="eastAsia"/>
                <w:sz w:val="20"/>
                <w:szCs w:val="20"/>
              </w:rPr>
              <w:t>50m</w:t>
            </w:r>
            <w:bookmarkEnd w:id="4"/>
          </w:p>
          <w:p w14:paraId="2BDFD443" w14:textId="77777777" w:rsidR="003E5A27" w:rsidRPr="00294970" w:rsidRDefault="003E5A27" w:rsidP="003E5A27">
            <w:pPr>
              <w:pStyle w:val="ListParagraph"/>
              <w:numPr>
                <w:ilvl w:val="1"/>
                <w:numId w:val="7"/>
              </w:numPr>
              <w:spacing w:after="120"/>
              <w:ind w:firstLineChars="0"/>
              <w:rPr>
                <w:rFonts w:eastAsia="SimSun" w:cs="Times New Roman"/>
                <w:sz w:val="20"/>
                <w:szCs w:val="20"/>
              </w:rPr>
            </w:pPr>
            <w:r w:rsidRPr="00294970">
              <w:rPr>
                <w:rFonts w:eastAsia="SimSun" w:cs="Times New Roman" w:hint="eastAsia"/>
                <w:sz w:val="20"/>
                <w:szCs w:val="20"/>
              </w:rPr>
              <w:t>Option 2: 30m</w:t>
            </w:r>
          </w:p>
          <w:p w14:paraId="44DECF4D" w14:textId="77777777" w:rsidR="003E5A27" w:rsidRPr="00294970" w:rsidRDefault="003E5A27" w:rsidP="003E5A27">
            <w:pPr>
              <w:pStyle w:val="ListParagraph"/>
              <w:numPr>
                <w:ilvl w:val="1"/>
                <w:numId w:val="7"/>
              </w:numPr>
              <w:spacing w:after="120"/>
              <w:ind w:firstLineChars="0"/>
              <w:rPr>
                <w:rFonts w:eastAsia="SimSun" w:cs="Times New Roman"/>
                <w:sz w:val="20"/>
                <w:szCs w:val="20"/>
              </w:rPr>
            </w:pPr>
            <w:r w:rsidRPr="00294970">
              <w:rPr>
                <w:rFonts w:eastAsia="SimSun" w:cs="Times New Roman" w:hint="eastAsia"/>
                <w:sz w:val="20"/>
                <w:szCs w:val="20"/>
              </w:rPr>
              <w:t>Others are not precluded.</w:t>
            </w:r>
          </w:p>
          <w:p w14:paraId="32C3A952" w14:textId="77777777" w:rsidR="003E5A27" w:rsidRDefault="003E5A27" w:rsidP="003E5A27">
            <w:pPr>
              <w:rPr>
                <w:b/>
                <w:u w:val="single"/>
                <w:lang w:eastAsia="ko-KR"/>
              </w:rPr>
            </w:pPr>
            <w:r w:rsidRPr="00ED048A">
              <w:rPr>
                <w:b/>
                <w:u w:val="single"/>
                <w:lang w:eastAsia="ko-KR"/>
              </w:rPr>
              <w:t>Issue 3-1-3: Gradual timing adjustment</w:t>
            </w:r>
          </w:p>
          <w:p w14:paraId="17437B4B" w14:textId="77777777" w:rsidR="003E5A27" w:rsidRPr="00C340C9" w:rsidRDefault="003E5A27" w:rsidP="003E5A27">
            <w:pPr>
              <w:spacing w:after="60"/>
              <w:rPr>
                <w:rFonts w:eastAsiaTheme="minorEastAsia"/>
                <w:iCs/>
              </w:rPr>
            </w:pPr>
            <w:r w:rsidRPr="00C340C9">
              <w:rPr>
                <w:rFonts w:eastAsiaTheme="minorEastAsia" w:hint="eastAsia"/>
                <w:iCs/>
              </w:rPr>
              <w:t>Agreement:</w:t>
            </w:r>
          </w:p>
          <w:p w14:paraId="12DDB12F" w14:textId="77777777" w:rsidR="003E5A27" w:rsidRPr="00C340C9" w:rsidRDefault="003E5A27" w:rsidP="003E5A27">
            <w:pPr>
              <w:pStyle w:val="ListParagraph"/>
              <w:numPr>
                <w:ilvl w:val="0"/>
                <w:numId w:val="7"/>
              </w:numPr>
              <w:spacing w:after="120"/>
              <w:ind w:firstLineChars="0" w:hanging="357"/>
              <w:rPr>
                <w:rFonts w:eastAsia="SimSun" w:cs="Times New Roman"/>
                <w:sz w:val="20"/>
                <w:szCs w:val="20"/>
              </w:rPr>
            </w:pPr>
            <w:r w:rsidRPr="00C340C9">
              <w:rPr>
                <w:rFonts w:eastAsia="SimSun" w:cs="Times New Roman"/>
                <w:sz w:val="20"/>
                <w:szCs w:val="20"/>
              </w:rPr>
              <w:t>Option 1</w:t>
            </w:r>
            <w:r w:rsidRPr="00C340C9">
              <w:rPr>
                <w:rFonts w:eastAsia="SimSun" w:cs="Times New Roman" w:hint="eastAsia"/>
                <w:sz w:val="20"/>
                <w:szCs w:val="20"/>
              </w:rPr>
              <w:t>:</w:t>
            </w:r>
            <w:r w:rsidRPr="00C340C9">
              <w:rPr>
                <w:rFonts w:eastAsia="SimSun" w:cs="Times New Roman"/>
                <w:sz w:val="20"/>
                <w:szCs w:val="20"/>
              </w:rPr>
              <w:t xml:space="preserve"> the T</w:t>
            </w:r>
            <w:r w:rsidRPr="00C340C9">
              <w:rPr>
                <w:rFonts w:eastAsia="SimSun" w:cs="Times New Roman"/>
                <w:sz w:val="20"/>
                <w:szCs w:val="20"/>
                <w:vertAlign w:val="subscript"/>
              </w:rPr>
              <w:t>q_ATG</w:t>
            </w:r>
            <w:r w:rsidRPr="00C340C9">
              <w:rPr>
                <w:rFonts w:eastAsia="SimSun" w:cs="Times New Roman"/>
                <w:sz w:val="20"/>
                <w:szCs w:val="20"/>
              </w:rPr>
              <w:t xml:space="preserve"> and T</w:t>
            </w:r>
            <w:r w:rsidRPr="00C340C9">
              <w:rPr>
                <w:rFonts w:eastAsia="SimSun" w:cs="Times New Roman"/>
                <w:sz w:val="20"/>
                <w:szCs w:val="20"/>
                <w:vertAlign w:val="subscript"/>
              </w:rPr>
              <w:t>p_ATG</w:t>
            </w:r>
            <w:r w:rsidRPr="00C340C9">
              <w:rPr>
                <w:rFonts w:eastAsia="SimSun" w:cs="Times New Roman"/>
                <w:sz w:val="20"/>
                <w:szCs w:val="20"/>
              </w:rPr>
              <w:t xml:space="preserve"> should be 5.5*64*Tc for all SCSs</w:t>
            </w:r>
          </w:p>
          <w:p w14:paraId="5DE30FBF" w14:textId="77777777" w:rsidR="003E5A27" w:rsidRPr="00C340C9" w:rsidRDefault="003E5A27" w:rsidP="003E5A27">
            <w:pPr>
              <w:pStyle w:val="ListParagraph"/>
              <w:numPr>
                <w:ilvl w:val="0"/>
                <w:numId w:val="7"/>
              </w:numPr>
              <w:spacing w:after="120"/>
              <w:ind w:firstLineChars="0" w:hanging="357"/>
              <w:rPr>
                <w:rFonts w:eastAsia="SimSun" w:cs="Times New Roman"/>
                <w:sz w:val="20"/>
                <w:szCs w:val="20"/>
              </w:rPr>
            </w:pPr>
            <w:r w:rsidRPr="00C340C9">
              <w:rPr>
                <w:rFonts w:eastAsia="SimSun" w:cs="Times New Roman"/>
                <w:sz w:val="20"/>
                <w:szCs w:val="20"/>
              </w:rPr>
              <w:t>Option 2: For ATG, the T</w:t>
            </w:r>
            <w:r w:rsidRPr="00C340C9">
              <w:rPr>
                <w:rFonts w:eastAsia="SimSun" w:cs="Times New Roman"/>
                <w:sz w:val="20"/>
                <w:szCs w:val="20"/>
                <w:vertAlign w:val="subscript"/>
              </w:rPr>
              <w:t>q_ATG</w:t>
            </w:r>
            <w:r w:rsidRPr="00C340C9">
              <w:rPr>
                <w:rFonts w:eastAsia="SimSun" w:cs="Times New Roman"/>
                <w:sz w:val="20"/>
                <w:szCs w:val="20"/>
              </w:rPr>
              <w:t xml:space="preserve"> and T</w:t>
            </w:r>
            <w:r w:rsidRPr="00C340C9">
              <w:rPr>
                <w:rFonts w:eastAsia="SimSun" w:cs="Times New Roman"/>
                <w:sz w:val="20"/>
                <w:szCs w:val="20"/>
                <w:vertAlign w:val="subscript"/>
              </w:rPr>
              <w:t>p_ATG</w:t>
            </w:r>
            <w:r w:rsidRPr="00C340C9">
              <w:rPr>
                <w:rFonts w:eastAsia="SimSun" w:cs="Times New Roman"/>
                <w:sz w:val="20"/>
                <w:szCs w:val="20"/>
              </w:rPr>
              <w:t xml:space="preserve"> should be 9.5*64*Tc in FR1 and UL SCS 15kHz and 30kHz SCS. </w:t>
            </w:r>
          </w:p>
          <w:p w14:paraId="6ADFEAA6" w14:textId="77777777" w:rsidR="003E5A27" w:rsidRPr="00C340C9" w:rsidRDefault="003E5A27" w:rsidP="003E5A27">
            <w:pPr>
              <w:pStyle w:val="ListParagraph"/>
              <w:numPr>
                <w:ilvl w:val="0"/>
                <w:numId w:val="7"/>
              </w:numPr>
              <w:spacing w:after="120"/>
              <w:ind w:firstLineChars="0" w:hanging="357"/>
              <w:rPr>
                <w:rFonts w:eastAsia="SimSun" w:cs="Times New Roman"/>
                <w:sz w:val="20"/>
                <w:szCs w:val="20"/>
              </w:rPr>
            </w:pPr>
            <w:r w:rsidRPr="00C340C9">
              <w:rPr>
                <w:rFonts w:eastAsia="SimSun" w:cs="Times New Roman" w:hint="eastAsia"/>
                <w:sz w:val="20"/>
                <w:szCs w:val="20"/>
              </w:rPr>
              <w:t>Other options are not precluded.</w:t>
            </w:r>
          </w:p>
          <w:p w14:paraId="431B57D0" w14:textId="5B2BB9D1" w:rsidR="003E5A27" w:rsidRPr="002C09E7" w:rsidRDefault="002C09E7" w:rsidP="002C09E7">
            <w:pPr>
              <w:spacing w:after="120"/>
              <w:rPr>
                <w:rFonts w:eastAsia="SimSun"/>
              </w:rPr>
            </w:pPr>
            <w:r w:rsidRPr="002C09E7">
              <w:rPr>
                <w:rFonts w:eastAsia="SimSun"/>
              </w:rPr>
              <w:t>…</w:t>
            </w:r>
          </w:p>
          <w:p w14:paraId="15C17AD5" w14:textId="7F20D0B0" w:rsidR="003E5A27" w:rsidRPr="002C09E7" w:rsidRDefault="002C09E7" w:rsidP="002C09E7">
            <w:pPr>
              <w:rPr>
                <w:b/>
                <w:bCs/>
                <w:sz w:val="24"/>
                <w:szCs w:val="24"/>
              </w:rPr>
            </w:pPr>
            <w:r w:rsidRPr="002C09E7">
              <w:rPr>
                <w:sz w:val="24"/>
                <w:szCs w:val="24"/>
              </w:rPr>
              <w:t xml:space="preserve">3.2 </w:t>
            </w:r>
            <w:r w:rsidR="003E5A27" w:rsidRPr="002C09E7">
              <w:rPr>
                <w:sz w:val="24"/>
                <w:szCs w:val="24"/>
              </w:rPr>
              <w:t>Guard period as Large TDD cell impaction</w:t>
            </w:r>
          </w:p>
          <w:p w14:paraId="3A91FBF2" w14:textId="77777777" w:rsidR="003E5A27" w:rsidRDefault="003E5A27" w:rsidP="003E5A27">
            <w:pPr>
              <w:rPr>
                <w:b/>
                <w:u w:val="single"/>
                <w:lang w:eastAsia="ko-KR"/>
              </w:rPr>
            </w:pPr>
            <w:r w:rsidRPr="00ED048A">
              <w:rPr>
                <w:b/>
                <w:u w:val="single"/>
                <w:lang w:eastAsia="ko-KR"/>
              </w:rPr>
              <w:t>Issue 3-2-1: Guard period issue due to large TDD cell and coexistence demand</w:t>
            </w:r>
          </w:p>
          <w:p w14:paraId="0D7B4018" w14:textId="77777777" w:rsidR="003E5A27" w:rsidRPr="00ED048A" w:rsidRDefault="003E5A27" w:rsidP="003E5A27">
            <w:pPr>
              <w:pStyle w:val="ListParagraph"/>
              <w:numPr>
                <w:ilvl w:val="0"/>
                <w:numId w:val="7"/>
              </w:numPr>
              <w:spacing w:after="120"/>
              <w:ind w:firstLineChars="0" w:hanging="357"/>
              <w:rPr>
                <w:rFonts w:eastAsia="SimSun" w:cs="Times New Roman"/>
                <w:sz w:val="20"/>
                <w:szCs w:val="20"/>
              </w:rPr>
            </w:pPr>
            <w:r w:rsidRPr="00ED048A">
              <w:rPr>
                <w:rFonts w:eastAsia="SimSun" w:cs="Times New Roman"/>
                <w:sz w:val="20"/>
                <w:szCs w:val="20"/>
              </w:rPr>
              <w:t>Option 1: RAN4 to investigate remedies to large TDD cells and ATG and TN TDD coexistence like: TDD stand alone, surrendering slots or Full Duplex at ATG UE terminal.</w:t>
            </w:r>
          </w:p>
          <w:p w14:paraId="4C568FA4"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The cell radius can be more than 200 km for ISD 200km.</w:t>
            </w:r>
          </w:p>
          <w:p w14:paraId="2FD165E3"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lastRenderedPageBreak/>
              <w:t>The Guard period, T</w:t>
            </w:r>
            <w:r w:rsidRPr="003E7DD4">
              <w:rPr>
                <w:rFonts w:eastAsia="SimSun" w:cs="Times New Roman"/>
                <w:sz w:val="20"/>
                <w:szCs w:val="20"/>
                <w:vertAlign w:val="subscript"/>
              </w:rPr>
              <w:t>GUARD</w:t>
            </w:r>
            <w:r w:rsidRPr="00ED048A">
              <w:rPr>
                <w:rFonts w:eastAsia="SimSun" w:cs="Times New Roman"/>
                <w:sz w:val="20"/>
                <w:szCs w:val="20"/>
              </w:rPr>
              <w:t xml:space="preserve"> &gt; 1.33 ms for a cell radius of 200 km.</w:t>
            </w:r>
          </w:p>
          <w:p w14:paraId="0F3E911B"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Large TDD cells are inefficient due to large GP, if we switch often.</w:t>
            </w:r>
          </w:p>
          <w:p w14:paraId="6E5171E7" w14:textId="77777777" w:rsidR="003E5A27" w:rsidRPr="00ED048A"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The largest cell radius will define the GP for all TDD cells and UL/DL configuration has to be the same for all coexisting (overlapping) TDD networks.</w:t>
            </w:r>
          </w:p>
          <w:p w14:paraId="458B947E" w14:textId="77777777" w:rsidR="003E5A27" w:rsidRDefault="003E5A27" w:rsidP="003E5A27">
            <w:pPr>
              <w:pStyle w:val="ListParagraph"/>
              <w:numPr>
                <w:ilvl w:val="1"/>
                <w:numId w:val="7"/>
              </w:numPr>
              <w:spacing w:after="120"/>
              <w:ind w:firstLineChars="0"/>
              <w:rPr>
                <w:rFonts w:eastAsia="SimSun" w:cs="Times New Roman"/>
                <w:sz w:val="20"/>
                <w:szCs w:val="20"/>
              </w:rPr>
            </w:pPr>
            <w:r w:rsidRPr="00ED048A">
              <w:rPr>
                <w:rFonts w:eastAsia="SimSun" w:cs="Times New Roman"/>
                <w:sz w:val="20"/>
                <w:szCs w:val="20"/>
              </w:rPr>
              <w:t>If the gNB receives information on the propagation delay to the UE, then at least half of the GP could be removed.</w:t>
            </w:r>
          </w:p>
          <w:p w14:paraId="057E85A9" w14:textId="4D5E9284" w:rsidR="003E5A27" w:rsidRPr="002511DD" w:rsidRDefault="003E5A27" w:rsidP="00B93FB3">
            <w:pPr>
              <w:pStyle w:val="ListParagraph"/>
              <w:numPr>
                <w:ilvl w:val="0"/>
                <w:numId w:val="7"/>
              </w:numPr>
              <w:spacing w:after="120"/>
              <w:ind w:firstLineChars="0"/>
              <w:rPr>
                <w:rFonts w:eastAsia="SimSun" w:cs="Times New Roman"/>
                <w:sz w:val="20"/>
                <w:szCs w:val="20"/>
              </w:rPr>
            </w:pPr>
            <w:r>
              <w:rPr>
                <w:rFonts w:eastAsia="SimSun" w:cs="Times New Roman" w:hint="eastAsia"/>
                <w:sz w:val="20"/>
                <w:szCs w:val="20"/>
              </w:rPr>
              <w:t>O</w:t>
            </w:r>
            <w:r>
              <w:rPr>
                <w:rFonts w:eastAsia="SimSun" w:cs="Times New Roman"/>
                <w:sz w:val="20"/>
                <w:szCs w:val="20"/>
              </w:rPr>
              <w:t>ther Options are not precluded.</w:t>
            </w:r>
          </w:p>
          <w:p w14:paraId="309CDACA" w14:textId="73C3C2D5" w:rsidR="00222541" w:rsidRDefault="00222541" w:rsidP="00B93FB3">
            <w:pPr>
              <w:rPr>
                <w:lang w:val="en-US"/>
              </w:rPr>
            </w:pPr>
            <w:r>
              <w:rPr>
                <w:lang w:val="en-US"/>
              </w:rPr>
              <w:t>…</w:t>
            </w:r>
          </w:p>
        </w:tc>
      </w:tr>
    </w:tbl>
    <w:p w14:paraId="402D1DC8" w14:textId="77777777" w:rsidR="00222541" w:rsidRDefault="00222541" w:rsidP="00B93FB3">
      <w:pPr>
        <w:rPr>
          <w:lang w:val="en-US"/>
        </w:rPr>
      </w:pPr>
    </w:p>
    <w:p w14:paraId="31215D0A" w14:textId="566F41F6" w:rsidR="0051173F" w:rsidRDefault="0051173F" w:rsidP="0051173F">
      <w:pPr>
        <w:pStyle w:val="Heading1"/>
        <w:rPr>
          <w:lang w:val="en-US"/>
        </w:rPr>
      </w:pPr>
      <w:r>
        <w:rPr>
          <w:lang w:val="en-US"/>
        </w:rPr>
        <w:t>2</w:t>
      </w:r>
      <w:r>
        <w:rPr>
          <w:lang w:val="en-US"/>
        </w:rPr>
        <w:tab/>
        <w:t>Discussion</w:t>
      </w:r>
    </w:p>
    <w:p w14:paraId="762D8947" w14:textId="7422F2B6" w:rsidR="0051173F" w:rsidRDefault="003C7321" w:rsidP="003C7321">
      <w:pPr>
        <w:pStyle w:val="Heading2"/>
        <w:rPr>
          <w:lang w:val="en-US"/>
        </w:rPr>
      </w:pPr>
      <w:r>
        <w:rPr>
          <w:lang w:val="en-US"/>
        </w:rPr>
        <w:t>2.1</w:t>
      </w:r>
      <w:r>
        <w:rPr>
          <w:lang w:val="en-US"/>
        </w:rPr>
        <w:tab/>
      </w:r>
      <w:r w:rsidRPr="003C7321">
        <w:rPr>
          <w:lang w:val="en-US"/>
        </w:rPr>
        <w:t xml:space="preserve">How to introduce </w:t>
      </w:r>
      <w:bookmarkStart w:id="5" w:name="_Hlk131501660"/>
      <w:r w:rsidRPr="003C7321">
        <w:rPr>
          <w:lang w:val="en-US"/>
        </w:rPr>
        <w:t>UE based Timing pre-compensation</w:t>
      </w:r>
      <w:bookmarkEnd w:id="5"/>
    </w:p>
    <w:p w14:paraId="68095AE4" w14:textId="51A0EEC1" w:rsidR="0080688D" w:rsidRDefault="003143CE" w:rsidP="0080688D">
      <w:pPr>
        <w:rPr>
          <w:lang w:val="en-US"/>
        </w:rPr>
      </w:pPr>
      <w:r>
        <w:rPr>
          <w:lang w:val="en-US"/>
        </w:rPr>
        <w:t>The NTN standard from 3GPP release-17 g</w:t>
      </w:r>
      <w:r w:rsidR="009B554C">
        <w:rPr>
          <w:lang w:val="en-US"/>
        </w:rPr>
        <w:t>i</w:t>
      </w:r>
      <w:r>
        <w:rPr>
          <w:lang w:val="en-US"/>
        </w:rPr>
        <w:t xml:space="preserve">ves the most </w:t>
      </w:r>
      <w:r w:rsidR="009B554C">
        <w:rPr>
          <w:lang w:val="en-US"/>
        </w:rPr>
        <w:t>flexible and general standard</w:t>
      </w:r>
      <w:r w:rsidR="00420661">
        <w:rPr>
          <w:lang w:val="en-US"/>
        </w:rPr>
        <w:t xml:space="preserve"> fulfilling the maximum range for any deployment</w:t>
      </w:r>
      <w:r w:rsidR="00536DF1">
        <w:rPr>
          <w:lang w:val="en-US"/>
        </w:rPr>
        <w:t>, pointing towards horizon, pointing upwards or general linear deployment for the agreed STS of 200 km.</w:t>
      </w:r>
    </w:p>
    <w:p w14:paraId="146D8F2D" w14:textId="02674B5E" w:rsidR="00B403ED" w:rsidRPr="00481CEC" w:rsidRDefault="00B403ED" w:rsidP="00A2489C">
      <w:pPr>
        <w:pStyle w:val="MyStyle"/>
      </w:pPr>
      <w:r w:rsidRPr="00481CEC">
        <w:t xml:space="preserve">Observation 1: </w:t>
      </w:r>
      <w:r w:rsidR="00E01278">
        <w:tab/>
      </w:r>
      <w:r w:rsidR="00E5698B" w:rsidRPr="00481CEC">
        <w:t>The NTN standard from 3GPP release-17 gives the most flexible and general standard fulfilling</w:t>
      </w:r>
      <w:r w:rsidR="00E01278">
        <w:t xml:space="preserve"> </w:t>
      </w:r>
      <w:r w:rsidR="00E5698B" w:rsidRPr="00481CEC">
        <w:t>the maximum range for any deployment.</w:t>
      </w:r>
    </w:p>
    <w:p w14:paraId="30C1A71B" w14:textId="03D82053" w:rsidR="00E5698B" w:rsidRDefault="008D5E06" w:rsidP="00490887">
      <w:pPr>
        <w:pStyle w:val="MyStyle"/>
      </w:pPr>
      <w:r w:rsidRPr="00481CEC">
        <w:t xml:space="preserve">Proposal 1: </w:t>
      </w:r>
      <w:r w:rsidR="00490887">
        <w:tab/>
      </w:r>
      <w:r w:rsidRPr="00481CEC">
        <w:t>Introduce UE based Timing pre-compensation using the NTN standard</w:t>
      </w:r>
      <w:r w:rsidR="00481CEC" w:rsidRPr="00481CEC">
        <w:t>.</w:t>
      </w:r>
    </w:p>
    <w:p w14:paraId="0E9ABD9A" w14:textId="5A04EC9D" w:rsidR="00481CEC" w:rsidRDefault="00332F86" w:rsidP="00481CEC">
      <w:pPr>
        <w:rPr>
          <w:lang w:val="en-US"/>
        </w:rPr>
      </w:pPr>
      <w:r>
        <w:rPr>
          <w:lang w:val="en-US"/>
        </w:rPr>
        <w:t xml:space="preserve">Given that we propose NTN as a solution for </w:t>
      </w:r>
      <w:r w:rsidRPr="00332F86">
        <w:rPr>
          <w:lang w:val="en-US"/>
        </w:rPr>
        <w:t>UE based Timing pre-compensation</w:t>
      </w:r>
      <w:r>
        <w:rPr>
          <w:lang w:val="en-US"/>
        </w:rPr>
        <w:t xml:space="preserve">, </w:t>
      </w:r>
      <w:bookmarkStart w:id="6" w:name="_Hlk131501774"/>
      <w:r>
        <w:rPr>
          <w:lang w:val="en-US"/>
        </w:rPr>
        <w:t xml:space="preserve">then the </w:t>
      </w:r>
      <w:r w:rsidR="00481CEC" w:rsidRPr="00481CEC">
        <w:rPr>
          <w:lang w:val="en-US"/>
        </w:rPr>
        <w:t>Network is expected to provide location information to assist UE-based timing pre-compensation for ATG network</w:t>
      </w:r>
      <w:bookmarkEnd w:id="6"/>
      <w:r>
        <w:rPr>
          <w:lang w:val="en-US"/>
        </w:rPr>
        <w:t xml:space="preserve">. It is possible </w:t>
      </w:r>
      <w:r w:rsidR="00B17CE9">
        <w:rPr>
          <w:lang w:val="en-US"/>
        </w:rPr>
        <w:t xml:space="preserve">to </w:t>
      </w:r>
      <w:bookmarkStart w:id="7" w:name="_Hlk131683921"/>
      <w:r w:rsidR="00B17CE9">
        <w:rPr>
          <w:lang w:val="en-US"/>
        </w:rPr>
        <w:t>r</w:t>
      </w:r>
      <w:r w:rsidR="00481CEC" w:rsidRPr="00481CEC">
        <w:rPr>
          <w:lang w:val="en-US"/>
        </w:rPr>
        <w:t>euse</w:t>
      </w:r>
      <w:r w:rsidR="00173D7D">
        <w:rPr>
          <w:lang w:val="en-US"/>
        </w:rPr>
        <w:t xml:space="preserve"> a </w:t>
      </w:r>
      <w:r w:rsidR="00B17CE9">
        <w:rPr>
          <w:lang w:val="en-US"/>
        </w:rPr>
        <w:t xml:space="preserve">subset of </w:t>
      </w:r>
      <w:r w:rsidR="00481CEC" w:rsidRPr="00481CEC">
        <w:rPr>
          <w:lang w:val="en-US"/>
        </w:rPr>
        <w:t>SIB19 for ATG</w:t>
      </w:r>
      <w:r w:rsidR="00173D7D">
        <w:rPr>
          <w:lang w:val="en-US"/>
        </w:rPr>
        <w:t>, as a new SIB given that SIB19 is dedicated to NTN</w:t>
      </w:r>
      <w:bookmarkEnd w:id="7"/>
      <w:r w:rsidR="00173D7D">
        <w:rPr>
          <w:lang w:val="en-US"/>
        </w:rPr>
        <w:t>.</w:t>
      </w:r>
    </w:p>
    <w:p w14:paraId="62DFB84D" w14:textId="3D13019C" w:rsidR="00173D7D" w:rsidRPr="00152B7D" w:rsidRDefault="00173D7D" w:rsidP="00490887">
      <w:pPr>
        <w:pStyle w:val="MyStyle"/>
      </w:pPr>
      <w:r w:rsidRPr="00152B7D">
        <w:t xml:space="preserve">Proposal 2: </w:t>
      </w:r>
      <w:r w:rsidR="00490887">
        <w:tab/>
      </w:r>
      <w:r w:rsidRPr="00152B7D">
        <w:t xml:space="preserve">The Network is expected to provide location information to assist UE-based timing pre-compensation for ATG network using </w:t>
      </w:r>
      <w:r w:rsidR="00CC59F3" w:rsidRPr="00CC59F3">
        <w:t>reuse a subset of SIB19 for ATG, as a new SIB given that SIB19 is dedicated to NTN</w:t>
      </w:r>
      <w:r w:rsidR="00152B7D" w:rsidRPr="00152B7D">
        <w:t>.</w:t>
      </w:r>
    </w:p>
    <w:p w14:paraId="25F04D15" w14:textId="0D34F57C" w:rsidR="003C7321" w:rsidRDefault="003C7321" w:rsidP="003C7321">
      <w:pPr>
        <w:pStyle w:val="Heading2"/>
        <w:rPr>
          <w:lang w:val="en-US"/>
        </w:rPr>
      </w:pPr>
      <w:r>
        <w:rPr>
          <w:lang w:val="en-US"/>
        </w:rPr>
        <w:t>2.2</w:t>
      </w:r>
      <w:r>
        <w:rPr>
          <w:lang w:val="en-US"/>
        </w:rPr>
        <w:tab/>
      </w:r>
      <w:r w:rsidRPr="003C7321">
        <w:rPr>
          <w:lang w:val="en-US"/>
        </w:rPr>
        <w:t>Initial transmit timing requirements T</w:t>
      </w:r>
      <w:r w:rsidRPr="00350F09">
        <w:rPr>
          <w:vertAlign w:val="subscript"/>
          <w:lang w:val="en-US"/>
        </w:rPr>
        <w:t>e</w:t>
      </w:r>
    </w:p>
    <w:p w14:paraId="2E9862A7" w14:textId="266778F5" w:rsidR="007A7013" w:rsidRDefault="007A7013" w:rsidP="007A7013">
      <w:pPr>
        <w:rPr>
          <w:lang w:val="en-US"/>
        </w:rPr>
      </w:pPr>
      <w:r>
        <w:rPr>
          <w:lang w:val="en-US"/>
        </w:rPr>
        <w:t>In NTN the allowed</w:t>
      </w:r>
      <w:r w:rsidR="00350F09">
        <w:rPr>
          <w:lang w:val="en-US"/>
        </w:rPr>
        <w:t xml:space="preserve"> UE </w:t>
      </w:r>
      <w:r w:rsidR="002C1B0E">
        <w:rPr>
          <w:lang w:val="en-US"/>
        </w:rPr>
        <w:t xml:space="preserve">position </w:t>
      </w:r>
      <w:r w:rsidR="00350F09">
        <w:rPr>
          <w:lang w:val="en-US"/>
        </w:rPr>
        <w:t xml:space="preserve">error is </w:t>
      </w:r>
      <w:r w:rsidR="00350F09" w:rsidRPr="00350F09">
        <w:rPr>
          <w:lang w:val="en-US"/>
        </w:rPr>
        <w:t>50</w:t>
      </w:r>
      <w:r w:rsidR="00350F09">
        <w:rPr>
          <w:lang w:val="en-US"/>
        </w:rPr>
        <w:t xml:space="preserve"> </w:t>
      </w:r>
      <w:r w:rsidR="00350F09" w:rsidRPr="00350F09">
        <w:rPr>
          <w:lang w:val="en-US"/>
        </w:rPr>
        <w:t>m</w:t>
      </w:r>
      <w:r w:rsidR="00350F09">
        <w:rPr>
          <w:lang w:val="en-US"/>
        </w:rPr>
        <w:t>. This is implicit and used to derive the NTN T</w:t>
      </w:r>
      <w:r w:rsidR="00350F09">
        <w:rPr>
          <w:vertAlign w:val="subscript"/>
          <w:lang w:val="en-US"/>
        </w:rPr>
        <w:t>e</w:t>
      </w:r>
      <w:r w:rsidR="00350F09">
        <w:rPr>
          <w:lang w:val="en-US"/>
        </w:rPr>
        <w:t xml:space="preserve"> requirements.</w:t>
      </w:r>
      <w:r w:rsidR="00BF0884">
        <w:rPr>
          <w:lang w:val="en-US"/>
        </w:rPr>
        <w:t xml:space="preserve"> </w:t>
      </w:r>
      <w:r w:rsidR="002C1B0E">
        <w:rPr>
          <w:lang w:val="en-US"/>
        </w:rPr>
        <w:t>We propose the same values for ATG.</w:t>
      </w:r>
    </w:p>
    <w:p w14:paraId="4DA37BC1" w14:textId="357D28F1" w:rsidR="002C1B0E" w:rsidRPr="002C1B0E" w:rsidRDefault="002C1B0E" w:rsidP="000863CE">
      <w:pPr>
        <w:pStyle w:val="MyStyle"/>
      </w:pPr>
      <w:r w:rsidRPr="002C1B0E">
        <w:t xml:space="preserve">Proposal </w:t>
      </w:r>
      <w:r>
        <w:t>3</w:t>
      </w:r>
      <w:r w:rsidRPr="002C1B0E">
        <w:t>:</w:t>
      </w:r>
      <w:r>
        <w:t xml:space="preserve"> </w:t>
      </w:r>
      <w:r w:rsidR="000863CE">
        <w:tab/>
      </w:r>
      <w:r w:rsidR="00F86BEA">
        <w:t>A</w:t>
      </w:r>
      <w:r w:rsidRPr="002C1B0E">
        <w:t>llowed UE position error is 50 m</w:t>
      </w:r>
      <w:r w:rsidR="00CC59F3">
        <w:t>.</w:t>
      </w:r>
    </w:p>
    <w:p w14:paraId="5E7AD624" w14:textId="3A38AF27" w:rsidR="003C7321" w:rsidRDefault="003C7321" w:rsidP="003C7321">
      <w:pPr>
        <w:pStyle w:val="Heading2"/>
        <w:rPr>
          <w:lang w:val="en-US"/>
        </w:rPr>
      </w:pPr>
      <w:r>
        <w:rPr>
          <w:lang w:val="en-US"/>
        </w:rPr>
        <w:t>2.3</w:t>
      </w:r>
      <w:r>
        <w:rPr>
          <w:lang w:val="en-US"/>
        </w:rPr>
        <w:tab/>
      </w:r>
      <w:r w:rsidRPr="003C7321">
        <w:rPr>
          <w:lang w:val="en-US"/>
        </w:rPr>
        <w:t>Gradual timing adjustment</w:t>
      </w:r>
    </w:p>
    <w:p w14:paraId="48437DEE" w14:textId="1AF43383" w:rsidR="00F5340F" w:rsidRDefault="00706991" w:rsidP="00706991">
      <w:pPr>
        <w:rPr>
          <w:lang w:val="en-US"/>
        </w:rPr>
      </w:pPr>
      <w:r>
        <w:rPr>
          <w:lang w:val="en-US"/>
        </w:rPr>
        <w:t>We think that o</w:t>
      </w:r>
      <w:r w:rsidRPr="00152B7D">
        <w:rPr>
          <w:lang w:val="en-US"/>
        </w:rPr>
        <w:t>ption 1: the Tq_ATG and Tp_ATG should be 5.5*64*Tc for all SCSs</w:t>
      </w:r>
      <w:r w:rsidR="004D1C0A">
        <w:rPr>
          <w:lang w:val="en-US"/>
        </w:rPr>
        <w:t>.</w:t>
      </w:r>
      <w:r w:rsidR="007E5180">
        <w:rPr>
          <w:lang w:val="en-US"/>
        </w:rPr>
        <w:t xml:space="preserve"> This</w:t>
      </w:r>
      <w:r>
        <w:rPr>
          <w:lang w:val="en-US"/>
        </w:rPr>
        <w:t xml:space="preserve"> is feasible given that </w:t>
      </w:r>
      <w:r w:rsidR="00F5340F">
        <w:rPr>
          <w:lang w:val="en-US"/>
        </w:rPr>
        <w:t>t</w:t>
      </w:r>
      <w:r w:rsidR="003E345E" w:rsidRPr="003E345E">
        <w:rPr>
          <w:lang w:val="en-US"/>
        </w:rPr>
        <w:t>he time drift due to UE movement will be compensate</w:t>
      </w:r>
      <w:r w:rsidR="004D1C0A">
        <w:rPr>
          <w:lang w:val="en-US"/>
        </w:rPr>
        <w:t>d</w:t>
      </w:r>
      <w:r w:rsidR="003E345E" w:rsidRPr="003E345E">
        <w:rPr>
          <w:lang w:val="en-US"/>
        </w:rPr>
        <w:t xml:space="preserve"> by N</w:t>
      </w:r>
      <w:r w:rsidR="003E345E" w:rsidRPr="004D1C0A">
        <w:rPr>
          <w:vertAlign w:val="subscript"/>
          <w:lang w:val="en-US"/>
        </w:rPr>
        <w:t xml:space="preserve">TA,UE-specific, </w:t>
      </w:r>
      <w:r w:rsidR="003E345E" w:rsidRPr="003E345E">
        <w:rPr>
          <w:lang w:val="en-US"/>
        </w:rPr>
        <w:t>therefore, the legacy T</w:t>
      </w:r>
      <w:r w:rsidR="003E345E" w:rsidRPr="00BF2120">
        <w:rPr>
          <w:vertAlign w:val="subscript"/>
          <w:lang w:val="en-US"/>
        </w:rPr>
        <w:t>p</w:t>
      </w:r>
      <w:r w:rsidR="003E345E" w:rsidRPr="003E345E">
        <w:rPr>
          <w:lang w:val="en-US"/>
        </w:rPr>
        <w:t xml:space="preserve"> and T</w:t>
      </w:r>
      <w:r w:rsidR="003E345E" w:rsidRPr="00BF2120">
        <w:rPr>
          <w:vertAlign w:val="subscript"/>
          <w:lang w:val="en-US"/>
        </w:rPr>
        <w:t>q</w:t>
      </w:r>
      <w:r w:rsidR="003E345E" w:rsidRPr="003E345E">
        <w:rPr>
          <w:lang w:val="en-US"/>
        </w:rPr>
        <w:t xml:space="preserve"> value can be reused, which is 5.5Ts</w:t>
      </w:r>
      <w:r w:rsidR="00F5340F">
        <w:rPr>
          <w:lang w:val="en-US"/>
        </w:rPr>
        <w:t>, as discussed in [2].</w:t>
      </w:r>
    </w:p>
    <w:p w14:paraId="6FCED980" w14:textId="141DE99E" w:rsidR="004D1C0A" w:rsidRPr="00E5384A" w:rsidRDefault="00706991" w:rsidP="000863CE">
      <w:pPr>
        <w:pStyle w:val="MyStyle"/>
      </w:pPr>
      <w:r w:rsidRPr="00E5384A">
        <w:t xml:space="preserve">Observation 2: </w:t>
      </w:r>
      <w:r w:rsidR="000863CE">
        <w:tab/>
      </w:r>
      <w:r w:rsidR="00E5384A" w:rsidRPr="00E5384A">
        <w:t>T</w:t>
      </w:r>
      <w:r w:rsidR="004D1C0A" w:rsidRPr="00E5384A">
        <w:t xml:space="preserve">ime drift due to UE movement will be compensated by </w:t>
      </w:r>
      <w:r w:rsidR="00E5384A" w:rsidRPr="00E5384A">
        <w:t>N</w:t>
      </w:r>
      <w:r w:rsidR="00E5384A" w:rsidRPr="00E5384A">
        <w:rPr>
          <w:vertAlign w:val="subscript"/>
        </w:rPr>
        <w:t>TA,UE-specific</w:t>
      </w:r>
      <w:r w:rsidR="00E5384A">
        <w:t>.</w:t>
      </w:r>
    </w:p>
    <w:p w14:paraId="347FF2FC" w14:textId="65C1B180" w:rsidR="00706991" w:rsidRDefault="00706991" w:rsidP="00B570B3">
      <w:pPr>
        <w:pStyle w:val="MyStyle"/>
      </w:pPr>
      <w:r>
        <w:t xml:space="preserve">Proposal </w:t>
      </w:r>
      <w:r w:rsidR="00F86BEA">
        <w:t>4</w:t>
      </w:r>
      <w:r>
        <w:t xml:space="preserve">: </w:t>
      </w:r>
      <w:r w:rsidR="00B570B3">
        <w:tab/>
      </w:r>
      <w:r>
        <w:t>T</w:t>
      </w:r>
      <w:r w:rsidRPr="00706991">
        <w:t>he T</w:t>
      </w:r>
      <w:r w:rsidRPr="00644129">
        <w:rPr>
          <w:vertAlign w:val="subscript"/>
        </w:rPr>
        <w:t xml:space="preserve">q_ATG </w:t>
      </w:r>
      <w:r w:rsidRPr="00706991">
        <w:t>and T</w:t>
      </w:r>
      <w:r w:rsidRPr="00644129">
        <w:rPr>
          <w:vertAlign w:val="subscript"/>
        </w:rPr>
        <w:t xml:space="preserve">p_ATG </w:t>
      </w:r>
      <w:r w:rsidRPr="00706991">
        <w:t>should be 5.5*64*Tc for all SCSs</w:t>
      </w:r>
      <w:r>
        <w:t>.</w:t>
      </w:r>
    </w:p>
    <w:p w14:paraId="7D93823B" w14:textId="77777777" w:rsidR="007A7013" w:rsidRPr="007A7013" w:rsidRDefault="007A7013" w:rsidP="00706991">
      <w:pPr>
        <w:rPr>
          <w:b/>
          <w:bCs/>
          <w:lang w:val="en-US"/>
        </w:rPr>
      </w:pPr>
    </w:p>
    <w:p w14:paraId="11DBD738" w14:textId="2757D722" w:rsidR="003C7321" w:rsidRDefault="003C7321" w:rsidP="003C7321">
      <w:pPr>
        <w:pStyle w:val="Heading2"/>
        <w:rPr>
          <w:lang w:val="en-US"/>
        </w:rPr>
      </w:pPr>
      <w:r>
        <w:rPr>
          <w:lang w:val="en-US"/>
        </w:rPr>
        <w:lastRenderedPageBreak/>
        <w:t>2.4</w:t>
      </w:r>
      <w:r>
        <w:rPr>
          <w:lang w:val="en-US"/>
        </w:rPr>
        <w:tab/>
      </w:r>
      <w:r w:rsidRPr="003C7321">
        <w:rPr>
          <w:lang w:val="en-US"/>
        </w:rPr>
        <w:t>Guard period issue due to large TDD cell and coexistence demand</w:t>
      </w:r>
    </w:p>
    <w:p w14:paraId="0CB37891" w14:textId="77777777" w:rsidR="000D5920" w:rsidRDefault="000D5920" w:rsidP="000D5920">
      <w:pPr>
        <w:rPr>
          <w:lang w:val="en-US"/>
        </w:rPr>
      </w:pPr>
      <w:r>
        <w:rPr>
          <w:lang w:val="en-US"/>
        </w:rPr>
        <w:t xml:space="preserve">An ISD of 200 km will imply a cell radius of at least 100 km and up to more than 200 km depending on BS site deployment. Figure 1 show upwards deployment where cell radius is at least 100 km, assuming ISD up to 200 km and equal EIRP and radio propagation. Figure 1 also shows a unidirectional arrangement where all beams point to horizon and the cell radius can be larger than the ISD of 200 km depending on aircraft altitude and cell overlap. In fact, </w:t>
      </w:r>
      <w:r w:rsidRPr="00B90487">
        <w:rPr>
          <w:lang w:val="en-US"/>
        </w:rPr>
        <w:t>cell radius may be independent of the ISD</w:t>
      </w:r>
      <w:r>
        <w:rPr>
          <w:lang w:val="en-US"/>
        </w:rPr>
        <w:t>.</w:t>
      </w:r>
    </w:p>
    <w:p w14:paraId="5C25058D" w14:textId="77777777" w:rsidR="000D5920" w:rsidRDefault="000D5920" w:rsidP="000D5920">
      <w:pPr>
        <w:rPr>
          <w:lang w:eastAsia="ja-JP"/>
        </w:rPr>
      </w:pPr>
      <w:r>
        <w:rPr>
          <w:noProof/>
          <w:lang w:eastAsia="ja-JP"/>
        </w:rPr>
        <w:drawing>
          <wp:inline distT="0" distB="0" distL="0" distR="0" wp14:anchorId="64008E03" wp14:editId="0454E841">
            <wp:extent cx="1404102" cy="91089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6881" cy="912701"/>
                    </a:xfrm>
                    <a:prstGeom prst="rect">
                      <a:avLst/>
                    </a:prstGeom>
                    <a:noFill/>
                  </pic:spPr>
                </pic:pic>
              </a:graphicData>
            </a:graphic>
          </wp:inline>
        </w:drawing>
      </w:r>
      <w:r>
        <w:rPr>
          <w:noProof/>
          <w:lang w:eastAsia="ja-JP"/>
        </w:rPr>
        <w:drawing>
          <wp:inline distT="0" distB="0" distL="0" distR="0" wp14:anchorId="485EACF3" wp14:editId="731DCDFA">
            <wp:extent cx="1415959" cy="9185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3431" cy="929924"/>
                    </a:xfrm>
                    <a:prstGeom prst="rect">
                      <a:avLst/>
                    </a:prstGeom>
                    <a:noFill/>
                  </pic:spPr>
                </pic:pic>
              </a:graphicData>
            </a:graphic>
          </wp:inline>
        </w:drawing>
      </w:r>
      <w:r>
        <w:rPr>
          <w:noProof/>
          <w:lang w:eastAsia="ja-JP"/>
        </w:rPr>
        <w:drawing>
          <wp:inline distT="0" distB="0" distL="0" distR="0" wp14:anchorId="5973D8A5" wp14:editId="4C4B1047">
            <wp:extent cx="3133228" cy="75673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8935" cy="772600"/>
                    </a:xfrm>
                    <a:prstGeom prst="rect">
                      <a:avLst/>
                    </a:prstGeom>
                    <a:noFill/>
                  </pic:spPr>
                </pic:pic>
              </a:graphicData>
            </a:graphic>
          </wp:inline>
        </w:drawing>
      </w:r>
    </w:p>
    <w:p w14:paraId="1352D8E1" w14:textId="77777777" w:rsidR="000D5920" w:rsidRDefault="000D5920" w:rsidP="000D5920">
      <w:pPr>
        <w:pStyle w:val="TF"/>
        <w:rPr>
          <w:lang w:eastAsia="ja-JP"/>
        </w:rPr>
      </w:pPr>
      <w:bookmarkStart w:id="8" w:name="_Ref115277561"/>
      <w:r>
        <w:t xml:space="preserve">Figure </w:t>
      </w:r>
      <w:bookmarkEnd w:id="8"/>
      <w:r>
        <w:t xml:space="preserve">1: ATG </w:t>
      </w:r>
      <w:bookmarkStart w:id="9" w:name="_Hlk126752874"/>
      <w:r>
        <w:t>BS antenna pointing upwards or using beams towards the horizon</w:t>
      </w:r>
      <w:bookmarkEnd w:id="9"/>
    </w:p>
    <w:p w14:paraId="6C56DD5E" w14:textId="66F867BE" w:rsidR="000D5920" w:rsidRPr="00B20663" w:rsidRDefault="000D5920" w:rsidP="00D678EF">
      <w:pPr>
        <w:pStyle w:val="MyStyle"/>
        <w:rPr>
          <w:lang w:eastAsia="ja-JP"/>
        </w:rPr>
      </w:pPr>
      <w:r w:rsidRPr="00B20663">
        <w:rPr>
          <w:lang w:eastAsia="ja-JP"/>
        </w:rPr>
        <w:t xml:space="preserve">Observation </w:t>
      </w:r>
      <w:r w:rsidR="00875DFD">
        <w:rPr>
          <w:lang w:eastAsia="ja-JP"/>
        </w:rPr>
        <w:t>3</w:t>
      </w:r>
      <w:r w:rsidRPr="00B20663">
        <w:rPr>
          <w:lang w:eastAsia="ja-JP"/>
        </w:rPr>
        <w:t xml:space="preserve">: </w:t>
      </w:r>
      <w:r w:rsidR="00D678EF">
        <w:rPr>
          <w:lang w:eastAsia="ja-JP"/>
        </w:rPr>
        <w:tab/>
      </w:r>
      <w:r>
        <w:rPr>
          <w:lang w:eastAsia="ja-JP"/>
        </w:rPr>
        <w:t xml:space="preserve">The cell radius can be more than 200 km for ISD </w:t>
      </w:r>
      <w:r w:rsidRPr="000826D7">
        <w:rPr>
          <w:lang w:eastAsia="ja-JP"/>
        </w:rPr>
        <w:t>200km</w:t>
      </w:r>
      <w:r>
        <w:rPr>
          <w:lang w:eastAsia="ja-JP"/>
        </w:rPr>
        <w:t>.</w:t>
      </w:r>
    </w:p>
    <w:p w14:paraId="5B7750BD" w14:textId="77777777" w:rsidR="000D5920" w:rsidRDefault="000D5920" w:rsidP="000D5920">
      <w:pPr>
        <w:pStyle w:val="Heading3"/>
        <w:rPr>
          <w:lang w:val="en-US"/>
        </w:rPr>
      </w:pPr>
      <w:r>
        <w:rPr>
          <w:lang w:val="en-US"/>
        </w:rPr>
        <w:t>2.1.1 Dimensioning of TDD GP</w:t>
      </w:r>
    </w:p>
    <w:p w14:paraId="0B614A97" w14:textId="32CEC113" w:rsidR="000D5920" w:rsidRDefault="000D5920" w:rsidP="000D5920">
      <w:pPr>
        <w:rPr>
          <w:lang w:val="en-US"/>
        </w:rPr>
      </w:pPr>
      <w:r>
        <w:rPr>
          <w:lang w:val="en-US"/>
        </w:rPr>
        <w:t>In [</w:t>
      </w:r>
      <w:r w:rsidR="00E53BD6">
        <w:rPr>
          <w:lang w:val="en-US"/>
        </w:rPr>
        <w:t>3</w:t>
      </w:r>
      <w:r>
        <w:rPr>
          <w:lang w:val="en-US"/>
        </w:rPr>
        <w:t>] the TDD GP dimensioning rules are outlined in Figure 2:</w:t>
      </w:r>
    </w:p>
    <w:p w14:paraId="2E7733DC" w14:textId="77777777" w:rsidR="000D5920" w:rsidRPr="00E6410F" w:rsidRDefault="000D5920" w:rsidP="000D5920">
      <w:pPr>
        <w:rPr>
          <w:lang w:val="en-US"/>
        </w:rPr>
      </w:pPr>
      <w:r w:rsidRPr="00E24725">
        <w:rPr>
          <w:noProof/>
          <w:lang w:val="en-US"/>
        </w:rPr>
        <w:drawing>
          <wp:inline distT="0" distB="0" distL="0" distR="0" wp14:anchorId="76BC4191" wp14:editId="2F2C4659">
            <wp:extent cx="6115050" cy="645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645795"/>
                    </a:xfrm>
                    <a:prstGeom prst="rect">
                      <a:avLst/>
                    </a:prstGeom>
                    <a:noFill/>
                    <a:ln>
                      <a:noFill/>
                    </a:ln>
                  </pic:spPr>
                </pic:pic>
              </a:graphicData>
            </a:graphic>
          </wp:inline>
        </w:drawing>
      </w:r>
    </w:p>
    <w:p w14:paraId="2E0D50D2" w14:textId="77777777" w:rsidR="000D5920" w:rsidRDefault="000D5920" w:rsidP="000D5920">
      <w:pPr>
        <w:pStyle w:val="TF"/>
      </w:pPr>
      <w:r>
        <w:t>Figure 2: TDD GP dimensioning</w:t>
      </w:r>
    </w:p>
    <w:p w14:paraId="4FE25038" w14:textId="77777777" w:rsidR="000D5920" w:rsidRDefault="000D5920" w:rsidP="000D5920">
      <w:pPr>
        <w:rPr>
          <w:lang w:val="en-US"/>
        </w:rPr>
      </w:pPr>
      <w:r>
        <w:rPr>
          <w:lang w:val="en-US"/>
        </w:rPr>
        <w:t>Where:</w:t>
      </w:r>
    </w:p>
    <w:p w14:paraId="382C5C92" w14:textId="77777777" w:rsidR="000D5920" w:rsidRPr="00452AF0" w:rsidRDefault="000D5920" w:rsidP="000D5920">
      <w:pPr>
        <w:pStyle w:val="ListParagraph"/>
        <w:numPr>
          <w:ilvl w:val="0"/>
          <w:numId w:val="9"/>
        </w:numPr>
        <w:spacing w:after="180"/>
        <w:ind w:firstLineChars="0"/>
        <w:contextualSpacing/>
      </w:pPr>
      <w:r w:rsidRPr="00452AF0">
        <w:t>T</w:t>
      </w:r>
      <w:r w:rsidRPr="00452AF0">
        <w:rPr>
          <w:vertAlign w:val="subscript"/>
        </w:rPr>
        <w:t>GUARD</w:t>
      </w:r>
      <w:r w:rsidRPr="00452AF0">
        <w:t xml:space="preserve"> :  </w:t>
      </w:r>
      <w:r w:rsidRPr="00452AF0">
        <w:tab/>
        <w:t xml:space="preserve">Total allocated GP (for both DL to UL and UL to DL guards) </w:t>
      </w:r>
    </w:p>
    <w:p w14:paraId="18E819EB" w14:textId="77777777" w:rsidR="000D5920" w:rsidRPr="00452AF0" w:rsidRDefault="000D5920" w:rsidP="000D5920">
      <w:pPr>
        <w:pStyle w:val="ListParagraph"/>
        <w:numPr>
          <w:ilvl w:val="0"/>
          <w:numId w:val="9"/>
        </w:numPr>
        <w:spacing w:after="180"/>
        <w:ind w:firstLineChars="0"/>
        <w:contextualSpacing/>
      </w:pPr>
      <w:r w:rsidRPr="00452AF0">
        <w:t>TA</w:t>
      </w:r>
      <w:r w:rsidRPr="00452AF0">
        <w:rPr>
          <w:vertAlign w:val="subscript"/>
        </w:rPr>
        <w:t>offset</w:t>
      </w:r>
      <w:r w:rsidRPr="00452AF0">
        <w:t xml:space="preserve"> :  Guard period allocated for the UL to DL switch </w:t>
      </w:r>
    </w:p>
    <w:p w14:paraId="1B370DC9" w14:textId="77777777" w:rsidR="000D5920" w:rsidRPr="00452AF0" w:rsidRDefault="000D5920" w:rsidP="000D5920">
      <w:pPr>
        <w:pStyle w:val="ListParagraph"/>
        <w:numPr>
          <w:ilvl w:val="0"/>
          <w:numId w:val="9"/>
        </w:numPr>
        <w:spacing w:after="180"/>
        <w:ind w:firstLineChars="0"/>
        <w:contextualSpacing/>
      </w:pPr>
      <w:r w:rsidRPr="00452AF0">
        <w:t>T</w:t>
      </w:r>
      <w:r w:rsidRPr="00452AF0">
        <w:rPr>
          <w:vertAlign w:val="subscript"/>
        </w:rPr>
        <w:t xml:space="preserve">DL_UL </w:t>
      </w:r>
      <w:r w:rsidRPr="00452AF0">
        <w:t xml:space="preserve">:    </w:t>
      </w:r>
      <w:r w:rsidRPr="00452AF0">
        <w:tab/>
        <w:t>Guard period allocated for the DL to UL switch</w:t>
      </w:r>
    </w:p>
    <w:p w14:paraId="2A18A173" w14:textId="4AAE6E1F" w:rsidR="000D5920" w:rsidRDefault="000D5920" w:rsidP="000D5920">
      <w:pPr>
        <w:rPr>
          <w:lang w:val="en-US"/>
        </w:rPr>
      </w:pPr>
      <w:r>
        <w:rPr>
          <w:lang w:val="en-US"/>
        </w:rPr>
        <w:t>With some assumptions and simplification listed in [</w:t>
      </w:r>
      <w:r w:rsidR="00E53BD6">
        <w:rPr>
          <w:lang w:val="en-US"/>
        </w:rPr>
        <w:t>3</w:t>
      </w:r>
      <w:r>
        <w:rPr>
          <w:lang w:val="en-US"/>
        </w:rPr>
        <w:t>] we get:</w:t>
      </w:r>
    </w:p>
    <w:p w14:paraId="0DF692EB" w14:textId="77777777" w:rsidR="000D5920" w:rsidRPr="00DB6220" w:rsidRDefault="000D5920" w:rsidP="000D5920">
      <w:pPr>
        <w:jc w:val="center"/>
        <w:rPr>
          <w:lang w:val="en-US"/>
        </w:rPr>
      </w:pPr>
      <w:r w:rsidRPr="007347DD">
        <w:rPr>
          <w:lang w:val="en-US"/>
        </w:rPr>
        <w:t>T</w:t>
      </w:r>
      <w:r w:rsidRPr="007347DD">
        <w:rPr>
          <w:vertAlign w:val="subscript"/>
          <w:lang w:val="en-US"/>
        </w:rPr>
        <w:t xml:space="preserve">GUARD </w:t>
      </w:r>
      <w:r>
        <w:rPr>
          <w:vertAlign w:val="subscript"/>
          <w:lang w:val="en-US"/>
        </w:rPr>
        <w:t xml:space="preserve"> </w:t>
      </w:r>
      <w:r w:rsidRPr="007347DD">
        <w:rPr>
          <w:rFonts w:cs="Arial"/>
          <w:lang w:val="en-US"/>
        </w:rPr>
        <w:t>≥ 2*</w:t>
      </w:r>
      <w:r w:rsidRPr="007347DD">
        <w:rPr>
          <w:rFonts w:cs="Arial"/>
          <w:spacing w:val="2"/>
          <w:lang w:val="en-US"/>
        </w:rPr>
        <w:t xml:space="preserve"> T</w:t>
      </w:r>
      <w:r w:rsidRPr="007347DD">
        <w:rPr>
          <w:rFonts w:cs="Arial"/>
          <w:spacing w:val="2"/>
          <w:vertAlign w:val="subscript"/>
          <w:lang w:val="en-US"/>
        </w:rPr>
        <w:t>Sync</w:t>
      </w:r>
      <w:r w:rsidRPr="007347DD">
        <w:rPr>
          <w:rFonts w:cs="Arial"/>
          <w:lang w:val="en-US"/>
        </w:rPr>
        <w:t xml:space="preserve"> + </w:t>
      </w:r>
      <w:r w:rsidRPr="007347DD">
        <w:rPr>
          <w:rFonts w:cs="Arial"/>
          <w:spacing w:val="2"/>
          <w:lang w:val="en-US"/>
        </w:rPr>
        <w:t>2*T</w:t>
      </w:r>
      <w:r w:rsidRPr="007347DD">
        <w:rPr>
          <w:rFonts w:cs="Arial"/>
          <w:spacing w:val="2"/>
          <w:vertAlign w:val="subscript"/>
          <w:lang w:val="en-US"/>
        </w:rPr>
        <w:t>prop_cell edge</w:t>
      </w:r>
      <w:r w:rsidRPr="007347DD">
        <w:rPr>
          <w:rFonts w:cs="Arial"/>
          <w:lang w:val="en-US"/>
        </w:rPr>
        <w:t xml:space="preserve"> +</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476F088E" w14:textId="77777777" w:rsidR="000D5920" w:rsidRDefault="000D5920" w:rsidP="000D5920">
      <w:pPr>
        <w:rPr>
          <w:lang w:val="en-US"/>
        </w:rPr>
      </w:pPr>
      <w:r>
        <w:rPr>
          <w:lang w:val="en-US"/>
        </w:rPr>
        <w:t xml:space="preserve">Where: </w:t>
      </w:r>
    </w:p>
    <w:p w14:paraId="09A7F87F" w14:textId="77777777" w:rsidR="000D5920" w:rsidRPr="00452AF0" w:rsidRDefault="000D5920" w:rsidP="000D5920">
      <w:pPr>
        <w:pStyle w:val="ListParagraph"/>
        <w:numPr>
          <w:ilvl w:val="0"/>
          <w:numId w:val="10"/>
        </w:numPr>
        <w:spacing w:after="180"/>
        <w:ind w:firstLineChars="0"/>
        <w:contextualSpacing/>
        <w:rPr>
          <w:rFonts w:cs="Arial"/>
          <w:spacing w:val="2"/>
        </w:rPr>
      </w:pPr>
      <w:r w:rsidRPr="00452AF0">
        <w:rPr>
          <w:rFonts w:cs="Arial"/>
          <w:spacing w:val="2"/>
        </w:rPr>
        <w:t>T</w:t>
      </w:r>
      <w:r w:rsidRPr="00452AF0">
        <w:rPr>
          <w:rFonts w:cs="Arial"/>
          <w:spacing w:val="2"/>
          <w:vertAlign w:val="subscript"/>
        </w:rPr>
        <w:t>Sync</w:t>
      </w:r>
      <w:r w:rsidRPr="00452AF0">
        <w:rPr>
          <w:rFonts w:cs="Arial"/>
          <w:spacing w:val="2"/>
        </w:rPr>
        <w:t>:</w:t>
      </w:r>
      <w:r w:rsidRPr="00452AF0">
        <w:rPr>
          <w:rFonts w:cs="Arial"/>
          <w:spacing w:val="2"/>
          <w:vertAlign w:val="subscript"/>
        </w:rPr>
        <w:t xml:space="preserve"> </w:t>
      </w:r>
      <w:r w:rsidRPr="00452AF0">
        <w:rPr>
          <w:rFonts w:cs="Arial"/>
          <w:spacing w:val="2"/>
        </w:rPr>
        <w:t>Cell Phase Sync = 3 µs</w:t>
      </w:r>
    </w:p>
    <w:p w14:paraId="0BF4C980" w14:textId="77777777" w:rsidR="000D5920" w:rsidRPr="00452AF0" w:rsidRDefault="000D5920" w:rsidP="000D5920">
      <w:pPr>
        <w:pStyle w:val="ListParagraph"/>
        <w:numPr>
          <w:ilvl w:val="0"/>
          <w:numId w:val="10"/>
        </w:numPr>
        <w:spacing w:after="180"/>
        <w:ind w:firstLineChars="0"/>
        <w:contextualSpacing/>
        <w:rPr>
          <w:rFonts w:cs="Arial"/>
          <w:spacing w:val="2"/>
        </w:rPr>
      </w:pPr>
      <w:r w:rsidRPr="00452AF0">
        <w:rPr>
          <w:rFonts w:cs="Arial"/>
          <w:spacing w:val="2"/>
        </w:rPr>
        <w:t>T</w:t>
      </w:r>
      <w:r w:rsidRPr="00452AF0">
        <w:rPr>
          <w:rFonts w:cs="Arial"/>
          <w:spacing w:val="2"/>
          <w:vertAlign w:val="subscript"/>
        </w:rPr>
        <w:t>prop_cell edge</w:t>
      </w:r>
      <w:r w:rsidRPr="00452AF0">
        <w:rPr>
          <w:rFonts w:cs="Arial"/>
          <w:spacing w:val="2"/>
        </w:rPr>
        <w:t>: The time to traverse the cell, for the longest distance between the BS site and any UE at the far away cell border.</w:t>
      </w:r>
    </w:p>
    <w:p w14:paraId="48E2F12A" w14:textId="77777777" w:rsidR="000D5920" w:rsidRDefault="000D5920" w:rsidP="000D5920">
      <w:pPr>
        <w:ind w:left="284"/>
        <w:rPr>
          <w:lang w:val="en-US"/>
        </w:rPr>
      </w:pPr>
      <w:r w:rsidRPr="007347DD">
        <w:rPr>
          <w:lang w:val="en-US"/>
        </w:rPr>
        <w:object w:dxaOrig="13215" w:dyaOrig="7066" w14:anchorId="76A0A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9.8pt" o:ole="">
            <v:imagedata r:id="rId16" o:title=""/>
          </v:shape>
          <o:OLEObject Type="Embed" ProgID="Visio.Drawing.15" ShapeID="_x0000_i1025" DrawAspect="Content" ObjectID="_1742631916" r:id="rId17"/>
        </w:object>
      </w:r>
    </w:p>
    <w:p w14:paraId="454AC4E7" w14:textId="77777777" w:rsidR="000D5920" w:rsidRPr="000E1789" w:rsidRDefault="000D5920" w:rsidP="000D5920">
      <w:pPr>
        <w:pStyle w:val="TF"/>
      </w:pPr>
      <w:r>
        <w:t xml:space="preserve">Figure 3: </w:t>
      </w:r>
      <w:r w:rsidRPr="00CB2233">
        <w:t>BS-to-BS interference distance</w:t>
      </w:r>
    </w:p>
    <w:p w14:paraId="6070BA4B" w14:textId="77777777" w:rsidR="000D5920" w:rsidRPr="00135D03" w:rsidRDefault="000D5920" w:rsidP="000D5920">
      <w:pPr>
        <w:rPr>
          <w:rFonts w:cs="Arial"/>
          <w:spacing w:val="2"/>
          <w:lang w:val="en-US"/>
        </w:rPr>
      </w:pPr>
      <w:r>
        <w:rPr>
          <w:lang w:val="en-US"/>
        </w:rPr>
        <w:t xml:space="preserve">In our case ISD of up to 200 km results in a </w:t>
      </w:r>
      <w:r w:rsidRPr="007347DD">
        <w:rPr>
          <w:rFonts w:cs="Arial"/>
          <w:spacing w:val="2"/>
          <w:lang w:val="en-US"/>
        </w:rPr>
        <w:t>T</w:t>
      </w:r>
      <w:r w:rsidRPr="007347DD">
        <w:rPr>
          <w:rFonts w:cs="Arial"/>
          <w:spacing w:val="2"/>
          <w:vertAlign w:val="subscript"/>
          <w:lang w:val="en-US"/>
        </w:rPr>
        <w:t>prop_cell edge</w:t>
      </w:r>
      <w:r>
        <w:rPr>
          <w:rFonts w:cs="Arial"/>
          <w:spacing w:val="2"/>
          <w:vertAlign w:val="subscript"/>
          <w:lang w:val="en-US"/>
        </w:rPr>
        <w:t xml:space="preserve"> </w:t>
      </w:r>
      <w:r>
        <w:rPr>
          <w:rFonts w:cs="Arial"/>
          <w:spacing w:val="2"/>
          <w:lang w:val="en-US"/>
        </w:rPr>
        <w:t xml:space="preserve">time corresponding to a distance of more than 200 km, for </w:t>
      </w:r>
      <w:r w:rsidRPr="002E2F78">
        <w:rPr>
          <w:rFonts w:cs="Arial"/>
          <w:spacing w:val="2"/>
          <w:lang w:val="en-US"/>
        </w:rPr>
        <w:t>BS antenna</w:t>
      </w:r>
      <w:r>
        <w:rPr>
          <w:rFonts w:cs="Arial"/>
          <w:spacing w:val="2"/>
          <w:lang w:val="en-US"/>
        </w:rPr>
        <w:t xml:space="preserve"> </w:t>
      </w:r>
      <w:r w:rsidRPr="002E2F78">
        <w:rPr>
          <w:rFonts w:cs="Arial"/>
          <w:spacing w:val="2"/>
          <w:lang w:val="en-US"/>
        </w:rPr>
        <w:t>using beams towards the horizon</w:t>
      </w:r>
      <w:r>
        <w:rPr>
          <w:rFonts w:cs="Arial"/>
          <w:spacing w:val="2"/>
          <w:lang w:val="en-US"/>
        </w:rPr>
        <w:t xml:space="preserve"> (Figure 1) or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&gt; 100 km in a linear deployment with </w:t>
      </w:r>
      <w:r w:rsidRPr="00300699">
        <w:rPr>
          <w:rFonts w:cs="Arial"/>
          <w:spacing w:val="2"/>
          <w:lang w:val="en-US"/>
        </w:rPr>
        <w:t>ATG BS antenna pointing upwards</w:t>
      </w:r>
      <w:r>
        <w:rPr>
          <w:rFonts w:cs="Arial"/>
          <w:spacing w:val="2"/>
          <w:lang w:val="en-US"/>
        </w:rPr>
        <w:t xml:space="preserve"> (Figure 1). Finally,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&gt; 200*(2/3) km </w:t>
      </w:r>
      <w:r>
        <w:rPr>
          <w:spacing w:val="2"/>
          <w:lang w:val="en-US"/>
        </w:rPr>
        <w:t>&gt;</w:t>
      </w:r>
      <w:r>
        <w:rPr>
          <w:rFonts w:cs="Arial"/>
          <w:spacing w:val="2"/>
          <w:lang w:val="en-US"/>
        </w:rPr>
        <w:t xml:space="preserve"> 133 km for hexagonal deployment (Figure 3). The GP is dimensioned using RTT = 2* </w:t>
      </w:r>
      <w:r w:rsidRPr="007347DD">
        <w:rPr>
          <w:rFonts w:cs="Arial"/>
          <w:spacing w:val="2"/>
          <w:lang w:val="en-US"/>
        </w:rPr>
        <w:t>T</w:t>
      </w:r>
      <w:r w:rsidRPr="007347DD">
        <w:rPr>
          <w:rFonts w:cs="Arial"/>
          <w:spacing w:val="2"/>
          <w:vertAlign w:val="subscript"/>
          <w:lang w:val="en-US"/>
        </w:rPr>
        <w:t>prop_cell edge</w:t>
      </w:r>
      <w:r>
        <w:rPr>
          <w:rFonts w:cs="Arial"/>
          <w:spacing w:val="2"/>
          <w:vertAlign w:val="subscript"/>
          <w:lang w:val="en-US"/>
        </w:rPr>
        <w:t xml:space="preserve"> </w:t>
      </w:r>
      <w:r>
        <w:rPr>
          <w:rFonts w:cs="Arial"/>
          <w:spacing w:val="2"/>
          <w:lang w:val="en-US"/>
        </w:rPr>
        <w:t>for all cases.</w:t>
      </w:r>
    </w:p>
    <w:p w14:paraId="5FA7AA0F" w14:textId="40730619" w:rsidR="000D5920" w:rsidRPr="00C52C68" w:rsidRDefault="000D5920" w:rsidP="00D678EF">
      <w:pPr>
        <w:pStyle w:val="MyStyle"/>
      </w:pPr>
      <w:r w:rsidRPr="00C52C68">
        <w:rPr>
          <w:lang w:eastAsia="ja-JP"/>
        </w:rPr>
        <w:t xml:space="preserve">Observation </w:t>
      </w:r>
      <w:r w:rsidR="00875DFD">
        <w:rPr>
          <w:lang w:eastAsia="ja-JP"/>
        </w:rPr>
        <w:t>4</w:t>
      </w:r>
      <w:r w:rsidRPr="00C52C68">
        <w:rPr>
          <w:lang w:eastAsia="ja-JP"/>
        </w:rPr>
        <w:t xml:space="preserve">: </w:t>
      </w:r>
      <w:r w:rsidR="00D678EF">
        <w:rPr>
          <w:lang w:eastAsia="ja-JP"/>
        </w:rPr>
        <w:tab/>
      </w:r>
      <w:r w:rsidRPr="00C52C68">
        <w:rPr>
          <w:lang w:eastAsia="ja-JP"/>
        </w:rPr>
        <w:t>The Guard</w:t>
      </w:r>
      <w:r>
        <w:rPr>
          <w:lang w:eastAsia="ja-JP"/>
        </w:rPr>
        <w:t xml:space="preserve"> P</w:t>
      </w:r>
      <w:r w:rsidRPr="00C52C68">
        <w:rPr>
          <w:lang w:eastAsia="ja-JP"/>
        </w:rPr>
        <w:t xml:space="preserve">eriod, </w:t>
      </w:r>
      <w:r w:rsidRPr="00C52C68">
        <w:t>T</w:t>
      </w:r>
      <w:r w:rsidRPr="00C52C68">
        <w:rPr>
          <w:vertAlign w:val="subscript"/>
        </w:rPr>
        <w:t>GUARD</w:t>
      </w:r>
      <w:r>
        <w:t xml:space="preserve"> &gt; 1.33 ms for a cell radius of 200 km.</w:t>
      </w:r>
    </w:p>
    <w:p w14:paraId="3E33E0FC" w14:textId="77777777" w:rsidR="000D5920" w:rsidRDefault="000D5920" w:rsidP="000D5920">
      <w:pPr>
        <w:pStyle w:val="Heading2"/>
        <w:rPr>
          <w:lang w:val="en-US"/>
        </w:rPr>
      </w:pPr>
      <w:r>
        <w:rPr>
          <w:lang w:val="en-US"/>
        </w:rPr>
        <w:t>2.1.2 Large TDD cells</w:t>
      </w:r>
    </w:p>
    <w:p w14:paraId="674AEDB9" w14:textId="77777777" w:rsidR="000D5920" w:rsidRPr="00AA6D53" w:rsidRDefault="000D5920" w:rsidP="000D5920">
      <w:pPr>
        <w:rPr>
          <w:lang w:val="en-US"/>
        </w:rPr>
      </w:pPr>
      <w:r>
        <w:rPr>
          <w:lang w:val="en-US"/>
        </w:rPr>
        <w:t xml:space="preserve">The Guard Period in TDD normally has to consider the </w:t>
      </w:r>
      <w:r>
        <w:rPr>
          <w:rFonts w:cs="Arial"/>
          <w:spacing w:val="2"/>
          <w:lang w:val="en-US"/>
        </w:rPr>
        <w:t xml:space="preserve">RTT = 2* </w:t>
      </w:r>
      <w:r w:rsidRPr="007347DD">
        <w:rPr>
          <w:rFonts w:cs="Arial"/>
          <w:spacing w:val="2"/>
          <w:lang w:val="en-US"/>
        </w:rPr>
        <w:t>T</w:t>
      </w:r>
      <w:r w:rsidRPr="007347DD">
        <w:rPr>
          <w:rFonts w:cs="Arial"/>
          <w:spacing w:val="2"/>
          <w:vertAlign w:val="subscript"/>
          <w:lang w:val="en-US"/>
        </w:rPr>
        <w:t>prop_cell edge</w:t>
      </w:r>
      <w:r>
        <w:rPr>
          <w:rFonts w:cs="Arial"/>
          <w:spacing w:val="2"/>
          <w:vertAlign w:val="subscript"/>
          <w:lang w:val="en-US"/>
        </w:rPr>
        <w:t xml:space="preserve"> </w:t>
      </w:r>
      <w:r>
        <w:rPr>
          <w:rFonts w:cs="Arial"/>
          <w:spacing w:val="2"/>
          <w:lang w:val="en-US"/>
        </w:rPr>
        <w:t>to make room for the UE moving UL transmission time, to an earlier point in time, based on DL timing reference and TA command, when it moves further away from the BS.</w:t>
      </w:r>
      <w:r>
        <w:rPr>
          <w:lang w:val="en-US"/>
        </w:rPr>
        <w:t xml:space="preserve"> This means that we have to set aside a Guard Period (GP) each time we switch from DL to UL. This is shown in Figure 4.</w:t>
      </w:r>
    </w:p>
    <w:p w14:paraId="408ECBAB" w14:textId="77777777" w:rsidR="000D5920" w:rsidRDefault="000D5920" w:rsidP="000D5920">
      <w:pPr>
        <w:rPr>
          <w:lang w:val="en-US"/>
        </w:rPr>
      </w:pPr>
      <w:r>
        <w:rPr>
          <w:noProof/>
          <w:lang w:val="en-US"/>
        </w:rPr>
        <w:drawing>
          <wp:inline distT="0" distB="0" distL="0" distR="0" wp14:anchorId="509382BF" wp14:editId="460BBEFD">
            <wp:extent cx="4992370" cy="2044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067" cy="2049311"/>
                    </a:xfrm>
                    <a:prstGeom prst="rect">
                      <a:avLst/>
                    </a:prstGeom>
                    <a:noFill/>
                  </pic:spPr>
                </pic:pic>
              </a:graphicData>
            </a:graphic>
          </wp:inline>
        </w:drawing>
      </w:r>
    </w:p>
    <w:p w14:paraId="41282375" w14:textId="77777777" w:rsidR="000D5920" w:rsidRPr="000E1789" w:rsidRDefault="000D5920" w:rsidP="000D5920">
      <w:pPr>
        <w:pStyle w:val="TF"/>
      </w:pPr>
      <w:r>
        <w:t>Figure 4: Guard Period in TDD cells</w:t>
      </w:r>
    </w:p>
    <w:p w14:paraId="3BE50C28" w14:textId="65E27EE6" w:rsidR="000D5920" w:rsidRDefault="000D5920" w:rsidP="00D678EF">
      <w:pPr>
        <w:pStyle w:val="MyStyle"/>
        <w:rPr>
          <w:lang w:eastAsia="ja-JP"/>
        </w:rPr>
      </w:pPr>
      <w:r w:rsidRPr="00C52C68">
        <w:rPr>
          <w:lang w:eastAsia="ja-JP"/>
        </w:rPr>
        <w:t xml:space="preserve">Observation </w:t>
      </w:r>
      <w:r w:rsidR="00875DFD">
        <w:rPr>
          <w:lang w:eastAsia="ja-JP"/>
        </w:rPr>
        <w:t>5</w:t>
      </w:r>
      <w:r w:rsidRPr="00C52C68">
        <w:rPr>
          <w:lang w:eastAsia="ja-JP"/>
        </w:rPr>
        <w:t>:</w:t>
      </w:r>
      <w:r>
        <w:rPr>
          <w:lang w:eastAsia="ja-JP"/>
        </w:rPr>
        <w:t xml:space="preserve"> </w:t>
      </w:r>
      <w:r w:rsidR="00D678EF">
        <w:rPr>
          <w:lang w:eastAsia="ja-JP"/>
        </w:rPr>
        <w:tab/>
      </w:r>
      <w:r>
        <w:rPr>
          <w:lang w:eastAsia="ja-JP"/>
        </w:rPr>
        <w:t>Large TDD cells are inefficient due to large GP, if we switch often.</w:t>
      </w:r>
    </w:p>
    <w:p w14:paraId="5D102D67" w14:textId="77777777" w:rsidR="000D5920" w:rsidRDefault="000D5920" w:rsidP="000D5920">
      <w:pPr>
        <w:rPr>
          <w:lang w:val="en-US"/>
        </w:rPr>
      </w:pPr>
      <w:r>
        <w:rPr>
          <w:lang w:val="en-US"/>
        </w:rPr>
        <w:t>TDD networks are nominally all synchronized to the same source and carry the same UL/DL configuration and periodicity. This is an issue for a TDD network with large cells, coexisting with a network with normal to small cells.</w:t>
      </w:r>
    </w:p>
    <w:p w14:paraId="50AA9E36" w14:textId="522F446C" w:rsidR="000D5920" w:rsidRDefault="000D5920" w:rsidP="00D678EF">
      <w:pPr>
        <w:pStyle w:val="MyStyle"/>
        <w:rPr>
          <w:lang w:eastAsia="ja-JP"/>
        </w:rPr>
      </w:pPr>
      <w:r>
        <w:rPr>
          <w:lang w:eastAsia="ja-JP"/>
        </w:rPr>
        <w:lastRenderedPageBreak/>
        <w:t xml:space="preserve">Observation </w:t>
      </w:r>
      <w:r w:rsidR="00875DFD">
        <w:rPr>
          <w:lang w:eastAsia="ja-JP"/>
        </w:rPr>
        <w:t>6</w:t>
      </w:r>
      <w:r>
        <w:rPr>
          <w:lang w:eastAsia="ja-JP"/>
        </w:rPr>
        <w:t xml:space="preserve">: </w:t>
      </w:r>
      <w:r w:rsidR="00D678EF">
        <w:rPr>
          <w:lang w:eastAsia="ja-JP"/>
        </w:rPr>
        <w:tab/>
      </w:r>
      <w:r>
        <w:rPr>
          <w:lang w:eastAsia="ja-JP"/>
        </w:rPr>
        <w:t>The largest cell radius will define the GP for all TDD cells and UL/DL configuration has to be the same for all coexisting (overlapping) TDD networks.</w:t>
      </w:r>
    </w:p>
    <w:p w14:paraId="3C8456A2" w14:textId="77777777" w:rsidR="000D5920" w:rsidRDefault="000D5920" w:rsidP="000D5920">
      <w:pPr>
        <w:pStyle w:val="Heading2"/>
        <w:rPr>
          <w:lang w:val="en-US"/>
        </w:rPr>
      </w:pPr>
      <w:r>
        <w:rPr>
          <w:lang w:val="en-US"/>
        </w:rPr>
        <w:t>2.1.3 Large ATG cells and potential remedies</w:t>
      </w:r>
    </w:p>
    <w:p w14:paraId="3BFC5699" w14:textId="77777777" w:rsidR="000D5920" w:rsidRDefault="000D5920" w:rsidP="000D5920">
      <w:pPr>
        <w:rPr>
          <w:lang w:val="en-US"/>
        </w:rPr>
      </w:pPr>
      <w:r>
        <w:rPr>
          <w:lang w:val="en-US"/>
        </w:rPr>
        <w:t>Potential remedies to solve the fact that we have large GP for large TDD cells and that this GP has to be the same across coexisting networks include:</w:t>
      </w:r>
    </w:p>
    <w:p w14:paraId="5A930BF0" w14:textId="77777777" w:rsidR="000D5920" w:rsidRPr="00273DDD" w:rsidRDefault="000D5920" w:rsidP="000D5920">
      <w:pPr>
        <w:numPr>
          <w:ilvl w:val="0"/>
          <w:numId w:val="8"/>
        </w:numPr>
        <w:rPr>
          <w:lang w:val="en-US"/>
        </w:rPr>
      </w:pPr>
      <w:r>
        <w:rPr>
          <w:lang w:val="en-US"/>
        </w:rPr>
        <w:t xml:space="preserve">FDD: An </w:t>
      </w:r>
      <w:r w:rsidRPr="00273DDD">
        <w:rPr>
          <w:lang w:val="en-US"/>
        </w:rPr>
        <w:t>FDD</w:t>
      </w:r>
      <w:r>
        <w:rPr>
          <w:lang w:val="en-US"/>
        </w:rPr>
        <w:t>-network</w:t>
      </w:r>
      <w:r w:rsidRPr="00273DDD">
        <w:rPr>
          <w:lang w:val="en-US"/>
        </w:rPr>
        <w:t xml:space="preserve"> </w:t>
      </w:r>
      <w:r>
        <w:rPr>
          <w:lang w:val="en-US"/>
        </w:rPr>
        <w:t xml:space="preserve">will always avoid the need for GP altogether. FDD is full duplex at the expense of separate UL and DL bands. This will not solve issue for TDD band like ATG WID model band in </w:t>
      </w:r>
      <w:r w:rsidRPr="00A56A48">
        <w:rPr>
          <w:lang w:val="en-US"/>
        </w:rPr>
        <w:t>4.8</w:t>
      </w:r>
      <w:r>
        <w:rPr>
          <w:lang w:val="en-US"/>
        </w:rPr>
        <w:t xml:space="preserve"> </w:t>
      </w:r>
      <w:r w:rsidRPr="00A56A48">
        <w:rPr>
          <w:lang w:val="en-US"/>
        </w:rPr>
        <w:t>GHz</w:t>
      </w:r>
      <w:r>
        <w:rPr>
          <w:lang w:val="en-US"/>
        </w:rPr>
        <w:t>.</w:t>
      </w:r>
    </w:p>
    <w:p w14:paraId="563DE6A7" w14:textId="77777777" w:rsidR="000D5920" w:rsidRPr="00273DDD" w:rsidRDefault="000D5920" w:rsidP="000D5920">
      <w:pPr>
        <w:numPr>
          <w:ilvl w:val="0"/>
          <w:numId w:val="8"/>
        </w:numPr>
        <w:rPr>
          <w:lang w:val="en-US"/>
        </w:rPr>
      </w:pPr>
      <w:r w:rsidRPr="00273DDD">
        <w:rPr>
          <w:lang w:val="en-US"/>
        </w:rPr>
        <w:t xml:space="preserve">TDD ATG </w:t>
      </w:r>
      <w:r>
        <w:rPr>
          <w:lang w:val="en-US"/>
        </w:rPr>
        <w:t>stand alone: A stand-alone ATG network which does not coexist can switch UL and DL direction less often. If we switch infrequently, then the large GP overhead is not so large, on average. However, we will lose latency due to infrequent TDD switching.</w:t>
      </w:r>
    </w:p>
    <w:p w14:paraId="1FC68729" w14:textId="77777777" w:rsidR="000D5920" w:rsidRDefault="000D5920" w:rsidP="000D5920">
      <w:pPr>
        <w:numPr>
          <w:ilvl w:val="0"/>
          <w:numId w:val="8"/>
        </w:numPr>
        <w:rPr>
          <w:lang w:val="en-US"/>
        </w:rPr>
      </w:pPr>
      <w:r>
        <w:rPr>
          <w:lang w:val="en-US"/>
        </w:rPr>
        <w:t>TDD ATG coexisting with regular terrestrial (TN) TDD: ATG TDD and TN TDD synchronize to common source and coordinate UL and DL configurations and the ATG TDD network surrender DL slots (x) to the TN TDD network:</w:t>
      </w:r>
    </w:p>
    <w:p w14:paraId="1E3BF85A" w14:textId="77777777" w:rsidR="000D5920" w:rsidRPr="00FF1224" w:rsidRDefault="000D5920" w:rsidP="000D5920">
      <w:pPr>
        <w:ind w:left="852"/>
        <w:rPr>
          <w:sz w:val="18"/>
          <w:szCs w:val="18"/>
          <w:lang w:val="en-US"/>
        </w:rPr>
      </w:pPr>
      <w:r>
        <w:rPr>
          <w:sz w:val="18"/>
          <w:szCs w:val="18"/>
          <w:lang w:val="en-US"/>
        </w:rPr>
        <w:t xml:space="preserve">ATG: </w:t>
      </w:r>
      <w:r w:rsidRPr="00FF1224">
        <w:rPr>
          <w:sz w:val="18"/>
          <w:szCs w:val="18"/>
          <w:lang w:val="en-US"/>
        </w:rPr>
        <w:t>DDDDDDDDDDxxxDDDDDDDDDDxxxDDDDDDDDDDxxxDDDDDDDDDDssssssssssUDDDDDDDDDDxxx</w:t>
      </w:r>
      <w:r>
        <w:rPr>
          <w:sz w:val="18"/>
          <w:szCs w:val="18"/>
          <w:lang w:val="en-US"/>
        </w:rPr>
        <w:br/>
        <w:t>TN:    DDDDDDDDDDuuuDDDDDDDDDDuuuDDDDDDDDDDuuuDDDDDDDDDDssssssssssUDDDDDDDDDDuuu</w:t>
      </w:r>
    </w:p>
    <w:p w14:paraId="7DB360F8" w14:textId="77777777" w:rsidR="000D5920" w:rsidRDefault="000D5920" w:rsidP="000D5920">
      <w:pPr>
        <w:numPr>
          <w:ilvl w:val="0"/>
          <w:numId w:val="8"/>
        </w:numPr>
        <w:rPr>
          <w:lang w:val="en-US"/>
        </w:rPr>
      </w:pPr>
      <w:r>
        <w:rPr>
          <w:lang w:val="en-US"/>
        </w:rPr>
        <w:t xml:space="preserve">UE TDD Full Duplex: If </w:t>
      </w:r>
      <w:r w:rsidRPr="00452AF0">
        <w:rPr>
          <w:lang w:val="en-US"/>
        </w:rPr>
        <w:t>T</w:t>
      </w:r>
      <w:r w:rsidRPr="00452AF0">
        <w:rPr>
          <w:vertAlign w:val="subscript"/>
          <w:lang w:val="en-US"/>
        </w:rPr>
        <w:t>GUARD</w:t>
      </w:r>
      <w:r w:rsidRPr="00273DDD">
        <w:rPr>
          <w:lang w:val="en-US"/>
        </w:rPr>
        <w:t xml:space="preserve"> </w:t>
      </w:r>
      <w:r>
        <w:rPr>
          <w:lang w:val="en-US"/>
        </w:rPr>
        <w:t xml:space="preserve">is deliberately under dimensioned then UE </w:t>
      </w:r>
      <w:r w:rsidRPr="00273DDD">
        <w:rPr>
          <w:lang w:val="en-US"/>
        </w:rPr>
        <w:t>DL</w:t>
      </w:r>
      <w:r>
        <w:rPr>
          <w:lang w:val="en-US"/>
        </w:rPr>
        <w:t xml:space="preserve"> (RX)</w:t>
      </w:r>
      <w:r w:rsidRPr="00273DDD">
        <w:rPr>
          <w:lang w:val="en-US"/>
        </w:rPr>
        <w:t xml:space="preserve"> and</w:t>
      </w:r>
      <w:r>
        <w:rPr>
          <w:lang w:val="en-US"/>
        </w:rPr>
        <w:t xml:space="preserve"> UE </w:t>
      </w:r>
      <w:r w:rsidRPr="00273DDD">
        <w:rPr>
          <w:lang w:val="en-US"/>
        </w:rPr>
        <w:t>UL</w:t>
      </w:r>
      <w:r>
        <w:rPr>
          <w:lang w:val="en-US"/>
        </w:rPr>
        <w:t xml:space="preserve"> (TX) will meet in time, occasionally. This is a complex arrangement, even if an aircraft fuselage might offer some possible TDD TX and RX isolation. This is shown in Figure 5.</w:t>
      </w:r>
    </w:p>
    <w:p w14:paraId="659C06D9" w14:textId="77777777" w:rsidR="000D5920" w:rsidRDefault="000D5920" w:rsidP="000D5920">
      <w:pPr>
        <w:ind w:left="360"/>
        <w:rPr>
          <w:lang w:val="en-US"/>
        </w:rPr>
      </w:pPr>
      <w:r>
        <w:rPr>
          <w:noProof/>
          <w:lang w:val="en-US"/>
        </w:rPr>
        <w:drawing>
          <wp:inline distT="0" distB="0" distL="0" distR="0" wp14:anchorId="4BAAD570" wp14:editId="73CB083F">
            <wp:extent cx="6233478" cy="27407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48732" cy="2747453"/>
                    </a:xfrm>
                    <a:prstGeom prst="rect">
                      <a:avLst/>
                    </a:prstGeom>
                    <a:noFill/>
                  </pic:spPr>
                </pic:pic>
              </a:graphicData>
            </a:graphic>
          </wp:inline>
        </w:drawing>
      </w:r>
    </w:p>
    <w:p w14:paraId="2DBF9D4E" w14:textId="77777777" w:rsidR="000D5920" w:rsidRDefault="000D5920" w:rsidP="000D5920">
      <w:pPr>
        <w:pStyle w:val="TF"/>
      </w:pPr>
      <w:r>
        <w:t>Figure 5: Under dimensioned Guard Period in TDD cells</w:t>
      </w:r>
    </w:p>
    <w:p w14:paraId="1D78CFA6" w14:textId="77777777" w:rsidR="000D5920" w:rsidRDefault="000D5920" w:rsidP="000D5920">
      <w:pPr>
        <w:pStyle w:val="Heading3"/>
      </w:pPr>
      <w:r>
        <w:t>2.1.4</w:t>
      </w:r>
      <w:r>
        <w:tab/>
        <w:t>R</w:t>
      </w:r>
      <w:r w:rsidRPr="002330DB">
        <w:t>eduction of the overhead of the guard period</w:t>
      </w:r>
    </w:p>
    <w:p w14:paraId="3EC2E7F9" w14:textId="3FEE0179" w:rsidR="000D5920" w:rsidRDefault="000D5920" w:rsidP="000D5920">
      <w:r>
        <w:t xml:space="preserve">Consider an example of a 300 km ATG cell as a baseline scenario. The </w:t>
      </w:r>
      <w:r w:rsidR="008D26D6">
        <w:t>round-trip</w:t>
      </w:r>
      <w:r>
        <w:t xml:space="preserve"> time is 2msec. The TDD frame is organized as 10</w:t>
      </w:r>
      <w:r w:rsidR="00AE36CF">
        <w:t xml:space="preserve"> slots of</w:t>
      </w:r>
      <w:r>
        <w:t xml:space="preserve"> 0.5msec </w:t>
      </w:r>
      <w:r w:rsidR="00AE36CF">
        <w:t xml:space="preserve">each, </w:t>
      </w:r>
      <w:r>
        <w:t>number</w:t>
      </w:r>
      <w:r w:rsidR="00AE36CF">
        <w:t>ed from</w:t>
      </w:r>
      <w:r>
        <w:t xml:space="preserve"> 1</w:t>
      </w:r>
      <w:r w:rsidR="00AE36CF">
        <w:t xml:space="preserve"> to</w:t>
      </w:r>
      <w:r>
        <w:t>10, for SCS = 30 kHz. Slots 1-7 should be downlink slots, slot 8 a “special” slot (with most symbols configured for downlink) and slots 9 and 10 are allocated for uplink.</w:t>
      </w:r>
    </w:p>
    <w:p w14:paraId="564A1F09" w14:textId="77777777" w:rsidR="000D5920" w:rsidRDefault="000D5920" w:rsidP="000D5920">
      <w:r>
        <w:t>Due to the propagation time to the cell edge, the gNB needs to allocate slots 5, 6, 7 and 8 as a guard period, for this SCS = 30 kHz example. However, all SCS is possible, i.e., 15, 20, 60, 120, 240, 480 and 960 kHz and differs only by scaling the number of slots based on example considered here.</w:t>
      </w:r>
    </w:p>
    <w:p w14:paraId="74958577" w14:textId="77777777" w:rsidR="000D5920" w:rsidRDefault="000D5920" w:rsidP="000D5920">
      <w:r>
        <w:t xml:space="preserve">The TDD structure from the UE perspective is as depicted in the figure 6. The UL begins to receive the downlink part of each frame with 2 slots, or 1msec delay. In order that the UE UL transmission arrives at the gNB at the correct time, </w:t>
      </w:r>
      <w:r>
        <w:lastRenderedPageBreak/>
        <w:t>the UE needs to switch to UL after receiving DL slot 4. After transmitting the two UL slots, at the UE the timing is such that slots 7 and 8, which are guard slots occur. Following the guard slots, the following two slots, marked as “X” in the figure are slots in which the UE does not receive any data because they correspond to the slots during which the gNB received the UL transmission, delayed by 1msec.</w:t>
      </w:r>
    </w:p>
    <w:p w14:paraId="272E2755" w14:textId="77777777" w:rsidR="000D5920" w:rsidRDefault="000D5920" w:rsidP="000D5920">
      <w:r>
        <w:rPr>
          <w:noProof/>
        </w:rPr>
        <w:drawing>
          <wp:inline distT="0" distB="0" distL="0" distR="0" wp14:anchorId="4F083B91" wp14:editId="09E20C0F">
            <wp:extent cx="5377180" cy="20605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30A7C085" w14:textId="77777777" w:rsidR="000D5920" w:rsidRDefault="000D5920" w:rsidP="000D5920">
      <w:pPr>
        <w:pStyle w:val="TF"/>
      </w:pPr>
      <w:r>
        <w:t xml:space="preserve">Figure 6: Large TDD cell with large GP. </w:t>
      </w:r>
    </w:p>
    <w:p w14:paraId="2E918396" w14:textId="52A289C8" w:rsidR="000D5920" w:rsidRDefault="000D5920" w:rsidP="000D5920">
      <w:r>
        <w:t>If the gNB receives information on the propagation delay to the UE</w:t>
      </w:r>
      <w:r w:rsidR="00774170">
        <w:t>,</w:t>
      </w:r>
      <w:r>
        <w:t xml:space="preserve"> </w:t>
      </w:r>
      <w:r w:rsidR="00774170">
        <w:t>t</w:t>
      </w:r>
      <w:r>
        <w:t>he gNB allocates a guard period starting at twice the propagation delay (i.e., the RTT) earlier than the UL period for a duration equal to the UL period. However, immediately after this guard period, the gNB resumes transmitting DL data to the UE until the UL period commences.</w:t>
      </w:r>
    </w:p>
    <w:p w14:paraId="1F71E018" w14:textId="77777777" w:rsidR="000D5920" w:rsidRDefault="000D5920" w:rsidP="000D5920">
      <w:r>
        <w:t>At the UE, the UE is configured such that it applies timing advance to the UL signal (as usual) and then assumes that DL data can commence immediately after it has finished transmitting UL. This is shown in figure 7.</w:t>
      </w:r>
    </w:p>
    <w:p w14:paraId="6EAEC0F2" w14:textId="77777777" w:rsidR="000D5920" w:rsidRDefault="000D5920" w:rsidP="000D5920">
      <w:r>
        <w:t xml:space="preserve">In this way, </w:t>
      </w:r>
      <w:bookmarkStart w:id="10" w:name="_Hlk127540529"/>
      <w:r>
        <w:t xml:space="preserve">half of the guard period slots can be removed. </w:t>
      </w:r>
      <w:bookmarkEnd w:id="10"/>
      <w:r>
        <w:t>From the UE perspective, there is no guard period, however there are two slots within which the UE does not receive downlink (due to no DL transmission during those slots because of UL reception at the gNB).</w:t>
      </w:r>
    </w:p>
    <w:p w14:paraId="412D0803" w14:textId="77777777" w:rsidR="000D5920" w:rsidRDefault="000D5920" w:rsidP="000D5920">
      <w:r>
        <w:rPr>
          <w:noProof/>
        </w:rPr>
        <w:drawing>
          <wp:inline distT="0" distB="0" distL="0" distR="0" wp14:anchorId="3FF561E2" wp14:editId="43B8EB0D">
            <wp:extent cx="5377180" cy="20605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77993DEB" w14:textId="77777777" w:rsidR="000D5920" w:rsidRDefault="000D5920" w:rsidP="000D5920">
      <w:pPr>
        <w:pStyle w:val="TF"/>
      </w:pPr>
      <w:r>
        <w:t xml:space="preserve">Figure 7: Large TDD cell with large GP reduced by a factor of 2, ATG UE far away. </w:t>
      </w:r>
    </w:p>
    <w:p w14:paraId="4CE9509D" w14:textId="0A10CADC" w:rsidR="000D5920" w:rsidRDefault="000D5920" w:rsidP="000D5920">
      <w:r>
        <w:t xml:space="preserve">If the cell size is 300 km, but the ATG UE is located at a distance of 150 km from the gNB. The propagation time is 0.5msec or 1 slot. This is shown in figure 8. The gNB is made aware that the propagation time is 0.5 msec. The gNB provides a guard period equal to the propagation time of 0.5msec at 2 slots, or one RTT prior to the UL slots at the gNB, </w:t>
      </w:r>
      <w:r w:rsidR="00BF2120">
        <w:t>i.e.,</w:t>
      </w:r>
      <w:r>
        <w:t xml:space="preserve"> in slot 7. This is as before, in first example, but scaled to smaller RTT. Due to the fact that the UL is 2 slots in duration, the gNB cannot transmit to the UE in slot 8 because, after propagation delay, the UE will still be transmitting UL during that time.</w:t>
      </w:r>
    </w:p>
    <w:p w14:paraId="2DC674C6" w14:textId="77777777" w:rsidR="000D5920" w:rsidRDefault="000D5920" w:rsidP="000D5920">
      <w:r>
        <w:t>From the UE perspective, the UE receives the first 6 DL slots and then switches to UL. After transmitting UL, the UE is does not receive any DL in the following 2 slots, as these slots correspond to the time at which the gNB was receiving the UL signal.</w:t>
      </w:r>
    </w:p>
    <w:p w14:paraId="317A8C53" w14:textId="77777777" w:rsidR="000D5920" w:rsidRDefault="000D5920" w:rsidP="000D5920"/>
    <w:p w14:paraId="45660F10" w14:textId="77777777" w:rsidR="000D5920" w:rsidRDefault="000D5920" w:rsidP="000D5920">
      <w:r>
        <w:rPr>
          <w:noProof/>
        </w:rPr>
        <w:lastRenderedPageBreak/>
        <w:drawing>
          <wp:inline distT="0" distB="0" distL="0" distR="0" wp14:anchorId="281E244C" wp14:editId="27633188">
            <wp:extent cx="5377180" cy="2060575"/>
            <wp:effectExtent l="0" t="0" r="0" b="0"/>
            <wp:docPr id="305580800" name="Picture 30558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775CBA84" w14:textId="77777777" w:rsidR="000D5920" w:rsidRPr="00BA0236" w:rsidRDefault="000D5920" w:rsidP="000D5920">
      <w:pPr>
        <w:pStyle w:val="TF"/>
      </w:pPr>
      <w:r>
        <w:t xml:space="preserve">Figure 8: Large TDD cell with large GP reduced by a factor of 2. ATG UE closer. </w:t>
      </w:r>
    </w:p>
    <w:p w14:paraId="3B6C54C3" w14:textId="4391A6DA" w:rsidR="000D5920" w:rsidRDefault="000D5920" w:rsidP="000D5920">
      <w:r>
        <w:t xml:space="preserve">If the UE is located at 75 km from the gNB. The propagation time is now 0.25 msec, or half of one slot. This is shown in figure </w:t>
      </w:r>
      <w:r w:rsidR="00905991">
        <w:t>9</w:t>
      </w:r>
      <w:r>
        <w:t>.</w:t>
      </w:r>
    </w:p>
    <w:p w14:paraId="45FC8B97" w14:textId="77777777" w:rsidR="000D5920" w:rsidRDefault="000D5920" w:rsidP="000D5920">
      <w:r>
        <w:t>The gNB transmits DL for slots 1-7. A half slot guard period, again equal to the propagation time in slots, is inserted at 1 RTT = 0.5 msec (1 slot) prior to the UL period at the start of slot 8. The gNB cannot transmit during the remainder of slot 8 because the DL transmission would overlap with the UE UL transmission.</w:t>
      </w:r>
    </w:p>
    <w:p w14:paraId="0483F607" w14:textId="77777777" w:rsidR="000D5920" w:rsidRDefault="000D5920" w:rsidP="000D5920">
      <w:r>
        <w:t xml:space="preserve">From the UE perspective, the UE receives the first 7 DL slots and then switches to UL. After the UL slots, the UE does not receive anything for 1 </w:t>
      </w:r>
      <w:proofErr w:type="gramStart"/>
      <w:r>
        <w:t>slot, since</w:t>
      </w:r>
      <w:proofErr w:type="gramEnd"/>
      <w:r>
        <w:t xml:space="preserve"> this slot corresponds to the second UL slot reception at the gNB.</w:t>
      </w:r>
    </w:p>
    <w:p w14:paraId="558219AC" w14:textId="77777777" w:rsidR="000D5920" w:rsidRDefault="000D5920" w:rsidP="000D5920">
      <w:r>
        <w:rPr>
          <w:noProof/>
        </w:rPr>
        <w:drawing>
          <wp:inline distT="0" distB="0" distL="0" distR="0" wp14:anchorId="236FF18B" wp14:editId="189231BF">
            <wp:extent cx="5377180" cy="2060575"/>
            <wp:effectExtent l="0" t="0" r="0" b="0"/>
            <wp:docPr id="305580802" name="Picture 30558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7180" cy="2060575"/>
                    </a:xfrm>
                    <a:prstGeom prst="rect">
                      <a:avLst/>
                    </a:prstGeom>
                    <a:noFill/>
                  </pic:spPr>
                </pic:pic>
              </a:graphicData>
            </a:graphic>
          </wp:inline>
        </w:drawing>
      </w:r>
    </w:p>
    <w:p w14:paraId="7B1FBEFC" w14:textId="77777777" w:rsidR="000D5920" w:rsidRPr="00254B21" w:rsidRDefault="000D5920" w:rsidP="000D5920">
      <w:pPr>
        <w:pStyle w:val="TF"/>
      </w:pPr>
      <w:r>
        <w:t xml:space="preserve">Figure 9: Large TDD cell with large GP reduced by a factor of 2. ATG UE even closer. </w:t>
      </w:r>
    </w:p>
    <w:p w14:paraId="510D98DF" w14:textId="12F34964" w:rsidR="00045B69" w:rsidRPr="006549FD" w:rsidRDefault="000D5920" w:rsidP="0060754F">
      <w:pPr>
        <w:pStyle w:val="MyStyle"/>
      </w:pPr>
      <w:r>
        <w:rPr>
          <w:lang w:eastAsia="ja-JP"/>
        </w:rPr>
        <w:t xml:space="preserve">Observation </w:t>
      </w:r>
      <w:r w:rsidR="006549FD">
        <w:rPr>
          <w:lang w:eastAsia="ja-JP"/>
        </w:rPr>
        <w:t>7</w:t>
      </w:r>
      <w:r>
        <w:rPr>
          <w:lang w:eastAsia="ja-JP"/>
        </w:rPr>
        <w:t xml:space="preserve">: </w:t>
      </w:r>
      <w:r w:rsidR="0060754F">
        <w:rPr>
          <w:lang w:eastAsia="ja-JP"/>
        </w:rPr>
        <w:tab/>
      </w:r>
      <w:r w:rsidRPr="001672DF">
        <w:rPr>
          <w:lang w:eastAsia="ja-JP"/>
        </w:rPr>
        <w:t>If the gNB receives information on the propagation delay to the UE</w:t>
      </w:r>
      <w:r>
        <w:rPr>
          <w:lang w:eastAsia="ja-JP"/>
        </w:rPr>
        <w:t xml:space="preserve">, then </w:t>
      </w:r>
      <w:r w:rsidRPr="00236E2C">
        <w:rPr>
          <w:lang w:eastAsia="ja-JP"/>
        </w:rPr>
        <w:t>at least half of the GP could be removed</w:t>
      </w:r>
      <w:r w:rsidRPr="005C45A2">
        <w:rPr>
          <w:lang w:eastAsia="ja-JP"/>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4FDE774B" w14:textId="1DCC410B" w:rsidR="006549FD" w:rsidRPr="00481CEC" w:rsidRDefault="006549FD" w:rsidP="0060754F">
      <w:pPr>
        <w:pStyle w:val="MyStyle"/>
      </w:pPr>
      <w:r w:rsidRPr="00481CEC">
        <w:t xml:space="preserve">Observation 1: </w:t>
      </w:r>
      <w:r w:rsidR="0060754F">
        <w:tab/>
      </w:r>
      <w:r w:rsidRPr="00481CEC">
        <w:t>The NTN standard from 3GPP release-17 gives the most flexible and general standard fulfilling the maximum range for any deployment.</w:t>
      </w:r>
    </w:p>
    <w:p w14:paraId="249346B3" w14:textId="3FE80F46" w:rsidR="006549FD" w:rsidRDefault="006549FD" w:rsidP="0060754F">
      <w:pPr>
        <w:pStyle w:val="MyStyle"/>
      </w:pPr>
      <w:r w:rsidRPr="00481CEC">
        <w:t xml:space="preserve">Proposal 1: </w:t>
      </w:r>
      <w:r w:rsidR="0060754F">
        <w:tab/>
      </w:r>
      <w:r w:rsidRPr="00481CEC">
        <w:t>Introduce UE based Timing pre-compensation UE based timing pre compensation using the NTN standard.</w:t>
      </w:r>
    </w:p>
    <w:p w14:paraId="7A259C57" w14:textId="449EC6D2" w:rsidR="006549FD" w:rsidRDefault="006549FD" w:rsidP="0060754F">
      <w:pPr>
        <w:pStyle w:val="MyStyle"/>
      </w:pPr>
      <w:r w:rsidRPr="00152B7D">
        <w:t xml:space="preserve">Proposal 2: </w:t>
      </w:r>
      <w:r w:rsidR="0060754F">
        <w:tab/>
      </w:r>
      <w:r w:rsidRPr="00152B7D">
        <w:t>The Network is expected to provide location information to assist UE-based timing pre-compensation for ATG network using SIB19, or a new SIB which may be a subset of SIB19.</w:t>
      </w:r>
    </w:p>
    <w:p w14:paraId="34B42718" w14:textId="1A3E50B1" w:rsidR="006549FD" w:rsidRPr="002C1B0E" w:rsidRDefault="006549FD" w:rsidP="0060754F">
      <w:pPr>
        <w:pStyle w:val="MyStyle"/>
      </w:pPr>
      <w:r w:rsidRPr="002C1B0E">
        <w:t xml:space="preserve">Proposal </w:t>
      </w:r>
      <w:r>
        <w:t>3</w:t>
      </w:r>
      <w:r w:rsidRPr="002C1B0E">
        <w:t>:</w:t>
      </w:r>
      <w:r>
        <w:t xml:space="preserve"> </w:t>
      </w:r>
      <w:r w:rsidR="0060754F">
        <w:tab/>
      </w:r>
      <w:r>
        <w:t>A</w:t>
      </w:r>
      <w:r w:rsidRPr="002C1B0E">
        <w:t>llowed UE position error is 50 m</w:t>
      </w:r>
      <w:r>
        <w:t xml:space="preserve"> and allowed aircraft position error is 30 meters.</w:t>
      </w:r>
    </w:p>
    <w:p w14:paraId="0AF70A08" w14:textId="63AA4714" w:rsidR="006C576D" w:rsidRPr="00E5384A" w:rsidRDefault="006C576D" w:rsidP="0060754F">
      <w:pPr>
        <w:pStyle w:val="MyStyle"/>
      </w:pPr>
      <w:r w:rsidRPr="00E5384A">
        <w:t xml:space="preserve">Observation 2: </w:t>
      </w:r>
      <w:r w:rsidR="0060754F">
        <w:tab/>
      </w:r>
      <w:r w:rsidRPr="00E5384A">
        <w:t>Time drift due to UE movement will be compensated by N</w:t>
      </w:r>
      <w:r w:rsidRPr="00E5384A">
        <w:rPr>
          <w:vertAlign w:val="subscript"/>
        </w:rPr>
        <w:t>TA,UE-specific</w:t>
      </w:r>
      <w:r>
        <w:t>.</w:t>
      </w:r>
    </w:p>
    <w:p w14:paraId="68B78641" w14:textId="1675ADA0" w:rsidR="00644129" w:rsidRDefault="00644129" w:rsidP="0060754F">
      <w:pPr>
        <w:pStyle w:val="MyStyle"/>
      </w:pPr>
      <w:r>
        <w:lastRenderedPageBreak/>
        <w:t xml:space="preserve">Proposal 4: </w:t>
      </w:r>
      <w:r w:rsidR="0060754F">
        <w:tab/>
      </w:r>
      <w:r>
        <w:t>T</w:t>
      </w:r>
      <w:r w:rsidRPr="00706991">
        <w:t>he T</w:t>
      </w:r>
      <w:r w:rsidRPr="00644129">
        <w:rPr>
          <w:vertAlign w:val="subscript"/>
        </w:rPr>
        <w:t xml:space="preserve">q_ATG </w:t>
      </w:r>
      <w:r w:rsidRPr="00706991">
        <w:t>and T</w:t>
      </w:r>
      <w:r w:rsidRPr="00644129">
        <w:rPr>
          <w:vertAlign w:val="subscript"/>
        </w:rPr>
        <w:t xml:space="preserve">p_ATG </w:t>
      </w:r>
      <w:r w:rsidRPr="00706991">
        <w:t>should be 5.5*64*Tc for all SCSs</w:t>
      </w:r>
      <w:r>
        <w:t>.</w:t>
      </w:r>
    </w:p>
    <w:p w14:paraId="258DBBC4" w14:textId="3B92810F" w:rsidR="006549FD" w:rsidRPr="00B20663" w:rsidRDefault="006549FD" w:rsidP="0060754F">
      <w:pPr>
        <w:pStyle w:val="MyStyle"/>
        <w:rPr>
          <w:lang w:eastAsia="ja-JP"/>
        </w:rPr>
      </w:pPr>
      <w:r w:rsidRPr="00B20663">
        <w:rPr>
          <w:lang w:eastAsia="ja-JP"/>
        </w:rPr>
        <w:t xml:space="preserve">Observation </w:t>
      </w:r>
      <w:r>
        <w:rPr>
          <w:lang w:eastAsia="ja-JP"/>
        </w:rPr>
        <w:t>3</w:t>
      </w:r>
      <w:r w:rsidRPr="00B20663">
        <w:rPr>
          <w:lang w:eastAsia="ja-JP"/>
        </w:rPr>
        <w:t xml:space="preserve">: </w:t>
      </w:r>
      <w:r w:rsidR="0060754F">
        <w:rPr>
          <w:lang w:eastAsia="ja-JP"/>
        </w:rPr>
        <w:tab/>
      </w:r>
      <w:r>
        <w:rPr>
          <w:lang w:eastAsia="ja-JP"/>
        </w:rPr>
        <w:t xml:space="preserve">The cell radius can be more than 200 km for ISD </w:t>
      </w:r>
      <w:r w:rsidRPr="000826D7">
        <w:rPr>
          <w:lang w:eastAsia="ja-JP"/>
        </w:rPr>
        <w:t>200km</w:t>
      </w:r>
      <w:r>
        <w:rPr>
          <w:lang w:eastAsia="ja-JP"/>
        </w:rPr>
        <w:t>.</w:t>
      </w:r>
    </w:p>
    <w:p w14:paraId="1B680001" w14:textId="7E6DDD2F" w:rsidR="006549FD" w:rsidRPr="00C52C68" w:rsidRDefault="006549FD" w:rsidP="0060754F">
      <w:pPr>
        <w:pStyle w:val="MyStyle"/>
      </w:pPr>
      <w:r w:rsidRPr="00C52C68">
        <w:rPr>
          <w:lang w:eastAsia="ja-JP"/>
        </w:rPr>
        <w:t xml:space="preserve">Observation </w:t>
      </w:r>
      <w:r>
        <w:rPr>
          <w:lang w:eastAsia="ja-JP"/>
        </w:rPr>
        <w:t>4</w:t>
      </w:r>
      <w:r w:rsidRPr="00C52C68">
        <w:rPr>
          <w:lang w:eastAsia="ja-JP"/>
        </w:rPr>
        <w:t xml:space="preserve">: </w:t>
      </w:r>
      <w:r w:rsidR="0060754F">
        <w:rPr>
          <w:lang w:eastAsia="ja-JP"/>
        </w:rPr>
        <w:tab/>
      </w:r>
      <w:r w:rsidRPr="00C52C68">
        <w:rPr>
          <w:lang w:eastAsia="ja-JP"/>
        </w:rPr>
        <w:t>The Guard</w:t>
      </w:r>
      <w:r>
        <w:rPr>
          <w:lang w:eastAsia="ja-JP"/>
        </w:rPr>
        <w:t xml:space="preserve"> P</w:t>
      </w:r>
      <w:r w:rsidRPr="00C52C68">
        <w:rPr>
          <w:lang w:eastAsia="ja-JP"/>
        </w:rPr>
        <w:t xml:space="preserve">eriod, </w:t>
      </w:r>
      <w:r w:rsidRPr="00C52C68">
        <w:t>T</w:t>
      </w:r>
      <w:r w:rsidRPr="00C52C68">
        <w:rPr>
          <w:vertAlign w:val="subscript"/>
        </w:rPr>
        <w:t>GUARD</w:t>
      </w:r>
      <w:r>
        <w:t xml:space="preserve"> &gt; 1.33 ms for a cell radius of 200 km.</w:t>
      </w:r>
    </w:p>
    <w:p w14:paraId="7E64D3C4" w14:textId="57CB51E1" w:rsidR="006549FD" w:rsidRDefault="006549FD" w:rsidP="0060754F">
      <w:pPr>
        <w:pStyle w:val="MyStyle"/>
        <w:rPr>
          <w:lang w:eastAsia="ja-JP"/>
        </w:rPr>
      </w:pPr>
      <w:r w:rsidRPr="00C52C68">
        <w:rPr>
          <w:lang w:eastAsia="ja-JP"/>
        </w:rPr>
        <w:t xml:space="preserve">Observation </w:t>
      </w:r>
      <w:r>
        <w:rPr>
          <w:lang w:eastAsia="ja-JP"/>
        </w:rPr>
        <w:t>5</w:t>
      </w:r>
      <w:r w:rsidRPr="00C52C68">
        <w:rPr>
          <w:lang w:eastAsia="ja-JP"/>
        </w:rPr>
        <w:t>:</w:t>
      </w:r>
      <w:r>
        <w:rPr>
          <w:lang w:eastAsia="ja-JP"/>
        </w:rPr>
        <w:t xml:space="preserve"> </w:t>
      </w:r>
      <w:r w:rsidR="0060754F">
        <w:rPr>
          <w:lang w:eastAsia="ja-JP"/>
        </w:rPr>
        <w:tab/>
      </w:r>
      <w:r>
        <w:rPr>
          <w:lang w:eastAsia="ja-JP"/>
        </w:rPr>
        <w:t>Large TDD cells are inefficient due to large GP, if we switch often.</w:t>
      </w:r>
    </w:p>
    <w:p w14:paraId="0234AF2B" w14:textId="2E10FDAE" w:rsidR="006549FD" w:rsidRDefault="006549FD" w:rsidP="0060754F">
      <w:pPr>
        <w:pStyle w:val="MyStyle"/>
        <w:rPr>
          <w:lang w:eastAsia="ja-JP"/>
        </w:rPr>
      </w:pPr>
      <w:r>
        <w:rPr>
          <w:lang w:eastAsia="ja-JP"/>
        </w:rPr>
        <w:t xml:space="preserve">Observation 6: </w:t>
      </w:r>
      <w:r w:rsidR="0060754F">
        <w:rPr>
          <w:lang w:eastAsia="ja-JP"/>
        </w:rPr>
        <w:tab/>
      </w:r>
      <w:r>
        <w:rPr>
          <w:lang w:eastAsia="ja-JP"/>
        </w:rPr>
        <w:t>The largest cell radius will define the GP for all TDD cells and UL/DL configuration has to be the same for all coexisting (overlapping) TDD networks.</w:t>
      </w:r>
    </w:p>
    <w:p w14:paraId="33948DA7" w14:textId="5CE0C6FD" w:rsidR="003D429A" w:rsidRPr="006549FD" w:rsidRDefault="006549FD" w:rsidP="0060754F">
      <w:pPr>
        <w:pStyle w:val="MyStyle"/>
      </w:pPr>
      <w:r>
        <w:rPr>
          <w:lang w:eastAsia="ja-JP"/>
        </w:rPr>
        <w:t xml:space="preserve">Observation 7: </w:t>
      </w:r>
      <w:r w:rsidR="0060754F">
        <w:rPr>
          <w:lang w:eastAsia="ja-JP"/>
        </w:rPr>
        <w:tab/>
      </w:r>
      <w:r w:rsidRPr="001672DF">
        <w:rPr>
          <w:lang w:eastAsia="ja-JP"/>
        </w:rPr>
        <w:t>If the gNB receives information on the propagation delay to the UE</w:t>
      </w:r>
      <w:r>
        <w:rPr>
          <w:lang w:eastAsia="ja-JP"/>
        </w:rPr>
        <w:t xml:space="preserve">, then </w:t>
      </w:r>
      <w:r w:rsidRPr="00236E2C">
        <w:rPr>
          <w:lang w:eastAsia="ja-JP"/>
        </w:rPr>
        <w:t>at least half of the GP could be removed</w:t>
      </w:r>
      <w:r w:rsidRPr="005C45A2">
        <w:rPr>
          <w:lang w:eastAsia="ja-JP"/>
        </w:rPr>
        <w:t>.</w:t>
      </w:r>
    </w:p>
    <w:p w14:paraId="42C2E795" w14:textId="1C544FD8" w:rsidR="003D429A" w:rsidRDefault="003D429A" w:rsidP="003D429A">
      <w:pPr>
        <w:pStyle w:val="Heading1"/>
        <w:rPr>
          <w:lang w:val="en-US"/>
        </w:rPr>
      </w:pPr>
      <w:r>
        <w:rPr>
          <w:lang w:val="en-US"/>
        </w:rPr>
        <w:t>References</w:t>
      </w:r>
    </w:p>
    <w:p w14:paraId="1747B228" w14:textId="00B86DCE" w:rsidR="009F4F0C" w:rsidRDefault="00BE4FE5" w:rsidP="00A434FD">
      <w:bookmarkStart w:id="11" w:name="_Ref508638450"/>
      <w:bookmarkStart w:id="12" w:name="_Ref3386619"/>
      <w:r>
        <w:t>[1]</w:t>
      </w:r>
      <w:r w:rsidR="009F4F0C">
        <w:tab/>
      </w:r>
      <w:r>
        <w:t xml:space="preserve"> </w:t>
      </w:r>
      <w:r>
        <w:tab/>
      </w:r>
      <w:r w:rsidR="00D71D12" w:rsidRPr="00D71D12">
        <w:t>R4-2303226</w:t>
      </w:r>
      <w:r w:rsidR="00D71D12">
        <w:t xml:space="preserve">, </w:t>
      </w:r>
      <w:r>
        <w:tab/>
      </w:r>
      <w:r w:rsidR="000F3359" w:rsidRPr="000F3359">
        <w:t>WF on NR ATG RRM requirements</w:t>
      </w:r>
      <w:r w:rsidR="000F3359">
        <w:t>, CMCC</w:t>
      </w:r>
    </w:p>
    <w:p w14:paraId="0350F090" w14:textId="22CB50DB" w:rsidR="00E53BD6" w:rsidRDefault="00E53BD6" w:rsidP="00A434FD">
      <w:r>
        <w:t>[2]</w:t>
      </w:r>
      <w:r>
        <w:tab/>
      </w:r>
      <w:r>
        <w:tab/>
      </w:r>
      <w:r w:rsidR="00BB7CD2" w:rsidRPr="00BB7CD2">
        <w:t>R4-2300781</w:t>
      </w:r>
      <w:r w:rsidR="00BB7CD2">
        <w:t xml:space="preserve">, </w:t>
      </w:r>
      <w:r w:rsidR="003C344B" w:rsidRPr="003C344B">
        <w:t>Discussion on RRM timing requirements for ATG</w:t>
      </w:r>
      <w:r w:rsidR="003C344B">
        <w:t>, CMCC</w:t>
      </w:r>
    </w:p>
    <w:p w14:paraId="7DEAED37" w14:textId="3773290A" w:rsidR="000F3359" w:rsidRDefault="000F3359" w:rsidP="00A434FD">
      <w:r>
        <w:t>[</w:t>
      </w:r>
      <w:r w:rsidR="00E53BD6">
        <w:t>3</w:t>
      </w:r>
      <w:r>
        <w:t>]</w:t>
      </w:r>
      <w:r>
        <w:tab/>
      </w:r>
      <w:r>
        <w:tab/>
      </w:r>
      <w:r w:rsidR="000C1193" w:rsidRPr="000C1193">
        <w:t>R4-1703013</w:t>
      </w:r>
      <w:r w:rsidR="000C1193">
        <w:t xml:space="preserve">, </w:t>
      </w:r>
      <w:r w:rsidR="007528FB">
        <w:t xml:space="preserve">CR on study TR proposal, </w:t>
      </w:r>
      <w:r w:rsidR="007528FB" w:rsidRPr="007528FB">
        <w:t>TDD timing budget</w:t>
      </w:r>
      <w:r w:rsidR="007528FB">
        <w:t xml:space="preserve">, Ericsson </w:t>
      </w:r>
    </w:p>
    <w:bookmarkEnd w:id="11"/>
    <w:bookmarkEnd w:id="12"/>
    <w:p w14:paraId="406C1D4A" w14:textId="7F6DF65A" w:rsidR="003D429A" w:rsidRPr="00E6290B" w:rsidRDefault="003D429A" w:rsidP="003D429A"/>
    <w:sectPr w:rsidR="003D429A" w:rsidRPr="00E6290B">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5700" w14:textId="77777777" w:rsidR="00A64545" w:rsidRDefault="00A64545">
      <w:r>
        <w:separator/>
      </w:r>
    </w:p>
  </w:endnote>
  <w:endnote w:type="continuationSeparator" w:id="0">
    <w:p w14:paraId="10E067D5" w14:textId="77777777" w:rsidR="00A64545" w:rsidRDefault="00A64545">
      <w:r>
        <w:continuationSeparator/>
      </w:r>
    </w:p>
  </w:endnote>
  <w:endnote w:type="continuationNotice" w:id="1">
    <w:p w14:paraId="5F57E520" w14:textId="77777777" w:rsidR="00A64545" w:rsidRDefault="00A64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157A" w14:textId="77777777" w:rsidR="00A64545" w:rsidRDefault="00A64545">
      <w:r>
        <w:separator/>
      </w:r>
    </w:p>
  </w:footnote>
  <w:footnote w:type="continuationSeparator" w:id="0">
    <w:p w14:paraId="4890F2DE" w14:textId="77777777" w:rsidR="00A64545" w:rsidRDefault="00A64545">
      <w:r>
        <w:continuationSeparator/>
      </w:r>
    </w:p>
  </w:footnote>
  <w:footnote w:type="continuationNotice" w:id="1">
    <w:p w14:paraId="60111AF5" w14:textId="77777777" w:rsidR="00A64545" w:rsidRDefault="00A645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3ABF71D7"/>
    <w:multiLevelType w:val="hybridMultilevel"/>
    <w:tmpl w:val="342CD6A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9769C"/>
    <w:multiLevelType w:val="hybridMultilevel"/>
    <w:tmpl w:val="083A0B7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8277A5"/>
    <w:multiLevelType w:val="hybridMultilevel"/>
    <w:tmpl w:val="55C604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197848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5134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330631">
    <w:abstractNumId w:val="1"/>
  </w:num>
  <w:num w:numId="4" w16cid:durableId="1092512868">
    <w:abstractNumId w:val="7"/>
  </w:num>
  <w:num w:numId="5" w16cid:durableId="1563101971">
    <w:abstractNumId w:val="5"/>
  </w:num>
  <w:num w:numId="6" w16cid:durableId="1646003691">
    <w:abstractNumId w:val="2"/>
  </w:num>
  <w:num w:numId="7" w16cid:durableId="944654066">
    <w:abstractNumId w:val="4"/>
  </w:num>
  <w:num w:numId="8" w16cid:durableId="1232430153">
    <w:abstractNumId w:val="8"/>
  </w:num>
  <w:num w:numId="9" w16cid:durableId="262147384">
    <w:abstractNumId w:val="6"/>
  </w:num>
  <w:num w:numId="10" w16cid:durableId="10694205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8A"/>
    <w:rsid w:val="00023B77"/>
    <w:rsid w:val="00033397"/>
    <w:rsid w:val="00040095"/>
    <w:rsid w:val="000455F6"/>
    <w:rsid w:val="00045B69"/>
    <w:rsid w:val="00051834"/>
    <w:rsid w:val="00054A22"/>
    <w:rsid w:val="00056A26"/>
    <w:rsid w:val="00061142"/>
    <w:rsid w:val="00062023"/>
    <w:rsid w:val="000655A6"/>
    <w:rsid w:val="00080512"/>
    <w:rsid w:val="000863CE"/>
    <w:rsid w:val="000A457C"/>
    <w:rsid w:val="000C1193"/>
    <w:rsid w:val="000C47C3"/>
    <w:rsid w:val="000D58AB"/>
    <w:rsid w:val="000D5920"/>
    <w:rsid w:val="000F3359"/>
    <w:rsid w:val="00103A7F"/>
    <w:rsid w:val="00133525"/>
    <w:rsid w:val="001456E5"/>
    <w:rsid w:val="00152B7D"/>
    <w:rsid w:val="00161407"/>
    <w:rsid w:val="00173D7D"/>
    <w:rsid w:val="0017529A"/>
    <w:rsid w:val="00195042"/>
    <w:rsid w:val="001A4C42"/>
    <w:rsid w:val="001A7420"/>
    <w:rsid w:val="001B6637"/>
    <w:rsid w:val="001C1621"/>
    <w:rsid w:val="001C21C3"/>
    <w:rsid w:val="001D02C2"/>
    <w:rsid w:val="001E086B"/>
    <w:rsid w:val="001F0C1D"/>
    <w:rsid w:val="001F1132"/>
    <w:rsid w:val="001F168B"/>
    <w:rsid w:val="001F4029"/>
    <w:rsid w:val="001F579F"/>
    <w:rsid w:val="00222541"/>
    <w:rsid w:val="0022568D"/>
    <w:rsid w:val="002347A2"/>
    <w:rsid w:val="002511DD"/>
    <w:rsid w:val="00262686"/>
    <w:rsid w:val="002675F0"/>
    <w:rsid w:val="002840A1"/>
    <w:rsid w:val="002B2137"/>
    <w:rsid w:val="002B6339"/>
    <w:rsid w:val="002C09E7"/>
    <w:rsid w:val="002C1B0E"/>
    <w:rsid w:val="002E00EE"/>
    <w:rsid w:val="003143CE"/>
    <w:rsid w:val="003172DC"/>
    <w:rsid w:val="00332F86"/>
    <w:rsid w:val="0033338C"/>
    <w:rsid w:val="00350F09"/>
    <w:rsid w:val="00353FC6"/>
    <w:rsid w:val="0035462D"/>
    <w:rsid w:val="003550DB"/>
    <w:rsid w:val="003765B8"/>
    <w:rsid w:val="00384CDA"/>
    <w:rsid w:val="003A71A1"/>
    <w:rsid w:val="003B5A15"/>
    <w:rsid w:val="003C344B"/>
    <w:rsid w:val="003C3971"/>
    <w:rsid w:val="003C7321"/>
    <w:rsid w:val="003D429A"/>
    <w:rsid w:val="003E345E"/>
    <w:rsid w:val="003E5A27"/>
    <w:rsid w:val="00410076"/>
    <w:rsid w:val="00411B5B"/>
    <w:rsid w:val="00420661"/>
    <w:rsid w:val="00421AA8"/>
    <w:rsid w:val="00423334"/>
    <w:rsid w:val="004241F5"/>
    <w:rsid w:val="004345EC"/>
    <w:rsid w:val="0044364B"/>
    <w:rsid w:val="00465515"/>
    <w:rsid w:val="00481CEC"/>
    <w:rsid w:val="00490887"/>
    <w:rsid w:val="004949C6"/>
    <w:rsid w:val="004D1C0A"/>
    <w:rsid w:val="004D3578"/>
    <w:rsid w:val="004D4080"/>
    <w:rsid w:val="004E213A"/>
    <w:rsid w:val="004F0988"/>
    <w:rsid w:val="004F3340"/>
    <w:rsid w:val="0051173F"/>
    <w:rsid w:val="0053388B"/>
    <w:rsid w:val="00534BCD"/>
    <w:rsid w:val="00535773"/>
    <w:rsid w:val="00536DF1"/>
    <w:rsid w:val="00543E6C"/>
    <w:rsid w:val="00546D44"/>
    <w:rsid w:val="0056254B"/>
    <w:rsid w:val="00565087"/>
    <w:rsid w:val="0057305F"/>
    <w:rsid w:val="00586E2E"/>
    <w:rsid w:val="00597B11"/>
    <w:rsid w:val="005D2E01"/>
    <w:rsid w:val="005D7526"/>
    <w:rsid w:val="005E4BB2"/>
    <w:rsid w:val="00602AEA"/>
    <w:rsid w:val="0060754F"/>
    <w:rsid w:val="00614FDF"/>
    <w:rsid w:val="00615283"/>
    <w:rsid w:val="00624008"/>
    <w:rsid w:val="0063543D"/>
    <w:rsid w:val="0063585B"/>
    <w:rsid w:val="00644129"/>
    <w:rsid w:val="00647114"/>
    <w:rsid w:val="006549FD"/>
    <w:rsid w:val="006833E1"/>
    <w:rsid w:val="006933AC"/>
    <w:rsid w:val="006A323F"/>
    <w:rsid w:val="006A6F17"/>
    <w:rsid w:val="006B30D0"/>
    <w:rsid w:val="006C1584"/>
    <w:rsid w:val="006C3D95"/>
    <w:rsid w:val="006C56B3"/>
    <w:rsid w:val="006C576D"/>
    <w:rsid w:val="006E5C86"/>
    <w:rsid w:val="006E6246"/>
    <w:rsid w:val="006F61D7"/>
    <w:rsid w:val="00701116"/>
    <w:rsid w:val="00706991"/>
    <w:rsid w:val="00713C44"/>
    <w:rsid w:val="0072474F"/>
    <w:rsid w:val="00730604"/>
    <w:rsid w:val="00733D98"/>
    <w:rsid w:val="00734A5B"/>
    <w:rsid w:val="0074026F"/>
    <w:rsid w:val="007429F6"/>
    <w:rsid w:val="00743C79"/>
    <w:rsid w:val="00744E76"/>
    <w:rsid w:val="007528FB"/>
    <w:rsid w:val="00774170"/>
    <w:rsid w:val="00774DA4"/>
    <w:rsid w:val="0078013C"/>
    <w:rsid w:val="00780EC9"/>
    <w:rsid w:val="00781F0F"/>
    <w:rsid w:val="007A7013"/>
    <w:rsid w:val="007B600E"/>
    <w:rsid w:val="007E5180"/>
    <w:rsid w:val="007F0F4A"/>
    <w:rsid w:val="008028A4"/>
    <w:rsid w:val="0080688D"/>
    <w:rsid w:val="00830747"/>
    <w:rsid w:val="0083684A"/>
    <w:rsid w:val="00875DFD"/>
    <w:rsid w:val="008768CA"/>
    <w:rsid w:val="008805CF"/>
    <w:rsid w:val="00885367"/>
    <w:rsid w:val="008A6463"/>
    <w:rsid w:val="008B02D1"/>
    <w:rsid w:val="008C384C"/>
    <w:rsid w:val="008C645E"/>
    <w:rsid w:val="008C7C0C"/>
    <w:rsid w:val="008D26D6"/>
    <w:rsid w:val="008D5E06"/>
    <w:rsid w:val="008D7C9D"/>
    <w:rsid w:val="0090271F"/>
    <w:rsid w:val="00902E23"/>
    <w:rsid w:val="00905991"/>
    <w:rsid w:val="009114D7"/>
    <w:rsid w:val="0091348E"/>
    <w:rsid w:val="00916595"/>
    <w:rsid w:val="00917CCB"/>
    <w:rsid w:val="00942EC2"/>
    <w:rsid w:val="00963106"/>
    <w:rsid w:val="00965E47"/>
    <w:rsid w:val="00973023"/>
    <w:rsid w:val="00985F99"/>
    <w:rsid w:val="009B554C"/>
    <w:rsid w:val="009C3B38"/>
    <w:rsid w:val="009C3E5A"/>
    <w:rsid w:val="009C734F"/>
    <w:rsid w:val="009D2C65"/>
    <w:rsid w:val="009F37B7"/>
    <w:rsid w:val="009F4F0C"/>
    <w:rsid w:val="00A10F02"/>
    <w:rsid w:val="00A127E9"/>
    <w:rsid w:val="00A164B4"/>
    <w:rsid w:val="00A2489C"/>
    <w:rsid w:val="00A26956"/>
    <w:rsid w:val="00A27486"/>
    <w:rsid w:val="00A355A7"/>
    <w:rsid w:val="00A36663"/>
    <w:rsid w:val="00A434FD"/>
    <w:rsid w:val="00A53724"/>
    <w:rsid w:val="00A56066"/>
    <w:rsid w:val="00A61CE7"/>
    <w:rsid w:val="00A64545"/>
    <w:rsid w:val="00A73129"/>
    <w:rsid w:val="00A82346"/>
    <w:rsid w:val="00A84263"/>
    <w:rsid w:val="00A92BA1"/>
    <w:rsid w:val="00AB08BD"/>
    <w:rsid w:val="00AC0E06"/>
    <w:rsid w:val="00AC6BC6"/>
    <w:rsid w:val="00AE36CF"/>
    <w:rsid w:val="00AE5D66"/>
    <w:rsid w:val="00AE65E2"/>
    <w:rsid w:val="00B15449"/>
    <w:rsid w:val="00B17CE9"/>
    <w:rsid w:val="00B3077F"/>
    <w:rsid w:val="00B403ED"/>
    <w:rsid w:val="00B570B3"/>
    <w:rsid w:val="00B66DD7"/>
    <w:rsid w:val="00B93086"/>
    <w:rsid w:val="00B93FB3"/>
    <w:rsid w:val="00BA19ED"/>
    <w:rsid w:val="00BA4B8D"/>
    <w:rsid w:val="00BB7CD2"/>
    <w:rsid w:val="00BC0F7D"/>
    <w:rsid w:val="00BD7D31"/>
    <w:rsid w:val="00BE3255"/>
    <w:rsid w:val="00BE4FE5"/>
    <w:rsid w:val="00BF0884"/>
    <w:rsid w:val="00BF128E"/>
    <w:rsid w:val="00BF2120"/>
    <w:rsid w:val="00C074DD"/>
    <w:rsid w:val="00C1496A"/>
    <w:rsid w:val="00C33079"/>
    <w:rsid w:val="00C41F2A"/>
    <w:rsid w:val="00C45231"/>
    <w:rsid w:val="00C57019"/>
    <w:rsid w:val="00C573CB"/>
    <w:rsid w:val="00C72833"/>
    <w:rsid w:val="00C80F1D"/>
    <w:rsid w:val="00C93F40"/>
    <w:rsid w:val="00CA3D0C"/>
    <w:rsid w:val="00CB0749"/>
    <w:rsid w:val="00CC59F3"/>
    <w:rsid w:val="00CF7877"/>
    <w:rsid w:val="00D12A57"/>
    <w:rsid w:val="00D24DD1"/>
    <w:rsid w:val="00D544DE"/>
    <w:rsid w:val="00D560A3"/>
    <w:rsid w:val="00D57972"/>
    <w:rsid w:val="00D6299F"/>
    <w:rsid w:val="00D675A9"/>
    <w:rsid w:val="00D678EF"/>
    <w:rsid w:val="00D71D12"/>
    <w:rsid w:val="00D738D6"/>
    <w:rsid w:val="00D755EB"/>
    <w:rsid w:val="00D76048"/>
    <w:rsid w:val="00D87E00"/>
    <w:rsid w:val="00D9134D"/>
    <w:rsid w:val="00DA7A03"/>
    <w:rsid w:val="00DB1818"/>
    <w:rsid w:val="00DC309B"/>
    <w:rsid w:val="00DC4DA2"/>
    <w:rsid w:val="00DD10C1"/>
    <w:rsid w:val="00DD4C17"/>
    <w:rsid w:val="00DD74A5"/>
    <w:rsid w:val="00DF2B1F"/>
    <w:rsid w:val="00DF62CD"/>
    <w:rsid w:val="00E01278"/>
    <w:rsid w:val="00E16509"/>
    <w:rsid w:val="00E41416"/>
    <w:rsid w:val="00E44582"/>
    <w:rsid w:val="00E5384A"/>
    <w:rsid w:val="00E53BD6"/>
    <w:rsid w:val="00E5698B"/>
    <w:rsid w:val="00E6290B"/>
    <w:rsid w:val="00E7470F"/>
    <w:rsid w:val="00E77645"/>
    <w:rsid w:val="00EA15B0"/>
    <w:rsid w:val="00EA5EA7"/>
    <w:rsid w:val="00EC3D06"/>
    <w:rsid w:val="00EC4A25"/>
    <w:rsid w:val="00EE3206"/>
    <w:rsid w:val="00F025A2"/>
    <w:rsid w:val="00F03530"/>
    <w:rsid w:val="00F04712"/>
    <w:rsid w:val="00F13360"/>
    <w:rsid w:val="00F22EC7"/>
    <w:rsid w:val="00F325C8"/>
    <w:rsid w:val="00F5340F"/>
    <w:rsid w:val="00F653B8"/>
    <w:rsid w:val="00F65FE2"/>
    <w:rsid w:val="00F76708"/>
    <w:rsid w:val="00F86BEA"/>
    <w:rsid w:val="00F9008D"/>
    <w:rsid w:val="00FA1266"/>
    <w:rsid w:val="00FB7427"/>
    <w:rsid w:val="00FC1192"/>
    <w:rsid w:val="00FC5F8D"/>
    <w:rsid w:val="00FE2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12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Normal"/>
    <w:link w:val="ListParagraphChar"/>
    <w:uiPriority w:val="34"/>
    <w:qFormat/>
    <w:rsid w:val="003E5A27"/>
    <w:pPr>
      <w:spacing w:after="0"/>
      <w:ind w:firstLineChars="200" w:firstLine="420"/>
    </w:pPr>
    <w:rPr>
      <w:rFonts w:cs="SimSun"/>
      <w:sz w:val="24"/>
      <w:szCs w:val="24"/>
      <w:lang w:val="en-US" w:eastAsia="zh-C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3E5A27"/>
    <w:rPr>
      <w:rFonts w:cs="SimSun"/>
      <w:sz w:val="24"/>
      <w:szCs w:val="24"/>
      <w:lang w:val="en-US" w:eastAsia="zh-CN"/>
    </w:rPr>
  </w:style>
  <w:style w:type="character" w:customStyle="1" w:styleId="Heading2Char">
    <w:name w:val="Heading 2 Char"/>
    <w:basedOn w:val="DefaultParagraphFont"/>
    <w:link w:val="Heading2"/>
    <w:rsid w:val="000D5920"/>
    <w:rPr>
      <w:rFonts w:ascii="Arial" w:hAnsi="Arial"/>
      <w:sz w:val="32"/>
      <w:lang w:eastAsia="en-US"/>
    </w:rPr>
  </w:style>
  <w:style w:type="character" w:customStyle="1" w:styleId="Heading3Char">
    <w:name w:val="Heading 3 Char"/>
    <w:basedOn w:val="DefaultParagraphFont"/>
    <w:link w:val="Heading3"/>
    <w:rsid w:val="000D5920"/>
    <w:rPr>
      <w:rFonts w:ascii="Arial" w:hAnsi="Arial"/>
      <w:sz w:val="28"/>
      <w:lang w:eastAsia="en-US"/>
    </w:rPr>
  </w:style>
  <w:style w:type="paragraph" w:styleId="Revision">
    <w:name w:val="Revision"/>
    <w:hidden/>
    <w:uiPriority w:val="99"/>
    <w:semiHidden/>
    <w:rsid w:val="00421AA8"/>
    <w:rPr>
      <w:lang w:eastAsia="en-US"/>
    </w:rPr>
  </w:style>
  <w:style w:type="character" w:styleId="CommentReference">
    <w:name w:val="annotation reference"/>
    <w:basedOn w:val="DefaultParagraphFont"/>
    <w:rsid w:val="00421AA8"/>
    <w:rPr>
      <w:sz w:val="16"/>
      <w:szCs w:val="16"/>
    </w:rPr>
  </w:style>
  <w:style w:type="paragraph" w:styleId="CommentText">
    <w:name w:val="annotation text"/>
    <w:basedOn w:val="Normal"/>
    <w:link w:val="CommentTextChar"/>
    <w:rsid w:val="00421AA8"/>
  </w:style>
  <w:style w:type="character" w:customStyle="1" w:styleId="CommentTextChar">
    <w:name w:val="Comment Text Char"/>
    <w:basedOn w:val="DefaultParagraphFont"/>
    <w:link w:val="CommentText"/>
    <w:rsid w:val="00421AA8"/>
    <w:rPr>
      <w:lang w:eastAsia="en-US"/>
    </w:rPr>
  </w:style>
  <w:style w:type="paragraph" w:styleId="CommentSubject">
    <w:name w:val="annotation subject"/>
    <w:basedOn w:val="CommentText"/>
    <w:next w:val="CommentText"/>
    <w:link w:val="CommentSubjectChar"/>
    <w:rsid w:val="00421AA8"/>
    <w:rPr>
      <w:b/>
      <w:bCs/>
    </w:rPr>
  </w:style>
  <w:style w:type="character" w:customStyle="1" w:styleId="CommentSubjectChar">
    <w:name w:val="Comment Subject Char"/>
    <w:basedOn w:val="CommentTextChar"/>
    <w:link w:val="CommentSubject"/>
    <w:rsid w:val="00421AA8"/>
    <w:rPr>
      <w:b/>
      <w:bCs/>
      <w:lang w:eastAsia="en-US"/>
    </w:rPr>
  </w:style>
  <w:style w:type="paragraph" w:customStyle="1" w:styleId="MyStyle">
    <w:name w:val="My Style"/>
    <w:basedOn w:val="Normal"/>
    <w:link w:val="MyStyleChar"/>
    <w:qFormat/>
    <w:rsid w:val="00A2489C"/>
    <w:pPr>
      <w:ind w:left="1418" w:hanging="1418"/>
    </w:pPr>
    <w:rPr>
      <w:b/>
      <w:bCs/>
      <w:lang w:val="en-US"/>
    </w:rPr>
  </w:style>
  <w:style w:type="character" w:customStyle="1" w:styleId="MyStyleChar">
    <w:name w:val="My Style Char"/>
    <w:basedOn w:val="DefaultParagraphFont"/>
    <w:link w:val="MyStyle"/>
    <w:rsid w:val="00A2489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8</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114</cp:revision>
  <cp:lastPrinted>2019-02-25T14:05:00Z</cp:lastPrinted>
  <dcterms:created xsi:type="dcterms:W3CDTF">2022-10-26T11:50:00Z</dcterms:created>
  <dcterms:modified xsi:type="dcterms:W3CDTF">2023-04-10T09:38:00Z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