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9FB4" w14:textId="113501EE" w:rsidR="0050678B" w:rsidRPr="0050678B" w:rsidRDefault="0050678B" w:rsidP="0050678B">
      <w:pPr>
        <w:tabs>
          <w:tab w:val="right" w:pos="8931"/>
          <w:tab w:val="right" w:pos="9639"/>
          <w:tab w:val="right" w:pos="13892"/>
        </w:tabs>
        <w:spacing w:line="276" w:lineRule="auto"/>
        <w:contextualSpacing/>
        <w:rPr>
          <w:rFonts w:ascii="Arial" w:eastAsia="SimSun" w:hAnsi="Arial" w:cs="Arial"/>
          <w:b/>
          <w:sz w:val="24"/>
          <w:szCs w:val="24"/>
          <w:lang w:val="de-DE" w:eastAsia="de-DE"/>
        </w:rPr>
      </w:pPr>
      <w:r w:rsidRPr="0050678B">
        <w:rPr>
          <w:rFonts w:ascii="Arial" w:eastAsia="SimSun" w:hAnsi="Arial" w:cs="Arial"/>
          <w:b/>
          <w:sz w:val="24"/>
          <w:szCs w:val="24"/>
          <w:lang w:val="de-DE" w:eastAsia="de-DE"/>
        </w:rPr>
        <w:t>3GPP TSG-RAN WG4 Meeting # 106</w:t>
      </w:r>
      <w:r w:rsidRPr="0050678B">
        <w:rPr>
          <w:rFonts w:ascii="Arial" w:eastAsia="SimSun" w:hAnsi="Arial" w:cs="Arial"/>
          <w:b/>
          <w:sz w:val="24"/>
          <w:szCs w:val="24"/>
          <w:lang w:val="de-DE" w:eastAsia="de-DE"/>
        </w:rPr>
        <w:tab/>
      </w:r>
      <w:r w:rsidR="00CB1E6E" w:rsidRPr="00CB1E6E">
        <w:rPr>
          <w:rFonts w:ascii="Arial" w:eastAsia="SimSun" w:hAnsi="Arial" w:cs="Arial"/>
          <w:b/>
          <w:sz w:val="24"/>
          <w:szCs w:val="24"/>
          <w:lang w:val="de-DE" w:eastAsia="de-DE"/>
        </w:rPr>
        <w:t>R4-2300009</w:t>
      </w:r>
    </w:p>
    <w:p w14:paraId="377E40C1" w14:textId="6E1A9374" w:rsidR="0050678B" w:rsidRDefault="0050678B" w:rsidP="0050678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0678B">
        <w:rPr>
          <w:rFonts w:ascii="Arial" w:eastAsia="Calibri" w:hAnsi="Arial" w:cs="Arial"/>
          <w:b/>
          <w:sz w:val="24"/>
          <w:szCs w:val="24"/>
        </w:rPr>
        <w:t>Athens, Greece, 27 February –03 March, 2023</w:t>
      </w:r>
    </w:p>
    <w:p w14:paraId="34413036" w14:textId="77777777" w:rsidR="0050678B" w:rsidRDefault="0050678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2B6411D" w14:textId="018707C1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026040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46596F">
        <w:rPr>
          <w:rFonts w:ascii="Arial" w:hAnsi="Arial" w:cs="Arial"/>
          <w:b/>
          <w:bCs/>
          <w:sz w:val="24"/>
          <w:szCs w:val="24"/>
        </w:rPr>
        <w:t>R1-</w:t>
      </w:r>
      <w:r w:rsidR="00026040">
        <w:rPr>
          <w:rFonts w:ascii="Arial" w:hAnsi="Arial" w:cs="Arial"/>
          <w:b/>
          <w:bCs/>
          <w:sz w:val="24"/>
          <w:szCs w:val="24"/>
        </w:rPr>
        <w:t>22</w:t>
      </w:r>
      <w:r w:rsidR="00E939BC">
        <w:rPr>
          <w:rFonts w:ascii="Arial" w:hAnsi="Arial" w:cs="Arial"/>
          <w:b/>
          <w:bCs/>
          <w:sz w:val="24"/>
          <w:szCs w:val="24"/>
        </w:rPr>
        <w:t>1294</w:t>
      </w:r>
      <w:r w:rsidR="00494C68">
        <w:rPr>
          <w:rFonts w:ascii="Arial" w:hAnsi="Arial" w:cs="Arial"/>
          <w:b/>
          <w:bCs/>
          <w:sz w:val="24"/>
          <w:szCs w:val="24"/>
        </w:rPr>
        <w:t>8</w:t>
      </w:r>
    </w:p>
    <w:p w14:paraId="24EC9D79" w14:textId="77777777" w:rsidR="00463675" w:rsidRPr="000F4E43" w:rsidRDefault="0002604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</w:t>
      </w:r>
      <w:r w:rsidR="0045458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France, </w:t>
      </w:r>
      <w:r w:rsidRPr="00026040">
        <w:rPr>
          <w:rFonts w:ascii="Arial" w:hAnsi="Arial" w:cs="Arial"/>
          <w:b/>
          <w:bCs/>
          <w:sz w:val="24"/>
          <w:szCs w:val="24"/>
        </w:rPr>
        <w:t>November 14th – 18th, 202</w:t>
      </w:r>
      <w:r w:rsidR="00454585">
        <w:rPr>
          <w:rFonts w:ascii="Arial" w:hAnsi="Arial" w:cs="Arial"/>
          <w:b/>
          <w:bCs/>
          <w:sz w:val="24"/>
          <w:szCs w:val="24"/>
        </w:rPr>
        <w:t>2</w:t>
      </w:r>
    </w:p>
    <w:p w14:paraId="2461FDAF" w14:textId="77777777" w:rsidR="00463675" w:rsidRPr="00454585" w:rsidRDefault="00463675">
      <w:pPr>
        <w:rPr>
          <w:rFonts w:ascii="Arial" w:hAnsi="Arial" w:cs="Arial"/>
        </w:rPr>
      </w:pPr>
    </w:p>
    <w:p w14:paraId="5E4DDB12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on </w:t>
      </w:r>
      <w:r w:rsidR="00026040">
        <w:rPr>
          <w:b w:val="0"/>
          <w:bCs w:val="0"/>
        </w:rPr>
        <w:t>RAN1 agreements</w:t>
      </w:r>
      <w:r w:rsidR="00A3794A">
        <w:rPr>
          <w:b w:val="0"/>
          <w:bCs w:val="0"/>
        </w:rPr>
        <w:t xml:space="preserve"> </w:t>
      </w:r>
      <w:r w:rsidR="00D26751">
        <w:rPr>
          <w:b w:val="0"/>
          <w:bCs w:val="0"/>
        </w:rPr>
        <w:t xml:space="preserve">for </w:t>
      </w:r>
      <w:r w:rsidR="00454585" w:rsidRPr="006F30A0">
        <w:rPr>
          <w:b w:val="0"/>
          <w:bCs w:val="0"/>
        </w:rPr>
        <w:t>L1/L2-based inter-cell mobility</w:t>
      </w:r>
    </w:p>
    <w:p w14:paraId="6BDA19BA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2919ECC2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629C8F7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2B37A8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1362DC6" w14:textId="77777777" w:rsidR="00463675" w:rsidRPr="00454585" w:rsidRDefault="00463675" w:rsidP="000F4E43">
      <w:pPr>
        <w:pStyle w:val="Source"/>
      </w:pPr>
      <w:r w:rsidRPr="00454585">
        <w:t>Source:</w:t>
      </w:r>
      <w:r w:rsidR="00494C68">
        <w:tab/>
      </w:r>
      <w:r w:rsidR="00454585" w:rsidRPr="00494C68">
        <w:rPr>
          <w:b w:val="0"/>
          <w:bCs/>
        </w:rPr>
        <w:t>RAN1</w:t>
      </w:r>
    </w:p>
    <w:p w14:paraId="6686C9DD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5BFB0152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76E7F0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0D14E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6B8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4585" w:rsidRPr="006F30A0">
        <w:rPr>
          <w:b w:val="0"/>
        </w:rPr>
        <w:t>Yosuke Akimoto</w:t>
      </w:r>
    </w:p>
    <w:p w14:paraId="5B43F27C" w14:textId="77777777" w:rsidR="00463675" w:rsidRDefault="00463675" w:rsidP="000F4E43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="00454585" w:rsidRPr="006F30A0">
        <w:rPr>
          <w:b w:val="0"/>
        </w:rPr>
        <w:t>akimoto.yosuke at fujitsu.com</w:t>
      </w:r>
    </w:p>
    <w:p w14:paraId="58BA6E64" w14:textId="77777777" w:rsidR="00497678" w:rsidRDefault="00497678" w:rsidP="000F4E43">
      <w:pPr>
        <w:pStyle w:val="Contact"/>
        <w:tabs>
          <w:tab w:val="clear" w:pos="2268"/>
        </w:tabs>
        <w:rPr>
          <w:bCs/>
        </w:rPr>
      </w:pPr>
    </w:p>
    <w:p w14:paraId="0329C906" w14:textId="77777777" w:rsidR="00497678" w:rsidRPr="000F4E43" w:rsidRDefault="00497678" w:rsidP="0049767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7511A4B9" w14:textId="77777777" w:rsidR="00497678" w:rsidRPr="00454585" w:rsidRDefault="00497678" w:rsidP="00497678">
      <w:pPr>
        <w:pStyle w:val="Contact"/>
        <w:tabs>
          <w:tab w:val="clear" w:pos="2268"/>
        </w:tabs>
        <w:rPr>
          <w:bCs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>
        <w:rPr>
          <w:b w:val="0"/>
        </w:rPr>
        <w:t xml:space="preserve"> at </w:t>
      </w:r>
      <w:r w:rsidRPr="00497678">
        <w:rPr>
          <w:b w:val="0"/>
        </w:rPr>
        <w:t>catt.cn</w:t>
      </w:r>
    </w:p>
    <w:p w14:paraId="40E93A3B" w14:textId="77777777" w:rsidR="00497678" w:rsidRPr="00497678" w:rsidRDefault="00497678" w:rsidP="000F4E43">
      <w:pPr>
        <w:pStyle w:val="Contact"/>
        <w:tabs>
          <w:tab w:val="clear" w:pos="2268"/>
        </w:tabs>
        <w:rPr>
          <w:bCs/>
        </w:rPr>
      </w:pPr>
    </w:p>
    <w:p w14:paraId="4E6BBEE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886D9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E18F2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3E903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1D2F197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EFFC3D" w14:textId="77777777" w:rsidR="00463675" w:rsidRPr="000F4E43" w:rsidRDefault="00463675">
      <w:pPr>
        <w:rPr>
          <w:rFonts w:ascii="Arial" w:hAnsi="Arial" w:cs="Arial"/>
        </w:rPr>
      </w:pPr>
    </w:p>
    <w:p w14:paraId="3BAC71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7C9E9B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4DD932D" w14:textId="77777777" w:rsidR="008169E1" w:rsidRPr="00DE21A9" w:rsidRDefault="004D602E" w:rsidP="0002604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 w:rsidRPr="004D602E">
        <w:rPr>
          <w:rFonts w:ascii="Arial" w:hAnsi="Arial" w:cs="Arial"/>
          <w:b/>
          <w:bCs/>
          <w:lang w:eastAsia="ja-JP"/>
        </w:rPr>
        <w:t>RAN1 #11</w:t>
      </w:r>
      <w:r w:rsidR="00026040">
        <w:rPr>
          <w:rFonts w:ascii="Arial" w:hAnsi="Arial" w:cs="Arial"/>
          <w:b/>
          <w:bCs/>
          <w:lang w:eastAsia="ja-JP"/>
        </w:rPr>
        <w:t>1</w:t>
      </w:r>
      <w:r w:rsidRPr="004D602E">
        <w:rPr>
          <w:rFonts w:ascii="Arial" w:hAnsi="Arial" w:cs="Arial"/>
          <w:b/>
          <w:bCs/>
          <w:lang w:eastAsia="ja-JP"/>
        </w:rPr>
        <w:t xml:space="preserve"> agreements</w:t>
      </w:r>
    </w:p>
    <w:p w14:paraId="4363EA48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B1FAA30" w14:textId="77777777" w:rsidR="008169E1" w:rsidRPr="00DE21A9" w:rsidRDefault="007A02C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would like to inform RAN2, RAN3 and RAN4 of the </w:t>
      </w:r>
      <w:r w:rsidR="008169E1" w:rsidRPr="00DE21A9">
        <w:rPr>
          <w:rFonts w:ascii="Arial" w:hAnsi="Arial" w:cs="Arial"/>
          <w:lang w:eastAsia="ja-JP"/>
        </w:rPr>
        <w:t>agreements achieved in RAN1#11</w:t>
      </w:r>
      <w:r w:rsidR="00026040">
        <w:rPr>
          <w:rFonts w:ascii="Arial" w:hAnsi="Arial" w:cs="Arial"/>
          <w:lang w:eastAsia="ja-JP"/>
        </w:rPr>
        <w:t>1</w:t>
      </w:r>
      <w:r>
        <w:rPr>
          <w:rFonts w:ascii="Arial" w:hAnsi="Arial" w:cs="Arial"/>
          <w:lang w:eastAsia="ja-JP"/>
        </w:rPr>
        <w:t xml:space="preserve"> below: </w:t>
      </w:r>
      <w:r w:rsidR="0012194D" w:rsidRPr="00DE21A9">
        <w:rPr>
          <w:rFonts w:ascii="Arial" w:hAnsi="Arial" w:cs="Arial"/>
          <w:lang w:eastAsia="ja-JP"/>
        </w:rPr>
        <w:t xml:space="preserve"> </w:t>
      </w:r>
    </w:p>
    <w:p w14:paraId="38D0F211" w14:textId="77777777" w:rsidR="008169E1" w:rsidRPr="00A80380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42E34F1E" w14:textId="77777777" w:rsidR="00026040" w:rsidRPr="00A80380" w:rsidRDefault="0002604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255EFCAE" w14:textId="77777777" w:rsidR="00A80380" w:rsidRPr="00A80380" w:rsidRDefault="00A80380" w:rsidP="00A80380">
      <w:pPr>
        <w:shd w:val="clear" w:color="auto" w:fill="FFFFFF"/>
        <w:jc w:val="both"/>
        <w:rPr>
          <w:rFonts w:ascii="Arial" w:hAnsi="Arial" w:cs="Arial"/>
          <w:lang w:eastAsia="x-none"/>
        </w:rPr>
      </w:pPr>
    </w:p>
    <w:p w14:paraId="48105D54" w14:textId="77777777" w:rsidR="00A80380" w:rsidRPr="00A80380" w:rsidRDefault="00A80380" w:rsidP="00A80380">
      <w:pPr>
        <w:rPr>
          <w:rFonts w:ascii="Arial" w:hAnsi="Arial" w:cs="Arial"/>
          <w:highlight w:val="green"/>
        </w:rPr>
      </w:pPr>
      <w:r w:rsidRPr="00A80380">
        <w:rPr>
          <w:rFonts w:ascii="Arial" w:hAnsi="Arial" w:cs="Arial"/>
          <w:highlight w:val="green"/>
        </w:rPr>
        <w:t>Agreement</w:t>
      </w:r>
    </w:p>
    <w:p w14:paraId="36D9293F" w14:textId="77777777" w:rsidR="00A80380" w:rsidRPr="00A80380" w:rsidRDefault="00A80380" w:rsidP="00A80380">
      <w:pPr>
        <w:numPr>
          <w:ilvl w:val="0"/>
          <w:numId w:val="33"/>
        </w:numPr>
        <w:rPr>
          <w:rFonts w:ascii="Arial" w:hAnsi="Arial" w:cs="Arial"/>
        </w:rPr>
      </w:pPr>
      <w:r w:rsidRPr="00A80380">
        <w:rPr>
          <w:rFonts w:ascii="Arial" w:hAnsi="Arial" w:cs="Arial"/>
        </w:rPr>
        <w:t>For Rel-18 LTM, L1 inter-frequency measurement is supported from RAN1 point of view.</w:t>
      </w:r>
    </w:p>
    <w:p w14:paraId="44102589" w14:textId="77777777" w:rsidR="00A80380" w:rsidRPr="00A80380" w:rsidRDefault="00A80380" w:rsidP="00A80380">
      <w:pPr>
        <w:rPr>
          <w:rFonts w:ascii="Arial" w:hAnsi="Arial" w:cs="Arial"/>
        </w:rPr>
      </w:pPr>
      <w:r w:rsidRPr="00A80380">
        <w:rPr>
          <w:rFonts w:ascii="Arial" w:hAnsi="Arial" w:cs="Arial"/>
        </w:rPr>
        <w:t> </w:t>
      </w:r>
    </w:p>
    <w:p w14:paraId="3A7CD5D5" w14:textId="77777777" w:rsidR="00A80380" w:rsidRPr="00A80380" w:rsidRDefault="00A80380" w:rsidP="00A80380">
      <w:pPr>
        <w:rPr>
          <w:rFonts w:ascii="Arial" w:hAnsi="Arial" w:cs="Arial"/>
          <w:highlight w:val="green"/>
        </w:rPr>
      </w:pPr>
      <w:r w:rsidRPr="00A80380">
        <w:rPr>
          <w:rFonts w:ascii="Arial" w:hAnsi="Arial" w:cs="Arial"/>
          <w:highlight w:val="green"/>
        </w:rPr>
        <w:t>Agreement</w:t>
      </w:r>
    </w:p>
    <w:p w14:paraId="622416C8" w14:textId="77777777" w:rsidR="00A80380" w:rsidRPr="00A80380" w:rsidRDefault="00A80380" w:rsidP="00A80380">
      <w:pPr>
        <w:numPr>
          <w:ilvl w:val="0"/>
          <w:numId w:val="33"/>
        </w:numPr>
        <w:rPr>
          <w:rFonts w:ascii="Arial" w:hAnsi="Arial" w:cs="Arial"/>
        </w:rPr>
      </w:pPr>
      <w:r w:rsidRPr="00A80380">
        <w:rPr>
          <w:rFonts w:ascii="Arial" w:hAnsi="Arial" w:cs="Arial"/>
        </w:rPr>
        <w:t>Regarding the potential RAN1 enhancements to reduce the handover delay / interruption for Rel-18 LTM</w:t>
      </w:r>
    </w:p>
    <w:p w14:paraId="1D8ADEA9" w14:textId="77777777" w:rsidR="00A80380" w:rsidRPr="00A80380" w:rsidRDefault="00A80380" w:rsidP="00A80380">
      <w:pPr>
        <w:numPr>
          <w:ilvl w:val="1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</w:rPr>
        <w:t>Support at least DL synchronization for candidate cell(s) based on at least SSB before cell switch command</w:t>
      </w:r>
    </w:p>
    <w:p w14:paraId="738CB15D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</w:rPr>
        <w:t>Further study the necessary mechanism, e.g. signaling and UE capability</w:t>
      </w:r>
    </w:p>
    <w:p w14:paraId="777D30EC" w14:textId="77777777" w:rsidR="00A80380" w:rsidRDefault="00A80380" w:rsidP="00A80380">
      <w:pPr>
        <w:rPr>
          <w:rFonts w:ascii="Arial" w:hAnsi="Arial" w:cs="Arial"/>
        </w:rPr>
      </w:pPr>
    </w:p>
    <w:p w14:paraId="18CABC8E" w14:textId="77777777" w:rsidR="00A80380" w:rsidRPr="00A80380" w:rsidRDefault="00A80380" w:rsidP="00A80380">
      <w:pPr>
        <w:rPr>
          <w:rFonts w:ascii="Arial" w:hAnsi="Arial" w:cs="Arial"/>
        </w:rPr>
      </w:pPr>
      <w:r w:rsidRPr="00A80380">
        <w:rPr>
          <w:rFonts w:ascii="Arial" w:hAnsi="Arial" w:cs="Arial"/>
          <w:highlight w:val="green"/>
        </w:rPr>
        <w:t>Agreement </w:t>
      </w:r>
    </w:p>
    <w:p w14:paraId="34B05FF0" w14:textId="77777777" w:rsidR="00A80380" w:rsidRDefault="00A80380" w:rsidP="00A80380">
      <w:pPr>
        <w:numPr>
          <w:ilvl w:val="0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</w:rPr>
        <w:t>For L1 measurement report for Rel-18 L1/L2 mobility, if UE event triggered report for L1 measurement is supported based on further study</w:t>
      </w:r>
    </w:p>
    <w:p w14:paraId="6D5D578C" w14:textId="77777777" w:rsidR="00A80380" w:rsidRDefault="00A80380" w:rsidP="00A80380">
      <w:pPr>
        <w:numPr>
          <w:ilvl w:val="1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 xml:space="preserve">At least the following aspects may be considered </w:t>
      </w:r>
    </w:p>
    <w:p w14:paraId="30F47C23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>How to define UE event and exact definition of events,</w:t>
      </w:r>
    </w:p>
    <w:p w14:paraId="2E4B224F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>Report container</w:t>
      </w:r>
    </w:p>
    <w:p w14:paraId="136FF124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 xml:space="preserve">Resource allocation/assignment for UE event triggered report </w:t>
      </w:r>
    </w:p>
    <w:p w14:paraId="4882ADA5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lastRenderedPageBreak/>
        <w:t>Necessity of indication to gNB when the condition UE event is met, and how</w:t>
      </w:r>
    </w:p>
    <w:p w14:paraId="584C7C4A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 xml:space="preserve">Necessity to define the condition to start/stop the reporting, </w:t>
      </w:r>
    </w:p>
    <w:p w14:paraId="09490B90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>Contents of the report/reporting format, PCI, RS ID, measurement result etc.</w:t>
      </w:r>
    </w:p>
    <w:p w14:paraId="524D3D46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 xml:space="preserve">The interaction with filtered L1 measurement results (if supported) </w:t>
      </w:r>
    </w:p>
    <w:p w14:paraId="7834757A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>Support of simultaneous configuration of both UE event triggered and any of periodic/semi-persistence/aperiodic reporting, and solutions when both of them are configured.</w:t>
      </w:r>
    </w:p>
    <w:p w14:paraId="0F8BBB5D" w14:textId="77777777" w:rsid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>Report destination, whether the report is sent to serving cell only or can be sent to one or more candidate cell(s).</w:t>
      </w:r>
    </w:p>
    <w:p w14:paraId="7E9FA3F1" w14:textId="77777777" w:rsidR="00A80380" w:rsidRPr="00A80380" w:rsidRDefault="00A80380" w:rsidP="00A80380">
      <w:pPr>
        <w:numPr>
          <w:ilvl w:val="2"/>
          <w:numId w:val="34"/>
        </w:numPr>
        <w:rPr>
          <w:rFonts w:ascii="Arial" w:hAnsi="Arial" w:cs="Arial"/>
        </w:rPr>
      </w:pPr>
      <w:r w:rsidRPr="00A80380">
        <w:rPr>
          <w:rFonts w:ascii="Arial" w:hAnsi="Arial" w:cs="Arial"/>
          <w:lang w:eastAsia="x-none"/>
        </w:rPr>
        <w:t>Benefit when L3 measurement is involved</w:t>
      </w:r>
    </w:p>
    <w:p w14:paraId="4D61477E" w14:textId="77777777" w:rsidR="00026040" w:rsidRPr="00A80380" w:rsidRDefault="0002604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80078D4" w14:textId="77777777" w:rsidR="00647DC4" w:rsidRPr="00647DC4" w:rsidRDefault="00647DC4" w:rsidP="00647DC4">
      <w:pPr>
        <w:rPr>
          <w:rFonts w:ascii="Arial" w:hAnsi="Arial" w:cs="Arial"/>
          <w:lang w:eastAsia="x-none"/>
        </w:rPr>
      </w:pPr>
    </w:p>
    <w:p w14:paraId="35281E81" w14:textId="77777777" w:rsidR="00647DC4" w:rsidRPr="00647DC4" w:rsidRDefault="00647DC4" w:rsidP="00647DC4">
      <w:pPr>
        <w:rPr>
          <w:rFonts w:ascii="Arial" w:hAnsi="Arial" w:cs="Arial"/>
          <w:highlight w:val="green"/>
          <w:lang w:eastAsia="ja-JP"/>
        </w:rPr>
      </w:pPr>
      <w:r w:rsidRPr="00647DC4">
        <w:rPr>
          <w:rFonts w:ascii="Arial" w:hAnsi="Arial" w:cs="Arial"/>
          <w:highlight w:val="green"/>
          <w:lang w:eastAsia="ja-JP"/>
        </w:rPr>
        <w:t>Agreement</w:t>
      </w:r>
    </w:p>
    <w:p w14:paraId="5F270B42" w14:textId="77777777" w:rsidR="00647DC4" w:rsidRPr="00647DC4" w:rsidRDefault="00647DC4" w:rsidP="00647DC4">
      <w:pPr>
        <w:rPr>
          <w:rFonts w:ascii="Arial" w:hAnsi="Arial" w:cs="Arial"/>
          <w:lang w:eastAsia="ja-JP"/>
        </w:rPr>
      </w:pPr>
    </w:p>
    <w:p w14:paraId="77E7DF5B" w14:textId="77777777" w:rsidR="00647DC4" w:rsidRPr="00647DC4" w:rsidRDefault="00647DC4" w:rsidP="00647DC4">
      <w:pPr>
        <w:pStyle w:val="ListParagraph"/>
        <w:numPr>
          <w:ilvl w:val="0"/>
          <w:numId w:val="25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647DC4">
        <w:rPr>
          <w:rFonts w:ascii="Arial" w:hAnsi="Arial" w:cs="Arial"/>
          <w:sz w:val="20"/>
        </w:rPr>
        <w:t xml:space="preserve">For candidate cell measurement for Rel-18 LTM, </w:t>
      </w:r>
    </w:p>
    <w:p w14:paraId="157093FB" w14:textId="77777777" w:rsidR="00647DC4" w:rsidRPr="00647DC4" w:rsidRDefault="00647DC4" w:rsidP="00647DC4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>SSB based L1-RSRP is supported for intra-frequency measurement</w:t>
      </w:r>
    </w:p>
    <w:p w14:paraId="1AE9C9A5" w14:textId="77777777" w:rsidR="00647DC4" w:rsidRPr="00647DC4" w:rsidRDefault="00647DC4" w:rsidP="00647DC4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>SSB based L1-RSRP is supported for inter-frequency measurement</w:t>
      </w:r>
      <w:r w:rsidRPr="00647DC4">
        <w:rPr>
          <w:rFonts w:ascii="Arial" w:eastAsia="SimSun" w:hAnsi="Arial" w:cs="Arial"/>
          <w:sz w:val="20"/>
          <w:lang w:val="en-US" w:eastAsia="zh-CN"/>
        </w:rPr>
        <w:t xml:space="preserve"> from RAN1 point of view</w:t>
      </w:r>
    </w:p>
    <w:p w14:paraId="15E98108" w14:textId="77777777" w:rsidR="00647DC4" w:rsidRPr="00647DC4" w:rsidRDefault="00647DC4" w:rsidP="00647DC4">
      <w:pPr>
        <w:pStyle w:val="ListParagraph"/>
        <w:numPr>
          <w:ilvl w:val="1"/>
          <w:numId w:val="25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>FFS: L1-SINR, CSI-RS based L1-RSRP</w:t>
      </w:r>
    </w:p>
    <w:p w14:paraId="3A07CB53" w14:textId="77777777" w:rsidR="00647DC4" w:rsidRPr="00647DC4" w:rsidRDefault="00647DC4" w:rsidP="00647DC4">
      <w:pPr>
        <w:rPr>
          <w:rFonts w:ascii="Arial" w:hAnsi="Arial" w:cs="Arial"/>
          <w:lang w:eastAsia="x-none"/>
        </w:rPr>
      </w:pPr>
    </w:p>
    <w:p w14:paraId="58100A90" w14:textId="77777777" w:rsidR="00647DC4" w:rsidRPr="00647DC4" w:rsidRDefault="00647DC4" w:rsidP="00647DC4">
      <w:pPr>
        <w:rPr>
          <w:rFonts w:ascii="Arial" w:hAnsi="Arial" w:cs="Arial"/>
          <w:highlight w:val="green"/>
          <w:lang w:eastAsia="ja-JP"/>
        </w:rPr>
      </w:pPr>
      <w:r w:rsidRPr="00647DC4">
        <w:rPr>
          <w:rFonts w:ascii="Arial" w:hAnsi="Arial" w:cs="Arial"/>
          <w:highlight w:val="green"/>
          <w:lang w:eastAsia="ja-JP"/>
        </w:rPr>
        <w:t>Agreement</w:t>
      </w:r>
    </w:p>
    <w:p w14:paraId="7A72273A" w14:textId="77777777" w:rsidR="00647DC4" w:rsidRPr="00647DC4" w:rsidRDefault="00647DC4" w:rsidP="00647DC4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647DC4">
        <w:rPr>
          <w:rFonts w:ascii="Arial" w:hAnsi="Arial" w:cs="Arial"/>
          <w:sz w:val="20"/>
        </w:rPr>
        <w:t>The beam indication of candidate cell(s) for Rel-18 LTM should be designed based on the following:</w:t>
      </w:r>
    </w:p>
    <w:p w14:paraId="0857D203" w14:textId="77777777" w:rsidR="00647DC4" w:rsidRPr="00647DC4" w:rsidRDefault="00647DC4" w:rsidP="00647DC4">
      <w:pPr>
        <w:pStyle w:val="ListParagraph"/>
        <w:numPr>
          <w:ilvl w:val="1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647DC4">
        <w:rPr>
          <w:rFonts w:ascii="Arial" w:hAnsi="Arial" w:cs="Arial"/>
          <w:sz w:val="20"/>
        </w:rPr>
        <w:t xml:space="preserve">Beam indication for Rel-18 LTM is designed based on Rel-17 unified TCI framework, if both serving cell and candidate cell support Rel-17 unified TCI framework </w:t>
      </w:r>
    </w:p>
    <w:p w14:paraId="2C206CF8" w14:textId="77777777" w:rsidR="00647DC4" w:rsidRPr="00647DC4" w:rsidRDefault="00647DC4" w:rsidP="00647DC4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>FFS: whether/how to design mechanism for Beam indication for Rel-18 LTM when at least one from serving cell and candidate cell supports only Rel-15 TCI framework.</w:t>
      </w:r>
    </w:p>
    <w:p w14:paraId="7301428D" w14:textId="77777777" w:rsidR="00647DC4" w:rsidRPr="00647DC4" w:rsidRDefault="00647DC4" w:rsidP="00647DC4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 xml:space="preserve">Note: How and whether to indicate the new serving cell(s) and timing for beam indication are separately discussed </w:t>
      </w:r>
    </w:p>
    <w:p w14:paraId="126320F9" w14:textId="77777777" w:rsidR="00647DC4" w:rsidRPr="00647DC4" w:rsidRDefault="00647DC4" w:rsidP="00647DC4">
      <w:pPr>
        <w:rPr>
          <w:rFonts w:ascii="Arial" w:hAnsi="Arial" w:cs="Arial"/>
          <w:color w:val="FF0000"/>
          <w:lang w:eastAsia="ja-JP"/>
        </w:rPr>
      </w:pPr>
    </w:p>
    <w:p w14:paraId="7FF4ACC5" w14:textId="77777777" w:rsidR="00647DC4" w:rsidRPr="00647DC4" w:rsidRDefault="00647DC4" w:rsidP="00647DC4">
      <w:pPr>
        <w:tabs>
          <w:tab w:val="left" w:pos="1680"/>
        </w:tabs>
        <w:rPr>
          <w:rFonts w:ascii="Arial" w:hAnsi="Arial" w:cs="Arial"/>
          <w:highlight w:val="green"/>
          <w:lang w:eastAsia="ja-JP"/>
        </w:rPr>
      </w:pPr>
      <w:r w:rsidRPr="00647DC4">
        <w:rPr>
          <w:rFonts w:ascii="Arial" w:hAnsi="Arial" w:cs="Arial"/>
          <w:highlight w:val="green"/>
          <w:lang w:eastAsia="ja-JP"/>
        </w:rPr>
        <w:t>Agreement</w:t>
      </w:r>
    </w:p>
    <w:p w14:paraId="68950A3C" w14:textId="77777777" w:rsidR="00647DC4" w:rsidRPr="00647DC4" w:rsidRDefault="00647DC4" w:rsidP="00647DC4">
      <w:pPr>
        <w:pStyle w:val="ListParagraph"/>
        <w:numPr>
          <w:ilvl w:val="0"/>
          <w:numId w:val="24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647DC4">
        <w:rPr>
          <w:rFonts w:ascii="Arial" w:hAnsi="Arial" w:cs="Arial"/>
          <w:sz w:val="20"/>
        </w:rPr>
        <w:t>For gNB scheduled L1 measurement report for Rel-18 LTM, report as UCI is supported</w:t>
      </w:r>
    </w:p>
    <w:p w14:paraId="38B685A0" w14:textId="77777777" w:rsidR="00647DC4" w:rsidRPr="00647DC4" w:rsidRDefault="00647DC4" w:rsidP="00647DC4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>Semi-persistent report on PUSCH, and aperiodic report on PUSCH are supported</w:t>
      </w:r>
    </w:p>
    <w:p w14:paraId="4D311F32" w14:textId="77777777" w:rsidR="00647DC4" w:rsidRPr="00647DC4" w:rsidRDefault="00647DC4" w:rsidP="00647DC4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>FFS: periodic and semi-persistent PUCCH</w:t>
      </w:r>
    </w:p>
    <w:p w14:paraId="7086935C" w14:textId="77777777" w:rsidR="00647DC4" w:rsidRPr="00647DC4" w:rsidRDefault="00647DC4" w:rsidP="00647DC4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</w:rPr>
      </w:pPr>
      <w:r w:rsidRPr="00647DC4">
        <w:rPr>
          <w:rFonts w:ascii="Arial" w:hAnsi="Arial" w:cs="Arial"/>
          <w:sz w:val="20"/>
        </w:rPr>
        <w:t xml:space="preserve">In a single report instance, report for serving cell and candidate cell(s) for intra-frequency and/or inter-frequency can be included. </w:t>
      </w:r>
    </w:p>
    <w:p w14:paraId="75D01439" w14:textId="77777777" w:rsidR="00647DC4" w:rsidRPr="00647DC4" w:rsidRDefault="00647DC4" w:rsidP="00647DC4">
      <w:pPr>
        <w:rPr>
          <w:rFonts w:ascii="Arial" w:hAnsi="Arial" w:cs="Arial"/>
          <w:lang w:eastAsia="ja-JP"/>
        </w:rPr>
      </w:pPr>
    </w:p>
    <w:p w14:paraId="4AA4CCD0" w14:textId="77777777" w:rsidR="00647DC4" w:rsidRPr="00647DC4" w:rsidRDefault="00647DC4" w:rsidP="00647DC4">
      <w:pPr>
        <w:rPr>
          <w:rFonts w:ascii="Arial" w:eastAsia="Batang" w:hAnsi="Arial" w:cs="Arial"/>
          <w:highlight w:val="green"/>
          <w:lang w:eastAsia="ja-JP"/>
        </w:rPr>
      </w:pPr>
      <w:r w:rsidRPr="00647DC4">
        <w:rPr>
          <w:rFonts w:ascii="Arial" w:hAnsi="Arial" w:cs="Arial"/>
          <w:highlight w:val="green"/>
          <w:lang w:eastAsia="ja-JP"/>
        </w:rPr>
        <w:t>Agreement</w:t>
      </w:r>
    </w:p>
    <w:p w14:paraId="2F521604" w14:textId="77777777" w:rsidR="00647DC4" w:rsidRDefault="00647DC4" w:rsidP="00647DC4">
      <w:pPr>
        <w:numPr>
          <w:ilvl w:val="0"/>
          <w:numId w:val="24"/>
        </w:numPr>
        <w:rPr>
          <w:rFonts w:ascii="Arial" w:eastAsia="MS PGothic" w:hAnsi="Arial" w:cs="Arial"/>
        </w:rPr>
      </w:pPr>
      <w:r w:rsidRPr="00647DC4">
        <w:rPr>
          <w:rFonts w:ascii="Arial" w:hAnsi="Arial" w:cs="Arial"/>
        </w:rPr>
        <w:t xml:space="preserve">For beam indication timing for Rel-18 LTM, </w:t>
      </w:r>
    </w:p>
    <w:p w14:paraId="7B2351BE" w14:textId="77777777" w:rsidR="00647DC4" w:rsidRDefault="00647DC4" w:rsidP="00647DC4">
      <w:pPr>
        <w:numPr>
          <w:ilvl w:val="1"/>
          <w:numId w:val="24"/>
        </w:numPr>
        <w:rPr>
          <w:rFonts w:ascii="Arial" w:eastAsia="MS PGothic" w:hAnsi="Arial" w:cs="Arial"/>
        </w:rPr>
      </w:pPr>
      <w:r w:rsidRPr="00647DC4">
        <w:rPr>
          <w:rFonts w:ascii="Arial" w:hAnsi="Arial" w:cs="Arial"/>
        </w:rPr>
        <w:t xml:space="preserve">Support Scenario 2: Beam indication together with cell switch command, </w:t>
      </w:r>
    </w:p>
    <w:p w14:paraId="1503F25E" w14:textId="77777777" w:rsidR="00647DC4" w:rsidRDefault="00647DC4" w:rsidP="00647DC4">
      <w:pPr>
        <w:numPr>
          <w:ilvl w:val="2"/>
          <w:numId w:val="24"/>
        </w:numPr>
        <w:rPr>
          <w:rFonts w:ascii="Arial" w:eastAsia="MS PGothic" w:hAnsi="Arial" w:cs="Arial"/>
        </w:rPr>
      </w:pPr>
      <w:r w:rsidRPr="00647DC4">
        <w:rPr>
          <w:rFonts w:ascii="Arial" w:hAnsi="Arial" w:cs="Arial"/>
        </w:rPr>
        <w:t xml:space="preserve">For Rel-17 unified TCI framework, </w:t>
      </w:r>
    </w:p>
    <w:p w14:paraId="5375BBDE" w14:textId="77777777" w:rsidR="00647DC4" w:rsidRPr="00647DC4" w:rsidRDefault="00647DC4" w:rsidP="00647DC4">
      <w:pPr>
        <w:numPr>
          <w:ilvl w:val="3"/>
          <w:numId w:val="24"/>
        </w:numPr>
        <w:rPr>
          <w:rFonts w:ascii="Arial" w:eastAsia="MS PGothic" w:hAnsi="Arial" w:cs="Arial"/>
        </w:rPr>
      </w:pPr>
      <w:r w:rsidRPr="00647DC4">
        <w:rPr>
          <w:rFonts w:ascii="Arial" w:hAnsi="Arial" w:cs="Arial"/>
        </w:rPr>
        <w:t>Beam indication indicates TCI state for each target serving cell</w:t>
      </w:r>
    </w:p>
    <w:p w14:paraId="66B50492" w14:textId="77777777" w:rsidR="00647DC4" w:rsidRPr="00647DC4" w:rsidRDefault="00647DC4" w:rsidP="00647DC4">
      <w:pPr>
        <w:numPr>
          <w:ilvl w:val="1"/>
          <w:numId w:val="24"/>
        </w:numPr>
        <w:rPr>
          <w:rFonts w:ascii="Arial" w:eastAsia="Batang" w:hAnsi="Arial" w:cs="Arial"/>
        </w:rPr>
      </w:pPr>
      <w:r w:rsidRPr="00647DC4">
        <w:rPr>
          <w:rFonts w:ascii="Arial" w:hAnsi="Arial" w:cs="Arial"/>
        </w:rPr>
        <w:t>FFS: Scenario 1: Beam indication before cell switch command</w:t>
      </w:r>
    </w:p>
    <w:p w14:paraId="497D3579" w14:textId="77777777" w:rsidR="00647DC4" w:rsidRPr="00647DC4" w:rsidRDefault="00647DC4" w:rsidP="00647DC4">
      <w:pPr>
        <w:numPr>
          <w:ilvl w:val="1"/>
          <w:numId w:val="24"/>
        </w:numPr>
        <w:rPr>
          <w:rFonts w:ascii="Arial" w:eastAsia="Times New Roman" w:hAnsi="Arial" w:cs="Arial"/>
        </w:rPr>
      </w:pPr>
      <w:r w:rsidRPr="00647DC4">
        <w:rPr>
          <w:rFonts w:ascii="Arial" w:hAnsi="Arial" w:cs="Arial"/>
        </w:rPr>
        <w:t>FFS: Scenario 3: Beam indication after cell switch command</w:t>
      </w:r>
    </w:p>
    <w:p w14:paraId="63793407" w14:textId="77777777" w:rsidR="00647DC4" w:rsidRPr="00647DC4" w:rsidRDefault="00647DC4" w:rsidP="00647DC4">
      <w:pPr>
        <w:numPr>
          <w:ilvl w:val="0"/>
          <w:numId w:val="24"/>
        </w:numPr>
        <w:rPr>
          <w:rFonts w:ascii="Arial" w:eastAsia="Batang" w:hAnsi="Arial" w:cs="Arial"/>
        </w:rPr>
      </w:pPr>
      <w:r w:rsidRPr="00647DC4">
        <w:rPr>
          <w:rFonts w:ascii="Arial" w:hAnsi="Arial" w:cs="Arial"/>
        </w:rPr>
        <w:t xml:space="preserve">FFS: Activation of TCI state(s) of target serving and/or candidate cell(s). </w:t>
      </w:r>
    </w:p>
    <w:p w14:paraId="3BCDDEEA" w14:textId="77777777" w:rsidR="00026040" w:rsidRPr="00647DC4" w:rsidRDefault="0002604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3ED7FD6" w14:textId="77777777" w:rsidR="00647DC4" w:rsidRPr="00647DC4" w:rsidRDefault="00647DC4" w:rsidP="00647DC4">
      <w:pPr>
        <w:shd w:val="clear" w:color="auto" w:fill="FFFFFF"/>
        <w:spacing w:line="330" w:lineRule="atLeast"/>
        <w:rPr>
          <w:rFonts w:ascii="Arial" w:eastAsia="SimSun" w:hAnsi="Arial" w:cs="Arial"/>
          <w:color w:val="000000"/>
          <w:highlight w:val="green"/>
          <w:lang w:val="en-US" w:eastAsia="zh-CN"/>
        </w:rPr>
      </w:pPr>
      <w:r w:rsidRPr="00647DC4">
        <w:rPr>
          <w:rFonts w:ascii="Arial" w:hAnsi="Arial" w:cs="Arial"/>
          <w:highlight w:val="green"/>
          <w:lang w:eastAsia="x-none"/>
        </w:rPr>
        <w:t>Agreement</w:t>
      </w:r>
    </w:p>
    <w:p w14:paraId="294E23DD" w14:textId="77777777" w:rsidR="00647DC4" w:rsidRPr="00647DC4" w:rsidRDefault="00647DC4" w:rsidP="00647DC4">
      <w:pPr>
        <w:rPr>
          <w:rFonts w:ascii="Arial" w:hAnsi="Arial" w:cs="Arial"/>
        </w:rPr>
      </w:pPr>
      <w:r w:rsidRPr="00647DC4">
        <w:rPr>
          <w:rFonts w:ascii="Arial" w:hAnsi="Arial" w:cs="Arial"/>
        </w:rPr>
        <w:t>On mechanism to acquire TA of the candidate cell(s) in Rel-18 LTM, at least support PDCCH ordered RACH.</w:t>
      </w:r>
    </w:p>
    <w:p w14:paraId="35C29713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The PDCCH order is only triggered by source cell</w:t>
      </w:r>
    </w:p>
    <w:p w14:paraId="052A79D0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FFS: the details including content of DCI, RACH resource configuration, RAR transmission mechanism, etc.</w:t>
      </w:r>
    </w:p>
    <w:p w14:paraId="498FE618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Note: any other RACH-based solutions are for discussion separately</w:t>
      </w:r>
    </w:p>
    <w:p w14:paraId="307B1623" w14:textId="77777777" w:rsidR="00647DC4" w:rsidRPr="00647DC4" w:rsidRDefault="00647DC4" w:rsidP="00647DC4">
      <w:pPr>
        <w:shd w:val="clear" w:color="auto" w:fill="FFFFFF"/>
        <w:spacing w:after="160" w:line="253" w:lineRule="atLeast"/>
        <w:ind w:left="840"/>
        <w:rPr>
          <w:rFonts w:ascii="Arial" w:eastAsia="SimSun" w:hAnsi="Arial" w:cs="Arial"/>
          <w:color w:val="000000"/>
          <w:lang w:val="en-US" w:eastAsia="zh-CN"/>
        </w:rPr>
      </w:pPr>
    </w:p>
    <w:p w14:paraId="7D0D1A5F" w14:textId="77777777" w:rsidR="00647DC4" w:rsidRPr="00647DC4" w:rsidRDefault="00647DC4" w:rsidP="00647DC4">
      <w:pPr>
        <w:shd w:val="clear" w:color="auto" w:fill="FFFFFF"/>
        <w:rPr>
          <w:rFonts w:ascii="Arial" w:eastAsia="MS PGothic" w:hAnsi="Arial" w:cs="Arial"/>
          <w:color w:val="242424"/>
          <w:highlight w:val="green"/>
          <w:shd w:val="clear" w:color="auto" w:fill="FFFFFF"/>
          <w:lang w:val="en-US" w:eastAsia="zh-CN"/>
        </w:rPr>
      </w:pPr>
      <w:r w:rsidRPr="00647DC4">
        <w:rPr>
          <w:rFonts w:ascii="Arial" w:eastAsia="MS PGothic" w:hAnsi="Arial" w:cs="Arial"/>
          <w:color w:val="000000"/>
          <w:highlight w:val="green"/>
          <w:shd w:val="clear" w:color="auto" w:fill="FFFF00"/>
          <w:lang w:val="en-US" w:eastAsia="zh-CN"/>
        </w:rPr>
        <w:t>Agreement</w:t>
      </w:r>
      <w:r w:rsidRPr="00647DC4">
        <w:rPr>
          <w:rFonts w:ascii="Arial" w:eastAsia="MS PGothic" w:hAnsi="Arial" w:cs="Arial"/>
          <w:color w:val="242424"/>
          <w:highlight w:val="green"/>
          <w:shd w:val="clear" w:color="auto" w:fill="FFFFFF"/>
          <w:lang w:val="en-US" w:eastAsia="zh-CN"/>
        </w:rPr>
        <w:t> (Made in RAN1#110b-e)</w:t>
      </w:r>
    </w:p>
    <w:p w14:paraId="7AB9B0A9" w14:textId="77777777" w:rsidR="00647DC4" w:rsidRDefault="00647DC4" w:rsidP="00647DC4">
      <w:pPr>
        <w:shd w:val="clear" w:color="auto" w:fill="FFFFFF"/>
        <w:rPr>
          <w:rFonts w:ascii="Arial" w:eastAsia="DengXian" w:hAnsi="Arial" w:cs="Arial"/>
          <w:color w:val="000000"/>
          <w:lang w:val="en-US" w:eastAsia="zh-CN"/>
        </w:rPr>
      </w:pPr>
      <w:r w:rsidRPr="00647DC4">
        <w:rPr>
          <w:rFonts w:ascii="Arial" w:eastAsia="MS PGothic" w:hAnsi="Arial" w:cs="Arial"/>
          <w:color w:val="000000"/>
          <w:lang w:val="en-US" w:eastAsia="zh-CN"/>
        </w:rPr>
        <w:t>Support TA acquisition of candidate cell(s) before cell switch command is received in L1/L2 based mobility.</w:t>
      </w:r>
    </w:p>
    <w:p w14:paraId="40BB30DD" w14:textId="77777777" w:rsidR="00647DC4" w:rsidRPr="00647DC4" w:rsidRDefault="00647DC4" w:rsidP="00647DC4">
      <w:pPr>
        <w:numPr>
          <w:ilvl w:val="0"/>
          <w:numId w:val="24"/>
        </w:numPr>
        <w:shd w:val="clear" w:color="auto" w:fill="FFFFFF"/>
        <w:rPr>
          <w:rFonts w:ascii="Arial" w:eastAsia="MS PGothic" w:hAnsi="Arial" w:cs="Arial"/>
          <w:color w:val="000000"/>
          <w:lang w:val="en-US" w:eastAsia="zh-CN"/>
        </w:rPr>
      </w:pPr>
      <w:r w:rsidRPr="00647DC4">
        <w:rPr>
          <w:rFonts w:ascii="Arial" w:eastAsia="MS PGothic" w:hAnsi="Arial" w:cs="Arial"/>
          <w:lang w:val="en-US" w:eastAsia="zh-CN"/>
        </w:rPr>
        <w:t>FFS: whether this can be applied to candidate cell when it is deactivated SCell (if defined in RAN2)</w:t>
      </w:r>
    </w:p>
    <w:p w14:paraId="684E76A8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lang w:val="en-US" w:eastAsia="zh-CN"/>
        </w:rPr>
      </w:pPr>
    </w:p>
    <w:p w14:paraId="252B0C36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lang w:val="en-US" w:eastAsia="zh-CN"/>
        </w:rPr>
      </w:pPr>
    </w:p>
    <w:p w14:paraId="7F802CC9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highlight w:val="green"/>
          <w:lang w:val="en-US" w:eastAsia="zh-CN"/>
        </w:rPr>
      </w:pPr>
      <w:r w:rsidRPr="00647DC4">
        <w:rPr>
          <w:rFonts w:ascii="Arial" w:eastAsia="SimSun" w:hAnsi="Arial" w:cs="Arial"/>
          <w:color w:val="000000"/>
          <w:highlight w:val="green"/>
          <w:lang w:val="en-US" w:eastAsia="zh-CN"/>
        </w:rPr>
        <w:t>Agreement</w:t>
      </w:r>
    </w:p>
    <w:p w14:paraId="73430B8F" w14:textId="77777777" w:rsidR="00647DC4" w:rsidRPr="001A0314" w:rsidRDefault="00647DC4" w:rsidP="00647DC4">
      <w:pPr>
        <w:shd w:val="clear" w:color="auto" w:fill="FFFFFF"/>
        <w:rPr>
          <w:rFonts w:ascii="Arial" w:hAnsi="Arial" w:cs="Arial"/>
          <w:color w:val="000000"/>
          <w:lang w:val="en-US" w:eastAsia="ja-JP"/>
        </w:rPr>
      </w:pPr>
      <w:r w:rsidRPr="00647DC4">
        <w:rPr>
          <w:rFonts w:ascii="Arial" w:eastAsia="SimSun" w:hAnsi="Arial" w:cs="Arial"/>
          <w:color w:val="000000"/>
          <w:lang w:val="en-US" w:eastAsia="zh-CN"/>
        </w:rPr>
        <w:t>For PDCCH ordered RACH in LTM, at least the following enhancements are supported</w:t>
      </w:r>
    </w:p>
    <w:p w14:paraId="6E1F668E" w14:textId="77777777" w:rsidR="00647DC4" w:rsidRDefault="00647DC4" w:rsidP="00647DC4">
      <w:pPr>
        <w:numPr>
          <w:ilvl w:val="0"/>
          <w:numId w:val="24"/>
        </w:numPr>
        <w:shd w:val="clear" w:color="auto" w:fill="FFFFFF"/>
        <w:rPr>
          <w:rFonts w:ascii="Arial" w:eastAsia="SimSun" w:hAnsi="Arial" w:cs="Arial"/>
          <w:color w:val="000000"/>
          <w:lang w:val="en-US" w:eastAsia="zh-CN"/>
        </w:rPr>
      </w:pPr>
      <w:r w:rsidRPr="00647DC4">
        <w:rPr>
          <w:rFonts w:ascii="Arial" w:eastAsia="SimSun" w:hAnsi="Arial" w:cs="Arial"/>
          <w:color w:val="000000"/>
          <w:lang w:val="en-US" w:eastAsia="zh-CN"/>
        </w:rPr>
        <w:t>Introduce indication of candidate cell and/or RO of candidate cell in DCI</w:t>
      </w:r>
    </w:p>
    <w:p w14:paraId="45AE4E4C" w14:textId="77777777" w:rsidR="00647DC4" w:rsidRDefault="00647DC4" w:rsidP="00647DC4">
      <w:pPr>
        <w:numPr>
          <w:ilvl w:val="0"/>
          <w:numId w:val="24"/>
        </w:numPr>
        <w:shd w:val="clear" w:color="auto" w:fill="FFFFFF"/>
        <w:rPr>
          <w:rFonts w:ascii="Arial" w:eastAsia="SimSun" w:hAnsi="Arial" w:cs="Arial"/>
          <w:color w:val="000000"/>
          <w:lang w:val="en-US" w:eastAsia="zh-CN"/>
        </w:rPr>
      </w:pPr>
      <w:r w:rsidRPr="00647DC4">
        <w:rPr>
          <w:rFonts w:ascii="Arial" w:eastAsia="SimSun" w:hAnsi="Arial" w:cs="Arial"/>
          <w:color w:val="000000"/>
          <w:lang w:val="en-US" w:eastAsia="zh-CN"/>
        </w:rPr>
        <w:t>configuration of RACH resource for candidate cell(s) is provided prior to the PDCCH order</w:t>
      </w:r>
    </w:p>
    <w:p w14:paraId="4AFE8510" w14:textId="77777777" w:rsidR="00647DC4" w:rsidRPr="00647DC4" w:rsidRDefault="00647DC4" w:rsidP="00647DC4">
      <w:pPr>
        <w:numPr>
          <w:ilvl w:val="0"/>
          <w:numId w:val="24"/>
        </w:numPr>
        <w:shd w:val="clear" w:color="auto" w:fill="FFFFFF"/>
        <w:rPr>
          <w:rFonts w:ascii="Arial" w:eastAsia="SimSun" w:hAnsi="Arial" w:cs="Arial"/>
          <w:color w:val="000000"/>
          <w:lang w:val="en-US" w:eastAsia="zh-CN"/>
        </w:rPr>
      </w:pPr>
      <w:r w:rsidRPr="00647DC4">
        <w:rPr>
          <w:rFonts w:ascii="Arial" w:eastAsia="SimSun" w:hAnsi="Arial" w:cs="Arial"/>
          <w:color w:val="000000"/>
          <w:lang w:val="en-US" w:eastAsia="zh-CN"/>
        </w:rPr>
        <w:t>FFS: whether/how to transmit RAR</w:t>
      </w:r>
    </w:p>
    <w:p w14:paraId="21438D48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lang w:val="en-US" w:eastAsia="zh-CN"/>
        </w:rPr>
      </w:pPr>
      <w:r w:rsidRPr="00647DC4">
        <w:rPr>
          <w:rFonts w:ascii="Arial" w:eastAsia="SimSun" w:hAnsi="Arial" w:cs="Arial"/>
          <w:color w:val="000000"/>
          <w:lang w:val="en-US" w:eastAsia="zh-CN"/>
        </w:rPr>
        <w:t> </w:t>
      </w:r>
    </w:p>
    <w:p w14:paraId="378FCE29" w14:textId="77777777" w:rsidR="00647DC4" w:rsidRDefault="00647DC4" w:rsidP="00647DC4">
      <w:pPr>
        <w:pStyle w:val="ListParagraph"/>
        <w:numPr>
          <w:ilvl w:val="0"/>
          <w:numId w:val="0"/>
        </w:numPr>
        <w:ind w:left="360" w:hanging="360"/>
        <w:rPr>
          <w:rFonts w:ascii="Arial" w:eastAsia="SimSun" w:hAnsi="Arial" w:cs="Arial"/>
          <w:color w:val="000000"/>
          <w:sz w:val="20"/>
          <w:lang w:val="en-US" w:eastAsia="zh-CN"/>
        </w:rPr>
      </w:pPr>
      <w:r w:rsidRPr="00647DC4">
        <w:rPr>
          <w:rFonts w:ascii="Arial" w:eastAsia="SimSun" w:hAnsi="Arial" w:cs="Arial"/>
          <w:color w:val="000000"/>
          <w:sz w:val="20"/>
          <w:lang w:val="en-US" w:eastAsia="zh-CN"/>
        </w:rPr>
        <w:t> </w:t>
      </w:r>
      <w:r w:rsidRPr="00647DC4">
        <w:rPr>
          <w:rFonts w:ascii="Arial" w:eastAsia="SimSun" w:hAnsi="Arial" w:cs="Arial"/>
          <w:color w:val="000000"/>
          <w:sz w:val="20"/>
          <w:highlight w:val="green"/>
          <w:lang w:val="en-US" w:eastAsia="zh-CN"/>
        </w:rPr>
        <w:t>Agreement</w:t>
      </w:r>
    </w:p>
    <w:p w14:paraId="22E4CDEB" w14:textId="77777777" w:rsidR="00647DC4" w:rsidRPr="00647DC4" w:rsidRDefault="00647DC4" w:rsidP="00647DC4">
      <w:pPr>
        <w:rPr>
          <w:rFonts w:ascii="Arial" w:hAnsi="Arial" w:cs="Arial"/>
          <w:highlight w:val="green"/>
        </w:rPr>
      </w:pPr>
      <w:r w:rsidRPr="00647DC4">
        <w:rPr>
          <w:rFonts w:ascii="Arial" w:hAnsi="Arial" w:cs="Arial"/>
        </w:rPr>
        <w:lastRenderedPageBreak/>
        <w:t>On whether RAR is needed for PDCCH ordered RACH for a candidate cell in LTM, the following alternatives are considered for further study</w:t>
      </w:r>
    </w:p>
    <w:p w14:paraId="3EBC6DBD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Alt 1: RAR is needed</w:t>
      </w:r>
    </w:p>
    <w:p w14:paraId="5DCABC6E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Alt 2: RAR is not needed</w:t>
      </w:r>
    </w:p>
    <w:p w14:paraId="45ABC0D2" w14:textId="77777777" w:rsidR="00647DC4" w:rsidRPr="00647DC4" w:rsidRDefault="00647DC4" w:rsidP="00647DC4">
      <w:pPr>
        <w:numPr>
          <w:ilvl w:val="1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Note: If Alt 2 is supported, TA value of candidate cell is indicated in cell switch command</w:t>
      </w:r>
    </w:p>
    <w:p w14:paraId="6911119A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</w:rPr>
      </w:pPr>
      <w:r w:rsidRPr="00647DC4">
        <w:rPr>
          <w:rFonts w:ascii="Arial" w:hAnsi="Arial" w:cs="Arial"/>
        </w:rPr>
        <w:t>Alt 3: whether RAR is needed can be configured</w:t>
      </w:r>
    </w:p>
    <w:p w14:paraId="4EDD2E91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lang w:eastAsia="zh-CN"/>
        </w:rPr>
      </w:pPr>
    </w:p>
    <w:p w14:paraId="1650408D" w14:textId="77777777" w:rsidR="00647DC4" w:rsidRPr="00647DC4" w:rsidRDefault="00647DC4" w:rsidP="00647DC4">
      <w:pPr>
        <w:rPr>
          <w:rFonts w:ascii="Arial" w:eastAsia="Batang" w:hAnsi="Arial" w:cs="Arial"/>
          <w:highlight w:val="green"/>
        </w:rPr>
      </w:pPr>
      <w:r w:rsidRPr="00647DC4">
        <w:rPr>
          <w:rFonts w:ascii="Arial" w:hAnsi="Arial" w:cs="Arial"/>
          <w:highlight w:val="green"/>
        </w:rPr>
        <w:t>Agreement</w:t>
      </w:r>
    </w:p>
    <w:p w14:paraId="1FC92CD4" w14:textId="77777777" w:rsidR="00647DC4" w:rsidRPr="00647DC4" w:rsidRDefault="00647DC4" w:rsidP="00647DC4">
      <w:pPr>
        <w:numPr>
          <w:ilvl w:val="0"/>
          <w:numId w:val="24"/>
        </w:numPr>
        <w:rPr>
          <w:rFonts w:ascii="Arial" w:hAnsi="Arial" w:cs="Arial"/>
          <w:lang w:eastAsia="zh-CN"/>
        </w:rPr>
      </w:pPr>
      <w:r w:rsidRPr="00647DC4">
        <w:rPr>
          <w:rFonts w:ascii="Arial" w:hAnsi="Arial" w:cs="Arial"/>
          <w:lang w:eastAsia="zh-CN"/>
        </w:rPr>
        <w:t xml:space="preserve">TA updating </w:t>
      </w:r>
      <w:r w:rsidRPr="00647DC4">
        <w:rPr>
          <w:rFonts w:ascii="Arial" w:eastAsia="DengXian" w:hAnsi="Arial" w:cs="Arial"/>
          <w:lang w:eastAsia="zh-CN"/>
        </w:rPr>
        <w:t>(i.e. re-</w:t>
      </w:r>
      <w:r w:rsidRPr="00647DC4">
        <w:rPr>
          <w:rFonts w:ascii="Arial" w:hAnsi="Arial" w:cs="Arial"/>
          <w:lang w:eastAsia="zh-CN"/>
        </w:rPr>
        <w:t>acquisition</w:t>
      </w:r>
      <w:r w:rsidRPr="00647DC4">
        <w:rPr>
          <w:rFonts w:ascii="Arial" w:eastAsia="DengXian" w:hAnsi="Arial" w:cs="Arial"/>
          <w:lang w:eastAsia="zh-CN"/>
        </w:rPr>
        <w:t xml:space="preserve"> of TA)</w:t>
      </w:r>
      <w:r w:rsidRPr="00647DC4">
        <w:rPr>
          <w:rFonts w:ascii="Arial" w:hAnsi="Arial" w:cs="Arial"/>
          <w:lang w:eastAsia="zh-CN"/>
        </w:rPr>
        <w:t xml:space="preserve"> for candidate cell can be triggered by NW. </w:t>
      </w:r>
    </w:p>
    <w:p w14:paraId="03C97F0F" w14:textId="77777777" w:rsidR="00647DC4" w:rsidRPr="00647DC4" w:rsidRDefault="00647DC4" w:rsidP="00647DC4">
      <w:pPr>
        <w:numPr>
          <w:ilvl w:val="1"/>
          <w:numId w:val="24"/>
        </w:numPr>
        <w:rPr>
          <w:rFonts w:ascii="Arial" w:eastAsia="DengXian" w:hAnsi="Arial" w:cs="Arial"/>
          <w:lang w:eastAsia="zh-CN"/>
        </w:rPr>
      </w:pPr>
      <w:r w:rsidRPr="00647DC4">
        <w:rPr>
          <w:rFonts w:ascii="Arial" w:hAnsi="Arial" w:cs="Arial"/>
          <w:lang w:eastAsia="zh-CN"/>
        </w:rPr>
        <w:t>same triggering mechanism reuse the initial TA acquisition, i.e., PDCCH order triggered RACH in a candidate cell</w:t>
      </w:r>
    </w:p>
    <w:p w14:paraId="641C2535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lang w:eastAsia="zh-CN"/>
        </w:rPr>
      </w:pPr>
    </w:p>
    <w:p w14:paraId="26CC5C64" w14:textId="77777777" w:rsidR="00647DC4" w:rsidRPr="00647DC4" w:rsidRDefault="00647DC4" w:rsidP="00647DC4">
      <w:pPr>
        <w:shd w:val="clear" w:color="auto" w:fill="FFFFFF"/>
        <w:rPr>
          <w:rFonts w:ascii="Arial" w:eastAsia="SimSun" w:hAnsi="Arial" w:cs="Arial"/>
          <w:color w:val="000000"/>
          <w:lang w:eastAsia="zh-CN"/>
        </w:rPr>
      </w:pPr>
    </w:p>
    <w:p w14:paraId="09011EA8" w14:textId="77777777" w:rsidR="00026040" w:rsidRPr="00647DC4" w:rsidRDefault="0002604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B01BA99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C602F7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1099E53" w14:textId="77777777" w:rsidR="00026040" w:rsidRDefault="00026040">
      <w:pPr>
        <w:spacing w:after="120"/>
        <w:ind w:left="993" w:hanging="993"/>
        <w:rPr>
          <w:rFonts w:ascii="Arial" w:hAnsi="Arial" w:cs="Arial"/>
        </w:rPr>
      </w:pPr>
    </w:p>
    <w:p w14:paraId="190BDBE7" w14:textId="77777777" w:rsidR="008169E1" w:rsidRPr="0090686F" w:rsidRDefault="008169E1" w:rsidP="008169E1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="000260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RAN3</w:t>
      </w:r>
      <w:r w:rsidRPr="0090686F">
        <w:rPr>
          <w:rFonts w:ascii="Arial" w:hAnsi="Arial" w:cs="Arial"/>
          <w:b/>
        </w:rPr>
        <w:t xml:space="preserve"> </w:t>
      </w:r>
      <w:r w:rsidR="00026040">
        <w:rPr>
          <w:rFonts w:ascii="Arial" w:hAnsi="Arial" w:cs="Arial"/>
          <w:b/>
        </w:rPr>
        <w:t xml:space="preserve">and RAN4 </w:t>
      </w:r>
      <w:r w:rsidRPr="0090686F">
        <w:rPr>
          <w:rFonts w:ascii="Arial" w:hAnsi="Arial" w:cs="Arial"/>
          <w:b/>
        </w:rPr>
        <w:t>group.</w:t>
      </w:r>
    </w:p>
    <w:p w14:paraId="76FFE93B" w14:textId="77777777" w:rsidR="008169E1" w:rsidRPr="000C684D" w:rsidRDefault="008169E1" w:rsidP="008169E1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RAN</w:t>
      </w:r>
      <w:r>
        <w:rPr>
          <w:rFonts w:ascii="Arial" w:hAnsi="Arial" w:cs="Arial"/>
          <w:bCs/>
        </w:rPr>
        <w:t>2</w:t>
      </w:r>
      <w:r w:rsidR="00026040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RAN3 </w:t>
      </w:r>
      <w:r w:rsidR="00026040">
        <w:rPr>
          <w:rFonts w:ascii="Arial" w:hAnsi="Arial" w:cs="Arial"/>
          <w:bCs/>
        </w:rPr>
        <w:t xml:space="preserve">and RAN4 </w:t>
      </w:r>
      <w:r>
        <w:rPr>
          <w:rFonts w:ascii="Arial" w:hAnsi="Arial" w:cs="Arial"/>
          <w:bCs/>
        </w:rPr>
        <w:t xml:space="preserve">to take the RAN1 agreements into consideration for their work. </w:t>
      </w:r>
    </w:p>
    <w:p w14:paraId="52A3851A" w14:textId="77777777" w:rsidR="008169E1" w:rsidRPr="008169E1" w:rsidRDefault="008169E1">
      <w:pPr>
        <w:spacing w:after="120"/>
        <w:ind w:left="993" w:hanging="993"/>
        <w:rPr>
          <w:rFonts w:ascii="Arial" w:hAnsi="Arial" w:cs="Arial"/>
        </w:rPr>
      </w:pPr>
    </w:p>
    <w:p w14:paraId="66361C45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44E77D80" w14:textId="77777777" w:rsidR="00463675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112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27th Feb.</w:t>
      </w:r>
      <w:r w:rsidR="00463675" w:rsidRPr="006F30A0">
        <w:rPr>
          <w:rFonts w:ascii="Arial" w:hAnsi="Arial" w:cs="Arial"/>
          <w:bCs/>
        </w:rPr>
        <w:t xml:space="preserve"> – </w:t>
      </w:r>
      <w:r w:rsidR="0090686F">
        <w:rPr>
          <w:rFonts w:ascii="Arial" w:hAnsi="Arial" w:cs="Arial"/>
          <w:bCs/>
        </w:rPr>
        <w:t>3rd</w:t>
      </w:r>
      <w:r w:rsidR="00463675" w:rsidRPr="006F30A0">
        <w:rPr>
          <w:rFonts w:ascii="Arial" w:hAnsi="Arial" w:cs="Arial"/>
          <w:bCs/>
        </w:rPr>
        <w:t xml:space="preserve"> </w:t>
      </w:r>
      <w:r w:rsidR="0090686F">
        <w:rPr>
          <w:rFonts w:ascii="Arial" w:hAnsi="Arial" w:cs="Arial"/>
          <w:bCs/>
        </w:rPr>
        <w:t>Mar.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</w:t>
      </w:r>
      <w:r w:rsidR="00026040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90686F">
        <w:rPr>
          <w:rFonts w:ascii="Arial" w:hAnsi="Arial" w:cs="Arial"/>
          <w:bCs/>
        </w:rPr>
        <w:t>Athens</w:t>
      </w:r>
      <w:r w:rsidRPr="006F30A0">
        <w:rPr>
          <w:rFonts w:ascii="Arial" w:hAnsi="Arial" w:cs="Arial"/>
          <w:bCs/>
        </w:rPr>
        <w:t xml:space="preserve">, </w:t>
      </w:r>
      <w:r w:rsidR="00D26751">
        <w:rPr>
          <w:rFonts w:ascii="Arial" w:hAnsi="Arial" w:cs="Arial"/>
          <w:bCs/>
        </w:rPr>
        <w:t>GR</w:t>
      </w:r>
      <w:r w:rsidR="00463675" w:rsidRPr="006F30A0">
        <w:rPr>
          <w:rFonts w:ascii="Arial" w:hAnsi="Arial" w:cs="Arial"/>
          <w:bCs/>
        </w:rPr>
        <w:t>.</w:t>
      </w:r>
    </w:p>
    <w:p w14:paraId="7FC669B1" w14:textId="77777777" w:rsidR="00026040" w:rsidRPr="006F30A0" w:rsidRDefault="00026040" w:rsidP="000260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2bis</w:t>
      </w:r>
      <w:r w:rsidR="00D8552E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17t</w:t>
      </w:r>
      <w:r w:rsidRPr="006F30A0">
        <w:rPr>
          <w:rFonts w:ascii="Arial" w:hAnsi="Arial" w:cs="Arial"/>
          <w:bCs/>
        </w:rPr>
        <w:t xml:space="preserve">h – </w:t>
      </w:r>
      <w:r>
        <w:rPr>
          <w:rFonts w:ascii="Arial" w:hAnsi="Arial" w:cs="Arial"/>
          <w:bCs/>
        </w:rPr>
        <w:t>26</w:t>
      </w:r>
      <w:r w:rsidRPr="006F30A0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Apr.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79D1B577" w14:textId="77777777" w:rsidR="00026040" w:rsidRPr="00026040" w:rsidRDefault="000260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26040" w:rsidRPr="0002604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C1D8" w14:textId="77777777" w:rsidR="005B31B6" w:rsidRDefault="005B31B6">
      <w:r>
        <w:separator/>
      </w:r>
    </w:p>
  </w:endnote>
  <w:endnote w:type="continuationSeparator" w:id="0">
    <w:p w14:paraId="7AA075A7" w14:textId="77777777" w:rsidR="005B31B6" w:rsidRDefault="005B31B6">
      <w:r>
        <w:continuationSeparator/>
      </w:r>
    </w:p>
  </w:endnote>
  <w:endnote w:type="continuationNotice" w:id="1">
    <w:p w14:paraId="275BDB08" w14:textId="77777777" w:rsidR="005B31B6" w:rsidRDefault="005B3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7312C" w14:textId="77777777" w:rsidR="005B31B6" w:rsidRDefault="005B31B6">
      <w:r>
        <w:separator/>
      </w:r>
    </w:p>
  </w:footnote>
  <w:footnote w:type="continuationSeparator" w:id="0">
    <w:p w14:paraId="006CC8B1" w14:textId="77777777" w:rsidR="005B31B6" w:rsidRDefault="005B31B6">
      <w:r>
        <w:continuationSeparator/>
      </w:r>
    </w:p>
  </w:footnote>
  <w:footnote w:type="continuationNotice" w:id="1">
    <w:p w14:paraId="2955D0EE" w14:textId="77777777" w:rsidR="005B31B6" w:rsidRDefault="005B31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56BEF"/>
    <w:multiLevelType w:val="multilevel"/>
    <w:tmpl w:val="493E682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2" w15:restartNumberingAfterBreak="0">
    <w:nsid w:val="1AC65095"/>
    <w:multiLevelType w:val="multilevel"/>
    <w:tmpl w:val="406036C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7328FC"/>
    <w:multiLevelType w:val="multilevel"/>
    <w:tmpl w:val="09B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0B70A2"/>
    <w:multiLevelType w:val="multilevel"/>
    <w:tmpl w:val="A98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1D1388"/>
    <w:multiLevelType w:val="hybridMultilevel"/>
    <w:tmpl w:val="FAAC2758"/>
    <w:lvl w:ilvl="0" w:tplc="65E6B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0E57C4"/>
    <w:multiLevelType w:val="hybridMultilevel"/>
    <w:tmpl w:val="81566152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E73888"/>
    <w:multiLevelType w:val="hybridMultilevel"/>
    <w:tmpl w:val="17382E7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1E165C3"/>
    <w:multiLevelType w:val="hybridMultilevel"/>
    <w:tmpl w:val="87E85436"/>
    <w:lvl w:ilvl="0" w:tplc="91806D0A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19111E"/>
    <w:multiLevelType w:val="hybridMultilevel"/>
    <w:tmpl w:val="0B60E4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1115AAC"/>
    <w:multiLevelType w:val="multilevel"/>
    <w:tmpl w:val="527AA4E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Times" w:eastAsia="Batang" w:hAnsi="Times" w:cs="Time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556AD7"/>
    <w:multiLevelType w:val="hybridMultilevel"/>
    <w:tmpl w:val="C2E43058"/>
    <w:lvl w:ilvl="0" w:tplc="82DA7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6A32B73"/>
    <w:multiLevelType w:val="hybridMultilevel"/>
    <w:tmpl w:val="9EFC8FB8"/>
    <w:lvl w:ilvl="0" w:tplc="95BA9C9C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A67BF0"/>
    <w:multiLevelType w:val="hybridMultilevel"/>
    <w:tmpl w:val="91C2295E"/>
    <w:lvl w:ilvl="0" w:tplc="F102836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6517864">
    <w:abstractNumId w:val="28"/>
  </w:num>
  <w:num w:numId="2" w16cid:durableId="1999190686">
    <w:abstractNumId w:val="25"/>
  </w:num>
  <w:num w:numId="3" w16cid:durableId="231308015">
    <w:abstractNumId w:val="21"/>
  </w:num>
  <w:num w:numId="4" w16cid:durableId="3017798">
    <w:abstractNumId w:val="13"/>
  </w:num>
  <w:num w:numId="5" w16cid:durableId="2118716764">
    <w:abstractNumId w:val="9"/>
  </w:num>
  <w:num w:numId="6" w16cid:durableId="562564128">
    <w:abstractNumId w:val="7"/>
  </w:num>
  <w:num w:numId="7" w16cid:durableId="1738822865">
    <w:abstractNumId w:val="6"/>
  </w:num>
  <w:num w:numId="8" w16cid:durableId="459878813">
    <w:abstractNumId w:val="5"/>
  </w:num>
  <w:num w:numId="9" w16cid:durableId="110125336">
    <w:abstractNumId w:val="4"/>
  </w:num>
  <w:num w:numId="10" w16cid:durableId="364259465">
    <w:abstractNumId w:val="8"/>
  </w:num>
  <w:num w:numId="11" w16cid:durableId="1136024161">
    <w:abstractNumId w:val="3"/>
  </w:num>
  <w:num w:numId="12" w16cid:durableId="124861394">
    <w:abstractNumId w:val="2"/>
  </w:num>
  <w:num w:numId="13" w16cid:durableId="471562678">
    <w:abstractNumId w:val="1"/>
  </w:num>
  <w:num w:numId="14" w16cid:durableId="552889652">
    <w:abstractNumId w:val="0"/>
  </w:num>
  <w:num w:numId="15" w16cid:durableId="899289141">
    <w:abstractNumId w:val="17"/>
  </w:num>
  <w:num w:numId="16" w16cid:durableId="3947740">
    <w:abstractNumId w:val="11"/>
  </w:num>
  <w:num w:numId="17" w16cid:durableId="355037984">
    <w:abstractNumId w:val="30"/>
  </w:num>
  <w:num w:numId="18" w16cid:durableId="1872500282">
    <w:abstractNumId w:val="16"/>
  </w:num>
  <w:num w:numId="19" w16cid:durableId="1852599256">
    <w:abstractNumId w:val="15"/>
  </w:num>
  <w:num w:numId="20" w16cid:durableId="2114789266">
    <w:abstractNumId w:val="32"/>
  </w:num>
  <w:num w:numId="21" w16cid:durableId="1277249596">
    <w:abstractNumId w:val="19"/>
  </w:num>
  <w:num w:numId="22" w16cid:durableId="1948272968">
    <w:abstractNumId w:val="14"/>
  </w:num>
  <w:num w:numId="23" w16cid:durableId="217205307">
    <w:abstractNumId w:val="29"/>
  </w:num>
  <w:num w:numId="24" w16cid:durableId="1835484935">
    <w:abstractNumId w:val="30"/>
  </w:num>
  <w:num w:numId="25" w16cid:durableId="186254654">
    <w:abstractNumId w:val="12"/>
  </w:num>
  <w:num w:numId="26" w16cid:durableId="1533150587">
    <w:abstractNumId w:val="20"/>
  </w:num>
  <w:num w:numId="27" w16cid:durableId="2060933614">
    <w:abstractNumId w:val="24"/>
  </w:num>
  <w:num w:numId="28" w16cid:durableId="1270428417">
    <w:abstractNumId w:val="22"/>
  </w:num>
  <w:num w:numId="29" w16cid:durableId="1598101242">
    <w:abstractNumId w:val="22"/>
  </w:num>
  <w:num w:numId="30" w16cid:durableId="459149762">
    <w:abstractNumId w:val="31"/>
  </w:num>
  <w:num w:numId="31" w16cid:durableId="1659460014">
    <w:abstractNumId w:val="35"/>
  </w:num>
  <w:num w:numId="32" w16cid:durableId="549001766">
    <w:abstractNumId w:val="33"/>
  </w:num>
  <w:num w:numId="33" w16cid:durableId="1666780286">
    <w:abstractNumId w:val="34"/>
  </w:num>
  <w:num w:numId="34" w16cid:durableId="2127236401">
    <w:abstractNumId w:val="18"/>
  </w:num>
  <w:num w:numId="35" w16cid:durableId="1405687581">
    <w:abstractNumId w:val="31"/>
  </w:num>
  <w:num w:numId="36" w16cid:durableId="1853372689">
    <w:abstractNumId w:val="23"/>
  </w:num>
  <w:num w:numId="37" w16cid:durableId="230309095">
    <w:abstractNumId w:val="26"/>
  </w:num>
  <w:num w:numId="38" w16cid:durableId="973098771">
    <w:abstractNumId w:val="10"/>
  </w:num>
  <w:num w:numId="39" w16cid:durableId="1116606343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6040"/>
    <w:rsid w:val="000B217C"/>
    <w:rsid w:val="000C684D"/>
    <w:rsid w:val="000F4E43"/>
    <w:rsid w:val="000F511E"/>
    <w:rsid w:val="00105FE3"/>
    <w:rsid w:val="0012194D"/>
    <w:rsid w:val="001819D7"/>
    <w:rsid w:val="001A0314"/>
    <w:rsid w:val="001C47C9"/>
    <w:rsid w:val="001D2FAF"/>
    <w:rsid w:val="002A7E84"/>
    <w:rsid w:val="003626E9"/>
    <w:rsid w:val="003B0BFB"/>
    <w:rsid w:val="003E1692"/>
    <w:rsid w:val="003F19EC"/>
    <w:rsid w:val="00421201"/>
    <w:rsid w:val="00432BBE"/>
    <w:rsid w:val="00454585"/>
    <w:rsid w:val="00463675"/>
    <w:rsid w:val="0046596F"/>
    <w:rsid w:val="00494C68"/>
    <w:rsid w:val="00497678"/>
    <w:rsid w:val="004A32B8"/>
    <w:rsid w:val="004A4433"/>
    <w:rsid w:val="004A4552"/>
    <w:rsid w:val="004D602E"/>
    <w:rsid w:val="0050678B"/>
    <w:rsid w:val="00517B08"/>
    <w:rsid w:val="005755FE"/>
    <w:rsid w:val="00583420"/>
    <w:rsid w:val="00584B08"/>
    <w:rsid w:val="005B31B6"/>
    <w:rsid w:val="005D2DC3"/>
    <w:rsid w:val="005F0EE0"/>
    <w:rsid w:val="006443D1"/>
    <w:rsid w:val="00647DC4"/>
    <w:rsid w:val="006A538D"/>
    <w:rsid w:val="006B003D"/>
    <w:rsid w:val="006F30A0"/>
    <w:rsid w:val="00715B56"/>
    <w:rsid w:val="00726FC3"/>
    <w:rsid w:val="0073141A"/>
    <w:rsid w:val="00734D68"/>
    <w:rsid w:val="0073788A"/>
    <w:rsid w:val="007A02CE"/>
    <w:rsid w:val="007C286A"/>
    <w:rsid w:val="00814AAF"/>
    <w:rsid w:val="008169E1"/>
    <w:rsid w:val="0085078F"/>
    <w:rsid w:val="00890699"/>
    <w:rsid w:val="008A4465"/>
    <w:rsid w:val="008D0C52"/>
    <w:rsid w:val="008D471A"/>
    <w:rsid w:val="0090686F"/>
    <w:rsid w:val="00910065"/>
    <w:rsid w:val="00923E7C"/>
    <w:rsid w:val="0096114C"/>
    <w:rsid w:val="009A6B52"/>
    <w:rsid w:val="009B6BF7"/>
    <w:rsid w:val="009D5926"/>
    <w:rsid w:val="00A311F9"/>
    <w:rsid w:val="00A3794A"/>
    <w:rsid w:val="00A640F8"/>
    <w:rsid w:val="00A76D29"/>
    <w:rsid w:val="00A80380"/>
    <w:rsid w:val="00B01BA3"/>
    <w:rsid w:val="00B200DB"/>
    <w:rsid w:val="00B532E9"/>
    <w:rsid w:val="00B7467E"/>
    <w:rsid w:val="00B8036D"/>
    <w:rsid w:val="00BC11AE"/>
    <w:rsid w:val="00BD7D73"/>
    <w:rsid w:val="00BE45A9"/>
    <w:rsid w:val="00C03033"/>
    <w:rsid w:val="00C43678"/>
    <w:rsid w:val="00C71BBF"/>
    <w:rsid w:val="00C7421A"/>
    <w:rsid w:val="00CB1E6E"/>
    <w:rsid w:val="00CD2B1F"/>
    <w:rsid w:val="00D02494"/>
    <w:rsid w:val="00D0367C"/>
    <w:rsid w:val="00D226A6"/>
    <w:rsid w:val="00D2581F"/>
    <w:rsid w:val="00D26751"/>
    <w:rsid w:val="00D43D4F"/>
    <w:rsid w:val="00D651CB"/>
    <w:rsid w:val="00D8552E"/>
    <w:rsid w:val="00DC0FF9"/>
    <w:rsid w:val="00DC445D"/>
    <w:rsid w:val="00DE21A9"/>
    <w:rsid w:val="00E93194"/>
    <w:rsid w:val="00E939BC"/>
    <w:rsid w:val="00EA1B52"/>
    <w:rsid w:val="00EB5D2C"/>
    <w:rsid w:val="00EC3034"/>
    <w:rsid w:val="00F53914"/>
    <w:rsid w:val="00F67045"/>
    <w:rsid w:val="00F75D71"/>
    <w:rsid w:val="00F8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54E0FDD"/>
  <w15:chartTrackingRefBased/>
  <w15:docId w15:val="{D96A97A5-8483-4DD6-A445-9A9B78DF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40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Normal"/>
    <w:link w:val="ListParagraphChar"/>
    <w:uiPriority w:val="34"/>
    <w:qFormat/>
    <w:rsid w:val="0090686F"/>
    <w:pPr>
      <w:numPr>
        <w:numId w:val="16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61663-0D67-46C0-B0DE-BBCD123C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2023-01-16T11:25:00Z</dcterms:created>
  <dcterms:modified xsi:type="dcterms:W3CDTF">2023-01-23T14:02:00Z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