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R4-2303257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/>
          <w:b/>
          <w:sz w:val="24"/>
          <w:szCs w:val="24"/>
          <w:lang w:val="en-US" w:eastAsia="zh-CN"/>
        </w:rPr>
        <w:t>Athens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Greece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27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Feb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 xml:space="preserve">rd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Mar</w:t>
      </w:r>
      <w:r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</w:t>
      </w:r>
      <w:r>
        <w:rPr>
          <w:rFonts w:hint="eastAsia" w:ascii="Arial" w:hAnsi="Arial" w:cs="Arial"/>
          <w:sz w:val="22"/>
          <w:lang w:val="en-US" w:eastAsia="zh-CN"/>
        </w:rPr>
        <w:t>NCR-MT</w:t>
      </w:r>
      <w:r>
        <w:rPr>
          <w:rFonts w:ascii="Arial" w:hAnsi="Arial" w:cs="Arial"/>
          <w:sz w:val="22"/>
          <w:lang w:eastAsia="zh-CN"/>
        </w:rPr>
        <w:t xml:space="preserve"> RRM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sz w:val="22"/>
          <w:lang w:val="en-US" w:eastAsia="zh-CN"/>
        </w:rPr>
        <w:t>9</w:t>
      </w:r>
      <w:r>
        <w:rPr>
          <w:rFonts w:ascii="Arial" w:hAnsi="Arial" w:cs="Arial"/>
          <w:sz w:val="22"/>
          <w:lang w:eastAsia="zh-CN"/>
        </w:rPr>
        <w:t>.</w:t>
      </w:r>
      <w:r>
        <w:rPr>
          <w:rFonts w:hint="eastAsia" w:ascii="Arial" w:hAnsi="Arial" w:cs="Arial"/>
          <w:sz w:val="22"/>
          <w:lang w:val="en-US" w:eastAsia="zh-CN"/>
        </w:rPr>
        <w:t>27</w:t>
      </w:r>
      <w:r>
        <w:rPr>
          <w:rFonts w:ascii="Arial" w:hAnsi="Arial" w:cs="Arial"/>
          <w:sz w:val="22"/>
          <w:lang w:eastAsia="zh-CN"/>
        </w:rPr>
        <w:t>.</w:t>
      </w:r>
      <w:r>
        <w:rPr>
          <w:rFonts w:hint="eastAsia" w:ascii="Arial" w:hAnsi="Arial" w:cs="Arial"/>
          <w:sz w:val="22"/>
          <w:lang w:val="en-US" w:eastAsia="zh-CN"/>
        </w:rPr>
        <w:t>4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spacing w:line="259" w:lineRule="auto"/>
        <w:rPr>
          <w:highlight w:val="none"/>
          <w:u w:val="single"/>
        </w:rPr>
      </w:pPr>
      <w:r>
        <w:rPr>
          <w:u w:val="single"/>
        </w:rPr>
        <w:t>Is</w:t>
      </w:r>
      <w:r>
        <w:rPr>
          <w:highlight w:val="none"/>
          <w:u w:val="single"/>
        </w:rPr>
        <w:t xml:space="preserve">sue </w:t>
      </w:r>
      <w:r>
        <w:rPr>
          <w:rFonts w:hint="eastAsia"/>
          <w:highlight w:val="none"/>
          <w:u w:val="single"/>
        </w:rPr>
        <w:t>1</w:t>
      </w:r>
      <w:r>
        <w:rPr>
          <w:highlight w:val="none"/>
          <w:u w:val="single"/>
        </w:rPr>
        <w:t>-</w:t>
      </w:r>
      <w:r>
        <w:rPr>
          <w:rFonts w:hint="eastAsia"/>
          <w:highlight w:val="none"/>
          <w:u w:val="single"/>
        </w:rPr>
        <w:t>1</w:t>
      </w:r>
      <w:r>
        <w:rPr>
          <w:highlight w:val="none"/>
          <w:u w:val="single"/>
        </w:rPr>
        <w:t>:</w:t>
      </w:r>
      <w:r>
        <w:rPr>
          <w:rFonts w:hint="eastAsia"/>
          <w:highlight w:val="none"/>
          <w:u w:val="single"/>
        </w:rPr>
        <w:t xml:space="preserve"> Cell selection requirement for NCR-MT</w:t>
      </w:r>
      <w:r>
        <w:rPr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</w:rPr>
        <w:t xml:space="preserve"> </w:t>
      </w:r>
    </w:p>
    <w:p>
      <w:pPr>
        <w:pStyle w:val="88"/>
        <w:numPr>
          <w:ilvl w:val="0"/>
          <w:numId w:val="2"/>
        </w:numPr>
        <w:overflowPunct w:val="0"/>
        <w:autoSpaceDE w:val="0"/>
        <w:autoSpaceDN w:val="0"/>
        <w:adjustRightInd w:val="0"/>
        <w:spacing w:line="252" w:lineRule="auto"/>
        <w:ind w:left="644"/>
        <w:rPr>
          <w:highlight w:val="none"/>
          <w:lang w:eastAsia="ja-JP"/>
        </w:rPr>
      </w:pPr>
      <w:r>
        <w:rPr>
          <w:highlight w:val="none"/>
          <w:lang w:eastAsia="ja-JP"/>
        </w:rPr>
        <w:t>Agreements</w:t>
      </w:r>
    </w:p>
    <w:p>
      <w:pPr>
        <w:pStyle w:val="88"/>
        <w:numPr>
          <w:ilvl w:val="1"/>
          <w:numId w:val="2"/>
        </w:numPr>
        <w:overflowPunct w:val="0"/>
        <w:autoSpaceDE w:val="0"/>
        <w:autoSpaceDN w:val="0"/>
        <w:adjustRightInd w:val="0"/>
        <w:spacing w:line="252" w:lineRule="auto"/>
        <w:rPr>
          <w:highlight w:val="none"/>
          <w:lang w:eastAsia="ja-JP"/>
        </w:rPr>
      </w:pPr>
      <w:r>
        <w:rPr>
          <w:rFonts w:hint="eastAsia"/>
          <w:highlight w:val="none"/>
        </w:rPr>
        <w:t>Do not specify requirements for cell reselection for NCR-MT on the C-link</w:t>
      </w:r>
    </w:p>
    <w:p>
      <w:pPr>
        <w:pStyle w:val="45"/>
        <w:keepNext w:val="0"/>
        <w:keepLines w:val="0"/>
        <w:pageBreakBefore w:val="0"/>
        <w:widowControl/>
        <w:suppressLineNumbers w:val="0"/>
        <w:shd w:val="clear" w:fill="FFFFFF"/>
        <w:kinsoku/>
        <w:wordWrap/>
        <w:topLinePunct w:val="0"/>
        <w:bidi w:val="0"/>
        <w:snapToGrid/>
        <w:spacing w:before="0" w:beforeAutospacing="0" w:after="180" w:afterAutospacing="0" w:line="200" w:lineRule="atLeast"/>
        <w:ind w:right="0"/>
        <w:textAlignment w:val="auto"/>
        <w:rPr>
          <w:rFonts w:hint="eastAsia" w:ascii="Times New Roman" w:hAnsi="Times New Roman" w:eastAsia="宋体" w:cs="Times New Roman"/>
          <w:sz w:val="20"/>
          <w:szCs w:val="20"/>
          <w:u w:val="single"/>
          <w:lang w:val="en-GB" w:eastAsia="en-US" w:bidi="ar-SA"/>
        </w:rPr>
      </w:pP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GB" w:eastAsia="en-US" w:bidi="ar-SA"/>
        </w:rPr>
        <w:t>Issue </w:t>
      </w:r>
      <w:r>
        <w:rPr>
          <w:rFonts w:ascii="Times New Roman" w:hAnsi="Times New Roman" w:eastAsia="宋体" w:cs="Times New Roman"/>
          <w:sz w:val="20"/>
          <w:szCs w:val="20"/>
          <w:u w:val="single"/>
          <w:lang w:val="en-GB" w:eastAsia="en-US" w:bidi="ar-SA"/>
        </w:rPr>
        <w:t>1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sz w:val="20"/>
          <w:szCs w:val="20"/>
          <w:u w:val="single"/>
          <w:lang w:val="en-GB" w:eastAsia="en-US" w:bidi="ar-SA"/>
        </w:rPr>
        <w:t>2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GB" w:eastAsia="en-US" w:bidi="ar-SA"/>
        </w:rPr>
        <w:t>:</w:t>
      </w:r>
      <w:r>
        <w:rPr>
          <w:rFonts w:ascii="Times New Roman" w:hAnsi="Times New Roman" w:eastAsia="宋体" w:cs="Times New Roman"/>
          <w:sz w:val="20"/>
          <w:szCs w:val="20"/>
          <w:u w:val="single"/>
          <w:lang w:val="en-GB" w:eastAsia="en-US" w:bidi="ar-SA"/>
        </w:rPr>
        <w:t> Handover requirement for NCR-MT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GB" w:eastAsia="en-US" w:bidi="ar-SA"/>
        </w:rPr>
        <w:t> </w:t>
      </w:r>
      <w:r>
        <w:rPr>
          <w:rFonts w:ascii="Times New Roman" w:hAnsi="Times New Roman" w:eastAsia="宋体" w:cs="Times New Roman"/>
          <w:sz w:val="20"/>
          <w:szCs w:val="20"/>
          <w:u w:val="single"/>
          <w:lang w:val="en-GB" w:eastAsia="en-US" w:bidi="ar-SA"/>
        </w:rPr>
        <w:t> </w:t>
      </w:r>
    </w:p>
    <w:p>
      <w:pPr>
        <w:pStyle w:val="8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 w:line="252" w:lineRule="auto"/>
        <w:ind w:left="644"/>
        <w:textAlignment w:val="auto"/>
        <w:rPr>
          <w:rFonts w:hint="default"/>
          <w:highlight w:val="none"/>
          <w:lang w:eastAsia="ja-JP"/>
        </w:rPr>
      </w:pPr>
      <w:r>
        <w:rPr>
          <w:highlight w:val="none"/>
          <w:lang w:eastAsia="ja-JP"/>
        </w:rPr>
        <w:t>·</w:t>
      </w:r>
      <w:r>
        <w:rPr>
          <w:rFonts w:hint="default"/>
          <w:highlight w:val="none"/>
          <w:lang w:eastAsia="ja-JP"/>
        </w:rPr>
        <w:t> Agreement</w:t>
      </w:r>
    </w:p>
    <w:p>
      <w:pPr>
        <w:pStyle w:val="88"/>
        <w:keepNext w:val="0"/>
        <w:keepLines w:val="0"/>
        <w:pageBreakBefore w:val="0"/>
        <w:widowControl/>
        <w:numPr>
          <w:ilvl w:val="1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 w:line="252" w:lineRule="auto"/>
        <w:textAlignment w:val="auto"/>
        <w:rPr>
          <w:rFonts w:hint="default"/>
          <w:highlight w:val="none"/>
        </w:rPr>
      </w:pPr>
      <w:r>
        <w:rPr>
          <w:rFonts w:hint="default"/>
          <w:highlight w:val="none"/>
        </w:rPr>
        <w:t>Not not define the handover requirement for NCR-MT</w:t>
      </w:r>
    </w:p>
    <w:p>
      <w:pPr>
        <w:rPr>
          <w:highlight w:val="none"/>
          <w:lang w:val="en-US"/>
        </w:rPr>
      </w:pPr>
    </w:p>
    <w:p>
      <w:pPr>
        <w:spacing w:line="259" w:lineRule="auto"/>
        <w:rPr>
          <w:highlight w:val="none"/>
          <w:u w:val="single"/>
        </w:rPr>
      </w:pPr>
      <w:r>
        <w:rPr>
          <w:highlight w:val="none"/>
          <w:u w:val="single"/>
        </w:rPr>
        <w:t xml:space="preserve">Issue </w:t>
      </w:r>
      <w:r>
        <w:rPr>
          <w:rFonts w:hint="eastAsia"/>
          <w:highlight w:val="none"/>
          <w:u w:val="single"/>
        </w:rPr>
        <w:t>1</w:t>
      </w:r>
      <w:r>
        <w:rPr>
          <w:highlight w:val="none"/>
          <w:u w:val="single"/>
        </w:rPr>
        <w:t>-</w:t>
      </w:r>
      <w:r>
        <w:rPr>
          <w:rFonts w:hint="eastAsia"/>
          <w:highlight w:val="none"/>
          <w:u w:val="single"/>
        </w:rPr>
        <w:t>3-1</w:t>
      </w:r>
      <w:r>
        <w:rPr>
          <w:highlight w:val="none"/>
          <w:u w:val="single"/>
        </w:rPr>
        <w:t>:</w:t>
      </w:r>
      <w:r>
        <w:rPr>
          <w:rFonts w:hint="eastAsia"/>
          <w:highlight w:val="none"/>
          <w:u w:val="single"/>
        </w:rPr>
        <w:t xml:space="preserve"> </w:t>
      </w:r>
      <w:r>
        <w:rPr>
          <w:highlight w:val="none"/>
          <w:u w:val="single"/>
        </w:rPr>
        <w:t>RRC re-establishmen</w:t>
      </w:r>
      <w:r>
        <w:rPr>
          <w:rFonts w:hint="eastAsia"/>
          <w:highlight w:val="none"/>
          <w:u w:val="single"/>
        </w:rPr>
        <w:t>t</w:t>
      </w:r>
    </w:p>
    <w:p>
      <w:pPr>
        <w:pStyle w:val="88"/>
        <w:numPr>
          <w:ilvl w:val="0"/>
          <w:numId w:val="2"/>
        </w:numPr>
        <w:overflowPunct w:val="0"/>
        <w:autoSpaceDE w:val="0"/>
        <w:autoSpaceDN w:val="0"/>
        <w:adjustRightInd w:val="0"/>
        <w:spacing w:line="252" w:lineRule="auto"/>
        <w:ind w:left="644"/>
        <w:rPr>
          <w:highlight w:val="none"/>
          <w:lang w:eastAsia="ja-JP"/>
        </w:rPr>
      </w:pPr>
      <w:r>
        <w:rPr>
          <w:highlight w:val="none"/>
          <w:lang w:eastAsia="ja-JP"/>
        </w:rPr>
        <w:t>Agreement</w:t>
      </w:r>
    </w:p>
    <w:p>
      <w:pPr>
        <w:pStyle w:val="88"/>
        <w:numPr>
          <w:ilvl w:val="1"/>
          <w:numId w:val="2"/>
        </w:numPr>
        <w:overflowPunct w:val="0"/>
        <w:autoSpaceDE w:val="0"/>
        <w:autoSpaceDN w:val="0"/>
        <w:adjustRightInd w:val="0"/>
        <w:spacing w:line="252" w:lineRule="auto"/>
        <w:rPr>
          <w:highlight w:val="none"/>
          <w:lang w:eastAsia="ja-JP"/>
        </w:rPr>
      </w:pPr>
      <w:r>
        <w:rPr>
          <w:highlight w:val="none"/>
          <w:lang w:eastAsia="ja-JP"/>
        </w:rPr>
        <w:t>D</w:t>
      </w:r>
      <w:r>
        <w:rPr>
          <w:rFonts w:hint="eastAsia"/>
          <w:highlight w:val="none"/>
          <w:lang w:eastAsia="ja-JP"/>
        </w:rPr>
        <w:t>efine the RRC re-establishment requirement for NCR-MT in Rel-18 and reuse the existing IAB-MT RRM requirement from TS38.174 clause 12.1.1.1 as baseline</w:t>
      </w:r>
    </w:p>
    <w:p>
      <w:pPr>
        <w:rPr>
          <w:highlight w:val="none"/>
          <w:lang w:val="en-US"/>
        </w:rPr>
      </w:pPr>
    </w:p>
    <w:p>
      <w:pPr>
        <w:spacing w:line="259" w:lineRule="auto"/>
        <w:rPr>
          <w:highlight w:val="none"/>
          <w:u w:val="single"/>
        </w:rPr>
      </w:pPr>
      <w:r>
        <w:rPr>
          <w:highlight w:val="none"/>
          <w:u w:val="single"/>
        </w:rPr>
        <w:t xml:space="preserve">Issue </w:t>
      </w:r>
      <w:r>
        <w:rPr>
          <w:rFonts w:hint="eastAsia"/>
          <w:highlight w:val="none"/>
          <w:u w:val="single"/>
        </w:rPr>
        <w:t>1</w:t>
      </w:r>
      <w:r>
        <w:rPr>
          <w:highlight w:val="none"/>
          <w:u w:val="single"/>
        </w:rPr>
        <w:t>-</w:t>
      </w:r>
      <w:r>
        <w:rPr>
          <w:rFonts w:hint="eastAsia"/>
          <w:highlight w:val="none"/>
          <w:u w:val="single"/>
        </w:rPr>
        <w:t>3-2</w:t>
      </w:r>
      <w:r>
        <w:rPr>
          <w:highlight w:val="none"/>
          <w:u w:val="single"/>
        </w:rPr>
        <w:t>:</w:t>
      </w:r>
      <w:r>
        <w:rPr>
          <w:rFonts w:hint="eastAsia"/>
          <w:highlight w:val="none"/>
          <w:u w:val="single"/>
        </w:rPr>
        <w:t xml:space="preserve"> </w:t>
      </w:r>
      <w:r>
        <w:rPr>
          <w:highlight w:val="none"/>
          <w:u w:val="single"/>
        </w:rPr>
        <w:t>R</w:t>
      </w:r>
      <w:r>
        <w:rPr>
          <w:rFonts w:hint="eastAsia"/>
          <w:highlight w:val="none"/>
          <w:u w:val="single"/>
        </w:rPr>
        <w:t>andom access</w:t>
      </w:r>
    </w:p>
    <w:p>
      <w:pPr>
        <w:pStyle w:val="88"/>
        <w:numPr>
          <w:ilvl w:val="0"/>
          <w:numId w:val="3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</w:t>
      </w:r>
    </w:p>
    <w:p>
      <w:pPr>
        <w:pStyle w:val="88"/>
        <w:numPr>
          <w:ilvl w:val="1"/>
          <w:numId w:val="3"/>
        </w:numPr>
        <w:spacing w:line="259" w:lineRule="auto"/>
        <w:rPr>
          <w:highlight w:val="none"/>
        </w:rPr>
      </w:pPr>
      <w:r>
        <w:rPr>
          <w:highlight w:val="none"/>
        </w:rPr>
        <w:t>Wide area NCR</w:t>
      </w:r>
    </w:p>
    <w:p>
      <w:pPr>
        <w:pStyle w:val="88"/>
        <w:numPr>
          <w:ilvl w:val="2"/>
          <w:numId w:val="3"/>
        </w:numPr>
        <w:spacing w:line="259" w:lineRule="auto"/>
        <w:rPr>
          <w:highlight w:val="none"/>
        </w:rPr>
      </w:pPr>
      <w:r>
        <w:rPr>
          <w:highlight w:val="none"/>
        </w:rPr>
        <w:t>Do not define random access requirements</w:t>
      </w:r>
    </w:p>
    <w:p>
      <w:pPr>
        <w:pStyle w:val="88"/>
        <w:numPr>
          <w:ilvl w:val="1"/>
          <w:numId w:val="3"/>
        </w:numPr>
        <w:spacing w:line="259" w:lineRule="auto"/>
        <w:rPr>
          <w:highlight w:val="none"/>
        </w:rPr>
      </w:pPr>
      <w:r>
        <w:rPr>
          <w:highlight w:val="none"/>
        </w:rPr>
        <w:t>Local area NCR</w:t>
      </w:r>
    </w:p>
    <w:p>
      <w:pPr>
        <w:pStyle w:val="88"/>
        <w:numPr>
          <w:ilvl w:val="2"/>
          <w:numId w:val="3"/>
        </w:numPr>
        <w:spacing w:line="259" w:lineRule="auto"/>
        <w:rPr>
          <w:highlight w:val="none"/>
        </w:rPr>
      </w:pPr>
      <w:r>
        <w:rPr>
          <w:highlight w:val="none"/>
        </w:rPr>
        <w:t>D</w:t>
      </w:r>
      <w:r>
        <w:rPr>
          <w:rFonts w:hint="eastAsia"/>
          <w:highlight w:val="none"/>
        </w:rPr>
        <w:t>efine the 4</w:t>
      </w:r>
      <w:r>
        <w:rPr>
          <w:highlight w:val="none"/>
        </w:rPr>
        <w:t>-</w:t>
      </w:r>
      <w:r>
        <w:rPr>
          <w:rFonts w:hint="eastAsia"/>
          <w:highlight w:val="none"/>
        </w:rPr>
        <w:t>step RACH requirement for NCR-MT and reuse the existing UE requirement in clause 6.2.2 of TS38.133</w:t>
      </w:r>
    </w:p>
    <w:p>
      <w:pPr>
        <w:pStyle w:val="88"/>
        <w:numPr>
          <w:ilvl w:val="2"/>
          <w:numId w:val="3"/>
        </w:numPr>
        <w:spacing w:line="259" w:lineRule="auto"/>
        <w:rPr>
          <w:highlight w:val="none"/>
        </w:rPr>
      </w:pPr>
      <w:r>
        <w:rPr>
          <w:highlight w:val="none"/>
        </w:rPr>
        <w:t>FFS for 2-step RACH</w:t>
      </w:r>
    </w:p>
    <w:p>
      <w:pPr>
        <w:spacing w:line="259" w:lineRule="auto"/>
        <w:rPr>
          <w:highlight w:val="none"/>
          <w:u w:val="single"/>
        </w:rPr>
      </w:pPr>
    </w:p>
    <w:p>
      <w:pPr>
        <w:spacing w:line="259" w:lineRule="auto"/>
        <w:rPr>
          <w:highlight w:val="none"/>
          <w:u w:val="single"/>
        </w:rPr>
      </w:pPr>
      <w:r>
        <w:rPr>
          <w:highlight w:val="none"/>
          <w:u w:val="single"/>
        </w:rPr>
        <w:t xml:space="preserve">Issue </w:t>
      </w:r>
      <w:r>
        <w:rPr>
          <w:rFonts w:hint="eastAsia"/>
          <w:highlight w:val="none"/>
          <w:u w:val="single"/>
        </w:rPr>
        <w:t>1</w:t>
      </w:r>
      <w:r>
        <w:rPr>
          <w:highlight w:val="none"/>
          <w:u w:val="single"/>
        </w:rPr>
        <w:t>-</w:t>
      </w:r>
      <w:r>
        <w:rPr>
          <w:rFonts w:hint="eastAsia"/>
          <w:highlight w:val="none"/>
          <w:u w:val="single"/>
        </w:rPr>
        <w:t>3-3</w:t>
      </w:r>
      <w:r>
        <w:rPr>
          <w:highlight w:val="none"/>
          <w:u w:val="single"/>
        </w:rPr>
        <w:t>:</w:t>
      </w:r>
      <w:r>
        <w:rPr>
          <w:rFonts w:hint="eastAsia"/>
          <w:highlight w:val="none"/>
          <w:u w:val="single"/>
        </w:rPr>
        <w:t xml:space="preserve"> </w:t>
      </w:r>
      <w:r>
        <w:rPr>
          <w:highlight w:val="none"/>
          <w:u w:val="single"/>
        </w:rPr>
        <w:t xml:space="preserve"> RRC release with redirection</w:t>
      </w:r>
    </w:p>
    <w:p>
      <w:pPr>
        <w:pStyle w:val="88"/>
        <w:numPr>
          <w:ilvl w:val="0"/>
          <w:numId w:val="3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</w:t>
      </w:r>
    </w:p>
    <w:p>
      <w:pPr>
        <w:pStyle w:val="88"/>
        <w:numPr>
          <w:ilvl w:val="1"/>
          <w:numId w:val="3"/>
        </w:numPr>
        <w:spacing w:line="259" w:lineRule="auto"/>
        <w:rPr>
          <w:highlight w:val="none"/>
        </w:rPr>
      </w:pPr>
      <w:r>
        <w:rPr>
          <w:highlight w:val="none"/>
        </w:rPr>
        <w:t>Do not</w:t>
      </w:r>
      <w:r>
        <w:rPr>
          <w:rFonts w:hint="eastAsia"/>
          <w:highlight w:val="none"/>
        </w:rPr>
        <w:t xml:space="preserve"> define the </w:t>
      </w:r>
      <w:r>
        <w:rPr>
          <w:highlight w:val="none"/>
        </w:rPr>
        <w:t>RRC release with redirection</w:t>
      </w:r>
      <w:r>
        <w:rPr>
          <w:rFonts w:hint="eastAsia"/>
          <w:highlight w:val="none"/>
        </w:rPr>
        <w:t xml:space="preserve"> requirement for NCR-MT</w:t>
      </w:r>
    </w:p>
    <w:p>
      <w:pPr>
        <w:rPr>
          <w:highlight w:val="none"/>
          <w:lang w:val="en-US"/>
        </w:rPr>
      </w:pPr>
    </w:p>
    <w:p>
      <w:pPr>
        <w:spacing w:line="259" w:lineRule="auto"/>
        <w:rPr>
          <w:rFonts w:hint="eastAsia"/>
          <w:highlight w:val="none"/>
          <w:u w:val="single"/>
        </w:rPr>
      </w:pPr>
      <w:r>
        <w:rPr>
          <w:rFonts w:hint="default"/>
          <w:highlight w:val="none"/>
          <w:u w:val="single"/>
        </w:rPr>
        <w:t>Issue </w:t>
      </w:r>
      <w:r>
        <w:rPr>
          <w:highlight w:val="none"/>
          <w:u w:val="single"/>
        </w:rPr>
        <w:t>1</w:t>
      </w:r>
      <w:r>
        <w:rPr>
          <w:rFonts w:hint="default"/>
          <w:highlight w:val="none"/>
          <w:u w:val="single"/>
        </w:rPr>
        <w:t>-</w:t>
      </w:r>
      <w:r>
        <w:rPr>
          <w:highlight w:val="none"/>
          <w:u w:val="single"/>
        </w:rPr>
        <w:t>4-1</w:t>
      </w:r>
      <w:r>
        <w:rPr>
          <w:rFonts w:hint="default"/>
          <w:highlight w:val="none"/>
          <w:u w:val="single"/>
        </w:rPr>
        <w:t>:</w:t>
      </w:r>
      <w:r>
        <w:rPr>
          <w:highlight w:val="none"/>
          <w:u w:val="single"/>
        </w:rPr>
        <w:t>  Initial transmit timing requirement Te</w:t>
      </w:r>
    </w:p>
    <w:p>
      <w:pPr>
        <w:pStyle w:val="88"/>
        <w:numPr>
          <w:ilvl w:val="0"/>
          <w:numId w:val="3"/>
        </w:numPr>
        <w:spacing w:line="259" w:lineRule="auto"/>
        <w:ind w:left="720"/>
        <w:rPr>
          <w:rFonts w:hint="default"/>
          <w:highlight w:val="none"/>
        </w:rPr>
      </w:pPr>
      <w:r>
        <w:rPr>
          <w:highlight w:val="none"/>
        </w:rPr>
        <w:t>·</w:t>
      </w:r>
      <w:r>
        <w:rPr>
          <w:rFonts w:hint="default"/>
          <w:highlight w:val="none"/>
        </w:rPr>
        <w:t> Agreement</w:t>
      </w:r>
    </w:p>
    <w:p>
      <w:pPr>
        <w:pStyle w:val="88"/>
        <w:numPr>
          <w:ilvl w:val="1"/>
          <w:numId w:val="3"/>
        </w:numPr>
        <w:spacing w:line="259" w:lineRule="auto"/>
        <w:rPr>
          <w:rFonts w:hint="default"/>
          <w:highlight w:val="none"/>
        </w:rPr>
      </w:pPr>
      <w:r>
        <w:rPr>
          <w:rFonts w:hint="default"/>
          <w:highlight w:val="none"/>
        </w:rPr>
        <w:t>To define initial transmit timing requirement Te for NCR-MT and to reuse the requirement in clause 12.2.1 of Rel-16 TS 38.174. </w:t>
      </w:r>
    </w:p>
    <w:p>
      <w:pPr>
        <w:pStyle w:val="88"/>
        <w:numPr>
          <w:ilvl w:val="1"/>
          <w:numId w:val="3"/>
        </w:numPr>
        <w:spacing w:line="259" w:lineRule="auto"/>
        <w:rPr>
          <w:rFonts w:hint="default"/>
          <w:highlight w:val="none"/>
        </w:rPr>
      </w:pPr>
      <w:r>
        <w:rPr>
          <w:rFonts w:hint="default"/>
          <w:highlight w:val="none"/>
        </w:rPr>
        <w:t>No RRM requirements need to be specified for the transmit timings of backhaul and access link of NCR-Fwd;</w:t>
      </w:r>
      <w:bookmarkStart w:id="0" w:name="_GoBack"/>
      <w:bookmarkEnd w:id="0"/>
    </w:p>
    <w:p>
      <w:pPr>
        <w:rPr>
          <w:highlight w:val="none"/>
          <w:lang w:val="en-US"/>
        </w:rPr>
      </w:pPr>
    </w:p>
    <w:p>
      <w:pPr>
        <w:spacing w:line="259" w:lineRule="auto"/>
        <w:rPr>
          <w:highlight w:val="none"/>
          <w:u w:val="single"/>
        </w:rPr>
      </w:pPr>
      <w:r>
        <w:rPr>
          <w:highlight w:val="none"/>
          <w:u w:val="single"/>
        </w:rPr>
        <w:t xml:space="preserve">Issue </w:t>
      </w:r>
      <w:r>
        <w:rPr>
          <w:rFonts w:hint="eastAsia"/>
          <w:highlight w:val="none"/>
          <w:u w:val="single"/>
        </w:rPr>
        <w:t>1</w:t>
      </w:r>
      <w:r>
        <w:rPr>
          <w:highlight w:val="none"/>
          <w:u w:val="single"/>
        </w:rPr>
        <w:t>-</w:t>
      </w:r>
      <w:r>
        <w:rPr>
          <w:rFonts w:hint="eastAsia"/>
          <w:highlight w:val="none"/>
          <w:u w:val="single"/>
        </w:rPr>
        <w:t>4-2</w:t>
      </w:r>
      <w:r>
        <w:rPr>
          <w:highlight w:val="none"/>
          <w:u w:val="single"/>
        </w:rPr>
        <w:t>:</w:t>
      </w:r>
      <w:r>
        <w:rPr>
          <w:rFonts w:hint="eastAsia"/>
          <w:highlight w:val="none"/>
          <w:u w:val="single"/>
        </w:rPr>
        <w:t xml:space="preserve"> the gradual timing adjustment requirement Tp and Tq</w:t>
      </w:r>
    </w:p>
    <w:p>
      <w:pPr>
        <w:pStyle w:val="88"/>
        <w:numPr>
          <w:ilvl w:val="0"/>
          <w:numId w:val="3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</w:t>
      </w:r>
    </w:p>
    <w:p>
      <w:pPr>
        <w:pStyle w:val="88"/>
        <w:numPr>
          <w:ilvl w:val="1"/>
          <w:numId w:val="3"/>
        </w:numPr>
        <w:spacing w:line="259" w:lineRule="auto"/>
        <w:rPr>
          <w:highlight w:val="none"/>
        </w:rPr>
      </w:pPr>
      <w:r>
        <w:rPr>
          <w:highlight w:val="none"/>
        </w:rPr>
        <w:t>Wide area NCR</w:t>
      </w:r>
    </w:p>
    <w:p>
      <w:pPr>
        <w:pStyle w:val="88"/>
        <w:numPr>
          <w:ilvl w:val="2"/>
          <w:numId w:val="3"/>
        </w:numPr>
        <w:spacing w:line="259" w:lineRule="auto"/>
        <w:rPr>
          <w:highlight w:val="none"/>
        </w:rPr>
      </w:pPr>
      <w:r>
        <w:rPr>
          <w:highlight w:val="none"/>
        </w:rPr>
        <w:t xml:space="preserve">Do not define </w:t>
      </w:r>
      <w:r>
        <w:rPr>
          <w:rFonts w:hint="eastAsia"/>
          <w:highlight w:val="none"/>
          <w:lang w:val="en-GB" w:eastAsia="ko-KR"/>
        </w:rPr>
        <w:t>gradual timing adjustment requirement Tp and Tq</w:t>
      </w:r>
    </w:p>
    <w:p>
      <w:pPr>
        <w:pStyle w:val="88"/>
        <w:numPr>
          <w:ilvl w:val="1"/>
          <w:numId w:val="3"/>
        </w:numPr>
        <w:spacing w:line="259" w:lineRule="auto"/>
        <w:rPr>
          <w:highlight w:val="none"/>
        </w:rPr>
      </w:pPr>
      <w:r>
        <w:rPr>
          <w:highlight w:val="none"/>
        </w:rPr>
        <w:t>Local area NCR</w:t>
      </w:r>
    </w:p>
    <w:p>
      <w:pPr>
        <w:pStyle w:val="88"/>
        <w:numPr>
          <w:ilvl w:val="2"/>
          <w:numId w:val="3"/>
        </w:numPr>
        <w:spacing w:line="259" w:lineRule="auto"/>
        <w:rPr>
          <w:highlight w:val="none"/>
        </w:rPr>
      </w:pPr>
      <w:r>
        <w:rPr>
          <w:highlight w:val="none"/>
        </w:rPr>
        <w:t>D</w:t>
      </w:r>
      <w:r>
        <w:rPr>
          <w:rFonts w:hint="eastAsia"/>
          <w:highlight w:val="none"/>
        </w:rPr>
        <w:t xml:space="preserve">efine </w:t>
      </w:r>
      <w:r>
        <w:rPr>
          <w:rFonts w:hint="eastAsia"/>
          <w:highlight w:val="none"/>
          <w:lang w:val="en-GB" w:eastAsia="ko-KR"/>
        </w:rPr>
        <w:t>gradual timing adjustment requirement Tp and Tq</w:t>
      </w:r>
    </w:p>
    <w:p>
      <w:pPr>
        <w:rPr>
          <w:rFonts w:ascii="Arial" w:hAnsi="Arial" w:cs="Arial"/>
          <w:b/>
          <w:color w:val="auto"/>
          <w:u w:val="single"/>
          <w:lang w:eastAsia="zh-CN"/>
        </w:rPr>
      </w:pPr>
    </w:p>
    <w:p>
      <w:pPr>
        <w:spacing w:line="259" w:lineRule="auto"/>
        <w:rPr>
          <w:highlight w:val="none"/>
          <w:u w:val="single"/>
          <w:lang w:val="en-US" w:eastAsia="zh-CN"/>
        </w:rPr>
      </w:pPr>
      <w:r>
        <w:rPr>
          <w:highlight w:val="none"/>
          <w:u w:val="single"/>
          <w:lang w:eastAsia="ko-KR"/>
        </w:rPr>
        <w:t xml:space="preserve">Issue </w:t>
      </w:r>
      <w:r>
        <w:rPr>
          <w:rFonts w:hint="eastAsia"/>
          <w:highlight w:val="none"/>
          <w:u w:val="single"/>
          <w:lang w:val="en-US" w:eastAsia="zh-CN"/>
        </w:rPr>
        <w:t>1</w:t>
      </w:r>
      <w:r>
        <w:rPr>
          <w:highlight w:val="none"/>
          <w:u w:val="single"/>
          <w:lang w:eastAsia="ko-KR"/>
        </w:rPr>
        <w:t>-</w:t>
      </w:r>
      <w:r>
        <w:rPr>
          <w:rFonts w:hint="eastAsia"/>
          <w:highlight w:val="none"/>
          <w:u w:val="single"/>
          <w:lang w:val="en-US" w:eastAsia="zh-CN"/>
        </w:rPr>
        <w:t>2</w:t>
      </w:r>
      <w:r>
        <w:rPr>
          <w:highlight w:val="none"/>
          <w:u w:val="single"/>
          <w:lang w:eastAsia="ko-KR"/>
        </w:rPr>
        <w:t>:</w:t>
      </w:r>
      <w:r>
        <w:rPr>
          <w:rFonts w:hint="eastAsia"/>
          <w:highlight w:val="none"/>
          <w:u w:val="single"/>
          <w:lang w:val="en-US" w:eastAsia="zh-CN"/>
        </w:rPr>
        <w:t xml:space="preserve"> Handover requirement for NCR-MT</w:t>
      </w:r>
      <w:r>
        <w:rPr>
          <w:highlight w:val="none"/>
          <w:u w:val="single"/>
          <w:lang w:eastAsia="ko-KR"/>
        </w:rPr>
        <w:t xml:space="preserve"> </w:t>
      </w:r>
      <w:r>
        <w:rPr>
          <w:rFonts w:hint="eastAsia"/>
          <w:highlight w:val="none"/>
          <w:u w:val="single"/>
          <w:lang w:val="en-US" w:eastAsia="zh-CN"/>
        </w:rPr>
        <w:t xml:space="preserve"> </w:t>
      </w:r>
    </w:p>
    <w:p>
      <w:pPr>
        <w:pStyle w:val="88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/>
          <w:color w:val="auto"/>
          <w:szCs w:val="24"/>
          <w:lang w:val="en-US" w:eastAsia="zh-CN"/>
        </w:rPr>
        <w:t>Agreement</w:t>
      </w:r>
    </w:p>
    <w:p>
      <w:pPr>
        <w:pStyle w:val="88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Not not define the handover requirement for NCR-MT;</w:t>
      </w:r>
    </w:p>
    <w:p>
      <w:pPr>
        <w:keepNext/>
        <w:keepLines/>
        <w:ind w:left="720" w:hanging="360"/>
        <w:rPr>
          <w:b/>
          <w:color w:val="auto"/>
          <w:u w:val="single"/>
        </w:rPr>
      </w:pPr>
    </w:p>
    <w:p>
      <w:pPr>
        <w:spacing w:line="259" w:lineRule="auto"/>
        <w:rPr>
          <w:rFonts w:hint="default"/>
          <w:highlight w:val="none"/>
          <w:u w:val="single"/>
          <w:lang w:val="en-US" w:eastAsia="zh-CN"/>
        </w:rPr>
      </w:pPr>
    </w:p>
    <w:p>
      <w:pPr>
        <w:spacing w:line="259" w:lineRule="auto"/>
        <w:rPr>
          <w:highlight w:val="none"/>
          <w:u w:val="single"/>
          <w:lang w:val="en-US" w:eastAsia="zh-CN"/>
        </w:rPr>
      </w:pPr>
      <w:r>
        <w:rPr>
          <w:highlight w:val="none"/>
          <w:u w:val="single"/>
          <w:lang w:eastAsia="ko-KR"/>
        </w:rPr>
        <w:t xml:space="preserve">Issue </w:t>
      </w:r>
      <w:r>
        <w:rPr>
          <w:rFonts w:hint="eastAsia"/>
          <w:highlight w:val="none"/>
          <w:u w:val="single"/>
          <w:lang w:val="en-US" w:eastAsia="zh-CN"/>
        </w:rPr>
        <w:t>1</w:t>
      </w:r>
      <w:r>
        <w:rPr>
          <w:highlight w:val="none"/>
          <w:u w:val="single"/>
          <w:lang w:eastAsia="ko-KR"/>
        </w:rPr>
        <w:t>-</w:t>
      </w:r>
      <w:r>
        <w:rPr>
          <w:rFonts w:hint="eastAsia"/>
          <w:highlight w:val="none"/>
          <w:u w:val="single"/>
          <w:lang w:val="en-US" w:eastAsia="zh-CN"/>
        </w:rPr>
        <w:t>4-1</w:t>
      </w:r>
      <w:r>
        <w:rPr>
          <w:highlight w:val="none"/>
          <w:u w:val="single"/>
          <w:lang w:eastAsia="ko-KR"/>
        </w:rPr>
        <w:t>:</w:t>
      </w:r>
      <w:r>
        <w:rPr>
          <w:rFonts w:hint="eastAsia"/>
          <w:highlight w:val="none"/>
          <w:u w:val="single"/>
          <w:lang w:val="en-US" w:eastAsia="zh-CN"/>
        </w:rPr>
        <w:t xml:space="preserve">  Initial transmit timing requirement Te</w:t>
      </w:r>
    </w:p>
    <w:p>
      <w:pPr>
        <w:pStyle w:val="88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/>
          <w:color w:val="auto"/>
          <w:szCs w:val="24"/>
          <w:lang w:val="en-US" w:eastAsia="zh-CN"/>
        </w:rPr>
        <w:t>Agreement</w:t>
      </w:r>
    </w:p>
    <w:p>
      <w:pPr>
        <w:pStyle w:val="88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 xml:space="preserve">To define initial transmit timing requirement Te for NCR-MT and to reuse the requirement </w:t>
      </w:r>
      <w:r>
        <w:rPr>
          <w:rFonts w:hint="eastAsia" w:ascii="Times New Roman" w:hAnsi="Times New Roman" w:eastAsia="宋体" w:cs="Times New Roman"/>
          <w:color w:val="auto"/>
          <w:szCs w:val="24"/>
          <w:lang w:val="en-US" w:eastAsia="zh-CN"/>
        </w:rPr>
        <w:t xml:space="preserve">in clause 12.2.1 of </w:t>
      </w:r>
      <w:r>
        <w:rPr>
          <w:rFonts w:hint="eastAsia" w:cs="Times New Roman"/>
          <w:color w:val="auto"/>
          <w:szCs w:val="24"/>
          <w:lang w:val="en-US" w:eastAsia="zh-CN"/>
        </w:rPr>
        <w:t xml:space="preserve">Rel-16 </w:t>
      </w:r>
      <w:r>
        <w:rPr>
          <w:rFonts w:hint="eastAsia" w:ascii="Times New Roman" w:hAnsi="Times New Roman" w:eastAsia="宋体" w:cs="Times New Roman"/>
          <w:color w:val="auto"/>
          <w:szCs w:val="24"/>
          <w:lang w:val="en-US" w:eastAsia="zh-CN"/>
        </w:rPr>
        <w:t>TS 38.174.</w:t>
      </w:r>
      <w:r>
        <w:rPr>
          <w:rFonts w:hint="eastAsia" w:eastAsia="宋体" w:cs="Times New Roman"/>
          <w:color w:val="auto"/>
          <w:szCs w:val="24"/>
          <w:lang w:val="en-US" w:eastAsia="zh-CN"/>
        </w:rPr>
        <w:t xml:space="preserve"> </w:t>
      </w:r>
    </w:p>
    <w:p>
      <w:pPr>
        <w:pStyle w:val="88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auto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Cs w:val="24"/>
          <w:lang w:val="en-US" w:eastAsia="zh-CN"/>
        </w:rPr>
        <w:t>No RRM requirements need to be specified for the transmit timings of backhaul and access link of NCR-Fwd</w:t>
      </w:r>
      <w:r>
        <w:rPr>
          <w:rFonts w:hint="eastAsia"/>
          <w:color w:val="auto"/>
          <w:lang w:val="en-US" w:eastAsia="zh-CN"/>
        </w:rPr>
        <w:t>;</w:t>
      </w:r>
    </w:p>
    <w:p>
      <w:pPr>
        <w:pStyle w:val="88"/>
        <w:spacing w:after="120"/>
        <w:ind w:firstLine="0" w:firstLineChars="0"/>
        <w:rPr>
          <w:rFonts w:hint="default" w:eastAsiaTheme="minorEastAsia"/>
          <w:color w:val="0070C0"/>
          <w:szCs w:val="20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2376" w:hanging="360"/>
      </w:pPr>
      <w:rPr>
        <w:rFonts w:hint="default" w:ascii="Symbol" w:hAnsi="Symbol"/>
      </w:rPr>
    </w:lvl>
    <w:lvl w:ilvl="3" w:tentative="0">
      <w:start w:val="1"/>
      <w:numFmt w:val="bullet"/>
      <w:lvlText w:val="o"/>
      <w:lvlJc w:val="left"/>
      <w:pPr>
        <w:ind w:left="3096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67267C66"/>
    <w:multiLevelType w:val="multilevel"/>
    <w:tmpl w:val="67267C6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hyphenationZone w:val="425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379F7"/>
    <w:rsid w:val="01A56FAB"/>
    <w:rsid w:val="02207A05"/>
    <w:rsid w:val="023114DC"/>
    <w:rsid w:val="029401D0"/>
    <w:rsid w:val="02977181"/>
    <w:rsid w:val="02C75875"/>
    <w:rsid w:val="02D513EA"/>
    <w:rsid w:val="033676B5"/>
    <w:rsid w:val="0360625D"/>
    <w:rsid w:val="03A23123"/>
    <w:rsid w:val="03A80371"/>
    <w:rsid w:val="040B2E26"/>
    <w:rsid w:val="04573544"/>
    <w:rsid w:val="04A33028"/>
    <w:rsid w:val="04A8786A"/>
    <w:rsid w:val="04C21305"/>
    <w:rsid w:val="05D52A67"/>
    <w:rsid w:val="062731F7"/>
    <w:rsid w:val="063467E5"/>
    <w:rsid w:val="067D2939"/>
    <w:rsid w:val="067E7AFF"/>
    <w:rsid w:val="069A4DB8"/>
    <w:rsid w:val="06AD6DB1"/>
    <w:rsid w:val="06E67E52"/>
    <w:rsid w:val="06F90C69"/>
    <w:rsid w:val="072C24E3"/>
    <w:rsid w:val="075C7D27"/>
    <w:rsid w:val="081852B6"/>
    <w:rsid w:val="088C71C9"/>
    <w:rsid w:val="088F39E3"/>
    <w:rsid w:val="090F1D8C"/>
    <w:rsid w:val="096C5763"/>
    <w:rsid w:val="09AC4191"/>
    <w:rsid w:val="0A467BD4"/>
    <w:rsid w:val="0A7A3A6F"/>
    <w:rsid w:val="0AB35C28"/>
    <w:rsid w:val="0AC70E4D"/>
    <w:rsid w:val="0B1B407F"/>
    <w:rsid w:val="0B861833"/>
    <w:rsid w:val="0C9639D1"/>
    <w:rsid w:val="0D1F5041"/>
    <w:rsid w:val="0D6D6260"/>
    <w:rsid w:val="0D6F3147"/>
    <w:rsid w:val="0DA4580A"/>
    <w:rsid w:val="0E2479EF"/>
    <w:rsid w:val="0E7C32F1"/>
    <w:rsid w:val="0EFB1B49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1CD4B5D"/>
    <w:rsid w:val="12184B7C"/>
    <w:rsid w:val="12562F4F"/>
    <w:rsid w:val="12A467FF"/>
    <w:rsid w:val="12E62365"/>
    <w:rsid w:val="131A32F7"/>
    <w:rsid w:val="13230798"/>
    <w:rsid w:val="13303256"/>
    <w:rsid w:val="133C24A6"/>
    <w:rsid w:val="136D5DAD"/>
    <w:rsid w:val="141C5906"/>
    <w:rsid w:val="142D2518"/>
    <w:rsid w:val="14304C8C"/>
    <w:rsid w:val="14774D1A"/>
    <w:rsid w:val="148131EC"/>
    <w:rsid w:val="14E9666F"/>
    <w:rsid w:val="1510007C"/>
    <w:rsid w:val="15147527"/>
    <w:rsid w:val="155D054E"/>
    <w:rsid w:val="15906F8D"/>
    <w:rsid w:val="15B6151F"/>
    <w:rsid w:val="15B67958"/>
    <w:rsid w:val="1638470C"/>
    <w:rsid w:val="16B769EB"/>
    <w:rsid w:val="17307051"/>
    <w:rsid w:val="17637892"/>
    <w:rsid w:val="17794CBF"/>
    <w:rsid w:val="17FF39FF"/>
    <w:rsid w:val="18217321"/>
    <w:rsid w:val="18615A28"/>
    <w:rsid w:val="1886040C"/>
    <w:rsid w:val="18B25C57"/>
    <w:rsid w:val="18B451EE"/>
    <w:rsid w:val="18E04972"/>
    <w:rsid w:val="19337DCC"/>
    <w:rsid w:val="1934677A"/>
    <w:rsid w:val="19453C57"/>
    <w:rsid w:val="19D04FD4"/>
    <w:rsid w:val="1AD15F16"/>
    <w:rsid w:val="1AEF678B"/>
    <w:rsid w:val="1B2D79CD"/>
    <w:rsid w:val="1C067DE7"/>
    <w:rsid w:val="1C91599E"/>
    <w:rsid w:val="1C9408FD"/>
    <w:rsid w:val="1D1835B6"/>
    <w:rsid w:val="1D32360A"/>
    <w:rsid w:val="1D741944"/>
    <w:rsid w:val="1D940B76"/>
    <w:rsid w:val="1D9416B2"/>
    <w:rsid w:val="1E140EA0"/>
    <w:rsid w:val="1EC919BF"/>
    <w:rsid w:val="1F7138F1"/>
    <w:rsid w:val="1F9B19AE"/>
    <w:rsid w:val="1FB73AAB"/>
    <w:rsid w:val="20153BA1"/>
    <w:rsid w:val="202835A9"/>
    <w:rsid w:val="20501486"/>
    <w:rsid w:val="20891E56"/>
    <w:rsid w:val="20AC0DA3"/>
    <w:rsid w:val="20CA2B4F"/>
    <w:rsid w:val="213F0D56"/>
    <w:rsid w:val="2148239E"/>
    <w:rsid w:val="216653B0"/>
    <w:rsid w:val="21864CB6"/>
    <w:rsid w:val="22202406"/>
    <w:rsid w:val="22956388"/>
    <w:rsid w:val="22A1313E"/>
    <w:rsid w:val="22B93021"/>
    <w:rsid w:val="234931CD"/>
    <w:rsid w:val="23792988"/>
    <w:rsid w:val="238508AF"/>
    <w:rsid w:val="24931E5E"/>
    <w:rsid w:val="24E710A5"/>
    <w:rsid w:val="24FD0C42"/>
    <w:rsid w:val="25001F1C"/>
    <w:rsid w:val="250F1856"/>
    <w:rsid w:val="253B23BF"/>
    <w:rsid w:val="25E124ED"/>
    <w:rsid w:val="25F5608D"/>
    <w:rsid w:val="262A0FC5"/>
    <w:rsid w:val="267E0B13"/>
    <w:rsid w:val="27542B52"/>
    <w:rsid w:val="275814A9"/>
    <w:rsid w:val="2758282F"/>
    <w:rsid w:val="2759520B"/>
    <w:rsid w:val="28031259"/>
    <w:rsid w:val="28151B92"/>
    <w:rsid w:val="28C74028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7C7A22"/>
    <w:rsid w:val="2B7E0F56"/>
    <w:rsid w:val="2BB03F73"/>
    <w:rsid w:val="2BF5313F"/>
    <w:rsid w:val="2C4E0F14"/>
    <w:rsid w:val="2C660BAD"/>
    <w:rsid w:val="2CD7184A"/>
    <w:rsid w:val="2D5F6EE1"/>
    <w:rsid w:val="2DD85514"/>
    <w:rsid w:val="2E2339D3"/>
    <w:rsid w:val="2E46730F"/>
    <w:rsid w:val="2E5C466B"/>
    <w:rsid w:val="2E643F62"/>
    <w:rsid w:val="2EB86A5A"/>
    <w:rsid w:val="2F842E58"/>
    <w:rsid w:val="2F8B1999"/>
    <w:rsid w:val="2F95455C"/>
    <w:rsid w:val="302442D9"/>
    <w:rsid w:val="303460F0"/>
    <w:rsid w:val="305808D2"/>
    <w:rsid w:val="31AE0F7B"/>
    <w:rsid w:val="32D73973"/>
    <w:rsid w:val="32F644CA"/>
    <w:rsid w:val="33024B42"/>
    <w:rsid w:val="337C596E"/>
    <w:rsid w:val="34166F07"/>
    <w:rsid w:val="34211DC3"/>
    <w:rsid w:val="34457C7B"/>
    <w:rsid w:val="34562BD9"/>
    <w:rsid w:val="349011AD"/>
    <w:rsid w:val="34B7420A"/>
    <w:rsid w:val="34E838FF"/>
    <w:rsid w:val="353C1D09"/>
    <w:rsid w:val="35CE36F4"/>
    <w:rsid w:val="36425C10"/>
    <w:rsid w:val="36545850"/>
    <w:rsid w:val="365509D9"/>
    <w:rsid w:val="36E376B5"/>
    <w:rsid w:val="374851A2"/>
    <w:rsid w:val="37A56745"/>
    <w:rsid w:val="37CB439B"/>
    <w:rsid w:val="38114253"/>
    <w:rsid w:val="38201F58"/>
    <w:rsid w:val="38E40EC7"/>
    <w:rsid w:val="38E46EE6"/>
    <w:rsid w:val="392A2EEE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375142"/>
    <w:rsid w:val="3B447DC6"/>
    <w:rsid w:val="3BA50EFF"/>
    <w:rsid w:val="3C916A88"/>
    <w:rsid w:val="3CA95CFB"/>
    <w:rsid w:val="3D2C3BFB"/>
    <w:rsid w:val="3D604A2D"/>
    <w:rsid w:val="3D636270"/>
    <w:rsid w:val="3D895406"/>
    <w:rsid w:val="3D946AC2"/>
    <w:rsid w:val="3DD526CA"/>
    <w:rsid w:val="3E217D33"/>
    <w:rsid w:val="3F3A5985"/>
    <w:rsid w:val="3F5B2C54"/>
    <w:rsid w:val="401B2443"/>
    <w:rsid w:val="408C5231"/>
    <w:rsid w:val="410913DA"/>
    <w:rsid w:val="41542A12"/>
    <w:rsid w:val="41940949"/>
    <w:rsid w:val="41D506BB"/>
    <w:rsid w:val="41EF7F1F"/>
    <w:rsid w:val="42AB5722"/>
    <w:rsid w:val="43205793"/>
    <w:rsid w:val="4321075F"/>
    <w:rsid w:val="4335357A"/>
    <w:rsid w:val="43D47DA0"/>
    <w:rsid w:val="43F438D8"/>
    <w:rsid w:val="44302DF3"/>
    <w:rsid w:val="44B40D3D"/>
    <w:rsid w:val="450B6A79"/>
    <w:rsid w:val="453B25F9"/>
    <w:rsid w:val="45B17F93"/>
    <w:rsid w:val="45DA3853"/>
    <w:rsid w:val="45FA07D0"/>
    <w:rsid w:val="467D52CE"/>
    <w:rsid w:val="46917266"/>
    <w:rsid w:val="47082F49"/>
    <w:rsid w:val="48297809"/>
    <w:rsid w:val="486A7EDB"/>
    <w:rsid w:val="48FE69A5"/>
    <w:rsid w:val="4930333B"/>
    <w:rsid w:val="49570114"/>
    <w:rsid w:val="49724F29"/>
    <w:rsid w:val="49934D61"/>
    <w:rsid w:val="4A7172F6"/>
    <w:rsid w:val="4B075421"/>
    <w:rsid w:val="4B085909"/>
    <w:rsid w:val="4B991985"/>
    <w:rsid w:val="4B9C56DF"/>
    <w:rsid w:val="4BB12379"/>
    <w:rsid w:val="4BF837D2"/>
    <w:rsid w:val="4C401BFB"/>
    <w:rsid w:val="4CC40142"/>
    <w:rsid w:val="4CEA793E"/>
    <w:rsid w:val="4D0B415B"/>
    <w:rsid w:val="4D384C5E"/>
    <w:rsid w:val="4D3A3368"/>
    <w:rsid w:val="4D661BD9"/>
    <w:rsid w:val="4DF23AA7"/>
    <w:rsid w:val="4E0706ED"/>
    <w:rsid w:val="4E0810B1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CA71B3"/>
    <w:rsid w:val="50D40D95"/>
    <w:rsid w:val="51832F88"/>
    <w:rsid w:val="518F5CDD"/>
    <w:rsid w:val="521238CB"/>
    <w:rsid w:val="52A60C1E"/>
    <w:rsid w:val="53517A6B"/>
    <w:rsid w:val="53956DC5"/>
    <w:rsid w:val="53A03BFA"/>
    <w:rsid w:val="53A52556"/>
    <w:rsid w:val="53A96824"/>
    <w:rsid w:val="54A605D4"/>
    <w:rsid w:val="54D6764B"/>
    <w:rsid w:val="54F01EEF"/>
    <w:rsid w:val="55387FCD"/>
    <w:rsid w:val="555966F0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B9498B"/>
    <w:rsid w:val="58E27CE2"/>
    <w:rsid w:val="58EF1764"/>
    <w:rsid w:val="599A3124"/>
    <w:rsid w:val="59C50A90"/>
    <w:rsid w:val="5A081611"/>
    <w:rsid w:val="5A7B667C"/>
    <w:rsid w:val="5A9C15E1"/>
    <w:rsid w:val="5AB318EC"/>
    <w:rsid w:val="5B4756A4"/>
    <w:rsid w:val="5C5A50A9"/>
    <w:rsid w:val="5C9C09CB"/>
    <w:rsid w:val="5CA21F53"/>
    <w:rsid w:val="5D166FA1"/>
    <w:rsid w:val="5D64614D"/>
    <w:rsid w:val="5D6F0A1C"/>
    <w:rsid w:val="5ED955F8"/>
    <w:rsid w:val="5F1C1F46"/>
    <w:rsid w:val="5F317902"/>
    <w:rsid w:val="5F645C40"/>
    <w:rsid w:val="5F952EAD"/>
    <w:rsid w:val="6018714A"/>
    <w:rsid w:val="6077058D"/>
    <w:rsid w:val="608D1FBB"/>
    <w:rsid w:val="60D661AE"/>
    <w:rsid w:val="614B0980"/>
    <w:rsid w:val="61B665C4"/>
    <w:rsid w:val="624108BA"/>
    <w:rsid w:val="62F31145"/>
    <w:rsid w:val="63AC0B80"/>
    <w:rsid w:val="64097ADA"/>
    <w:rsid w:val="640D4579"/>
    <w:rsid w:val="641A6450"/>
    <w:rsid w:val="641E03D0"/>
    <w:rsid w:val="645A59DA"/>
    <w:rsid w:val="64F1679F"/>
    <w:rsid w:val="6535386A"/>
    <w:rsid w:val="656E1EA5"/>
    <w:rsid w:val="660B7F8E"/>
    <w:rsid w:val="66A41C30"/>
    <w:rsid w:val="67BC160E"/>
    <w:rsid w:val="67E003A2"/>
    <w:rsid w:val="68373100"/>
    <w:rsid w:val="68934EB5"/>
    <w:rsid w:val="68960123"/>
    <w:rsid w:val="68985CF0"/>
    <w:rsid w:val="68CD05A2"/>
    <w:rsid w:val="68EA06DA"/>
    <w:rsid w:val="691E11BC"/>
    <w:rsid w:val="692C67D9"/>
    <w:rsid w:val="69356F95"/>
    <w:rsid w:val="695031C6"/>
    <w:rsid w:val="69A57B59"/>
    <w:rsid w:val="69EF54FA"/>
    <w:rsid w:val="6A5A327F"/>
    <w:rsid w:val="6A841B52"/>
    <w:rsid w:val="6AC64296"/>
    <w:rsid w:val="6B1113EA"/>
    <w:rsid w:val="6B291AC2"/>
    <w:rsid w:val="6B771B75"/>
    <w:rsid w:val="6BAD3C5D"/>
    <w:rsid w:val="6BCD1F66"/>
    <w:rsid w:val="6BD22D10"/>
    <w:rsid w:val="6C1E5D41"/>
    <w:rsid w:val="6C4D0EE4"/>
    <w:rsid w:val="6C5E4D95"/>
    <w:rsid w:val="6C61720C"/>
    <w:rsid w:val="6C64054F"/>
    <w:rsid w:val="6CBA2E1D"/>
    <w:rsid w:val="6D7E311D"/>
    <w:rsid w:val="6DBB2DC6"/>
    <w:rsid w:val="6E675472"/>
    <w:rsid w:val="6E7B4B6C"/>
    <w:rsid w:val="6EBA4107"/>
    <w:rsid w:val="6ECD588F"/>
    <w:rsid w:val="6F0A3EB4"/>
    <w:rsid w:val="6F21030C"/>
    <w:rsid w:val="6F8D2E83"/>
    <w:rsid w:val="70025C90"/>
    <w:rsid w:val="70326F3D"/>
    <w:rsid w:val="704903B8"/>
    <w:rsid w:val="70C608BE"/>
    <w:rsid w:val="712F05F8"/>
    <w:rsid w:val="71503782"/>
    <w:rsid w:val="7159098D"/>
    <w:rsid w:val="71652EE0"/>
    <w:rsid w:val="71996A62"/>
    <w:rsid w:val="71C550FA"/>
    <w:rsid w:val="71FA68F4"/>
    <w:rsid w:val="72746F41"/>
    <w:rsid w:val="72DC6BEC"/>
    <w:rsid w:val="730D3329"/>
    <w:rsid w:val="731B117A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697287F"/>
    <w:rsid w:val="771C1592"/>
    <w:rsid w:val="774F4848"/>
    <w:rsid w:val="778575B4"/>
    <w:rsid w:val="7797669F"/>
    <w:rsid w:val="77C07083"/>
    <w:rsid w:val="77D671B1"/>
    <w:rsid w:val="781900CE"/>
    <w:rsid w:val="784A24C1"/>
    <w:rsid w:val="7867307F"/>
    <w:rsid w:val="78881741"/>
    <w:rsid w:val="78A70FCA"/>
    <w:rsid w:val="78C90760"/>
    <w:rsid w:val="79272D7A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A9A1912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E122E21"/>
    <w:rsid w:val="7E592FC9"/>
    <w:rsid w:val="7E5C3A73"/>
    <w:rsid w:val="7EC15BD0"/>
    <w:rsid w:val="7EDE6FA8"/>
    <w:rsid w:val="7EDF6B91"/>
    <w:rsid w:val="7EFE6536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9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0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3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8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5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6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2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7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4"/>
    <w:qFormat/>
    <w:uiPriority w:val="99"/>
  </w:style>
  <w:style w:type="paragraph" w:styleId="30">
    <w:name w:val="Body Text"/>
    <w:basedOn w:val="1"/>
    <w:link w:val="81"/>
    <w:qFormat/>
    <w:uiPriority w:val="0"/>
  </w:style>
  <w:style w:type="paragraph" w:styleId="31">
    <w:name w:val="Plain Text"/>
    <w:basedOn w:val="1"/>
    <w:link w:val="105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2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6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4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1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6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7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22"/>
    <w:rPr>
      <w:b/>
    </w:rPr>
  </w:style>
  <w:style w:type="character" w:styleId="53">
    <w:name w:val="endnote reference"/>
    <w:qFormat/>
    <w:uiPriority w:val="0"/>
    <w:rPr>
      <w:vertAlign w:val="superscript"/>
    </w:rPr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semiHidden/>
    <w:qFormat/>
    <w:uiPriority w:val="0"/>
    <w:rPr>
      <w:sz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character" w:customStyle="1" w:styleId="59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60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1">
    <w:name w:val="TAH Car"/>
    <w:link w:val="62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2">
    <w:name w:val="TAH"/>
    <w:basedOn w:val="1"/>
    <w:link w:val="6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3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4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5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6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7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8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9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70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1">
    <w:name w:val="NO Char"/>
    <w:link w:val="72"/>
    <w:qFormat/>
    <w:uiPriority w:val="0"/>
    <w:rPr>
      <w:rFonts w:ascii="Times New Roman" w:hAnsi="Times New Roman"/>
      <w:lang w:val="zh-CN" w:eastAsia="en-US"/>
    </w:rPr>
  </w:style>
  <w:style w:type="paragraph" w:customStyle="1" w:styleId="72">
    <w:name w:val="NO"/>
    <w:basedOn w:val="1"/>
    <w:link w:val="71"/>
    <w:qFormat/>
    <w:uiPriority w:val="0"/>
    <w:pPr>
      <w:keepLines/>
      <w:ind w:left="1135" w:hanging="851"/>
    </w:pPr>
    <w:rPr>
      <w:lang w:val="zh-CN"/>
    </w:rPr>
  </w:style>
  <w:style w:type="character" w:customStyle="1" w:styleId="73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4">
    <w:name w:val="3GPP Normal Text Char"/>
    <w:link w:val="75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5">
    <w:name w:val="3GPP Normal Text"/>
    <w:basedOn w:val="30"/>
    <w:link w:val="7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6">
    <w:name w:val="ZGSM"/>
    <w:qFormat/>
    <w:uiPriority w:val="0"/>
  </w:style>
  <w:style w:type="character" w:customStyle="1" w:styleId="77">
    <w:name w:val="CR Cover Page Char"/>
    <w:link w:val="78"/>
    <w:qFormat/>
    <w:uiPriority w:val="0"/>
    <w:rPr>
      <w:rFonts w:ascii="Arial" w:hAnsi="Arial"/>
      <w:lang w:eastAsia="en-US"/>
    </w:rPr>
  </w:style>
  <w:style w:type="paragraph" w:customStyle="1" w:styleId="78">
    <w:name w:val="CR Cover Page"/>
    <w:link w:val="77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9">
    <w:name w:val="样式 页眉 Char"/>
    <w:link w:val="80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80">
    <w:name w:val="样式 页眉"/>
    <w:basedOn w:val="39"/>
    <w:link w:val="79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1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2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3">
    <w:name w:val="PL Char"/>
    <w:link w:val="84"/>
    <w:qFormat/>
    <w:uiPriority w:val="0"/>
    <w:rPr>
      <w:rFonts w:ascii="Courier New" w:hAnsi="Courier New"/>
      <w:sz w:val="16"/>
      <w:lang w:eastAsia="en-US"/>
    </w:rPr>
  </w:style>
  <w:style w:type="paragraph" w:customStyle="1" w:styleId="8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H6 Char"/>
    <w:link w:val="86"/>
    <w:qFormat/>
    <w:uiPriority w:val="0"/>
    <w:rPr>
      <w:rFonts w:ascii="Arial" w:hAnsi="Arial"/>
      <w:szCs w:val="18"/>
      <w:lang w:val="sv-SE" w:eastAsia="zh-CN"/>
    </w:rPr>
  </w:style>
  <w:style w:type="paragraph" w:customStyle="1" w:styleId="86">
    <w:name w:val="H6"/>
    <w:basedOn w:val="6"/>
    <w:next w:val="1"/>
    <w:link w:val="85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7">
    <w:name w:val="List Paragraph Char"/>
    <w:link w:val="88"/>
    <w:qFormat/>
    <w:locked/>
    <w:uiPriority w:val="34"/>
    <w:rPr>
      <w:rFonts w:ascii="Times New Roman" w:hAnsi="Times New Roman"/>
      <w:lang w:eastAsia="en-US"/>
    </w:rPr>
  </w:style>
  <w:style w:type="paragraph" w:styleId="88">
    <w:name w:val="List Paragraph"/>
    <w:basedOn w:val="1"/>
    <w:link w:val="87"/>
    <w:qFormat/>
    <w:uiPriority w:val="34"/>
    <w:pPr>
      <w:ind w:firstLine="420" w:firstLineChars="200"/>
    </w:pPr>
  </w:style>
  <w:style w:type="character" w:customStyle="1" w:styleId="89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2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3">
    <w:name w:val="TAC Char"/>
    <w:link w:val="94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4">
    <w:name w:val="TAC"/>
    <w:basedOn w:val="1"/>
    <w:link w:val="93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5">
    <w:name w:val="TAL Car"/>
    <w:link w:val="96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6">
    <w:name w:val="TAL"/>
    <w:basedOn w:val="1"/>
    <w:link w:val="95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7">
    <w:name w:val="TH Char"/>
    <w:link w:val="98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8">
    <w:name w:val="TH"/>
    <w:basedOn w:val="1"/>
    <w:link w:val="97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9">
    <w:name w:val="TAN Char"/>
    <w:link w:val="100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100">
    <w:name w:val="TAN"/>
    <w:basedOn w:val="96"/>
    <w:link w:val="99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1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2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3">
    <w:name w:val="texhtml"/>
    <w:basedOn w:val="51"/>
    <w:qFormat/>
    <w:uiPriority w:val="0"/>
  </w:style>
  <w:style w:type="character" w:customStyle="1" w:styleId="104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5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6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7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8">
    <w:name w:val="Guidance Char"/>
    <w:link w:val="109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9">
    <w:name w:val="Guidance"/>
    <w:basedOn w:val="1"/>
    <w:link w:val="108"/>
    <w:qFormat/>
    <w:uiPriority w:val="0"/>
    <w:rPr>
      <w:i/>
      <w:color w:val="0000FF"/>
      <w:lang w:val="zh-CN"/>
    </w:rPr>
  </w:style>
  <w:style w:type="character" w:customStyle="1" w:styleId="110">
    <w:name w:val="B1 Char"/>
    <w:link w:val="111"/>
    <w:qFormat/>
    <w:uiPriority w:val="0"/>
    <w:rPr>
      <w:rFonts w:ascii="Times New Roman" w:hAnsi="Times New Roman"/>
      <w:lang w:eastAsia="en-US"/>
    </w:rPr>
  </w:style>
  <w:style w:type="paragraph" w:customStyle="1" w:styleId="111">
    <w:name w:val="B1"/>
    <w:basedOn w:val="13"/>
    <w:link w:val="110"/>
    <w:qFormat/>
    <w:uiPriority w:val="0"/>
  </w:style>
  <w:style w:type="character" w:customStyle="1" w:styleId="112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3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4">
    <w:name w:val="Subtle Reference1"/>
    <w:qFormat/>
    <w:uiPriority w:val="31"/>
    <w:rPr>
      <w:smallCaps/>
      <w:color w:val="C0504D"/>
      <w:u w:val="single"/>
    </w:rPr>
  </w:style>
  <w:style w:type="character" w:customStyle="1" w:styleId="115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6">
    <w:name w:val="EQ Char"/>
    <w:link w:val="117"/>
    <w:qFormat/>
    <w:locked/>
    <w:uiPriority w:val="0"/>
    <w:rPr>
      <w:rFonts w:ascii="Times New Roman" w:hAnsi="Times New Roman"/>
      <w:lang w:eastAsia="en-US"/>
    </w:rPr>
  </w:style>
  <w:style w:type="paragraph" w:customStyle="1" w:styleId="117">
    <w:name w:val="EQ"/>
    <w:basedOn w:val="1"/>
    <w:next w:val="1"/>
    <w:link w:val="11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8">
    <w:name w:val="normaltextrun"/>
    <w:basedOn w:val="51"/>
    <w:qFormat/>
    <w:uiPriority w:val="0"/>
  </w:style>
  <w:style w:type="paragraph" w:customStyle="1" w:styleId="119">
    <w:name w:val="TF"/>
    <w:basedOn w:val="98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20">
    <w:name w:val="INDENT1"/>
    <w:basedOn w:val="1"/>
    <w:qFormat/>
    <w:uiPriority w:val="0"/>
    <w:pPr>
      <w:ind w:left="851"/>
    </w:pPr>
  </w:style>
  <w:style w:type="paragraph" w:customStyle="1" w:styleId="121">
    <w:name w:val="ZTD"/>
    <w:basedOn w:val="122"/>
    <w:qFormat/>
    <w:uiPriority w:val="0"/>
    <w:pPr>
      <w:framePr w:hRule="auto" w:y="852"/>
    </w:pPr>
    <w:rPr>
      <w:i w:val="0"/>
      <w:sz w:val="40"/>
    </w:rPr>
  </w:style>
  <w:style w:type="paragraph" w:customStyle="1" w:styleId="12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3">
    <w:name w:val="TAR"/>
    <w:basedOn w:val="96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4">
    <w:name w:val="B5"/>
    <w:basedOn w:val="42"/>
    <w:qFormat/>
    <w:uiPriority w:val="0"/>
  </w:style>
  <w:style w:type="paragraph" w:customStyle="1" w:styleId="125">
    <w:name w:val="B2"/>
    <w:basedOn w:val="12"/>
    <w:qFormat/>
    <w:uiPriority w:val="0"/>
  </w:style>
  <w:style w:type="paragraph" w:customStyle="1" w:styleId="126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7">
    <w:name w:val="B3"/>
    <w:basedOn w:val="11"/>
    <w:qFormat/>
    <w:uiPriority w:val="0"/>
  </w:style>
  <w:style w:type="paragraph" w:customStyle="1" w:styleId="12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9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30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2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3">
    <w:name w:val="EX"/>
    <w:basedOn w:val="1"/>
    <w:qFormat/>
    <w:uiPriority w:val="0"/>
    <w:pPr>
      <w:keepLines/>
      <w:ind w:left="1702" w:hanging="1418"/>
    </w:pPr>
  </w:style>
  <w:style w:type="paragraph" w:customStyle="1" w:styleId="13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5">
    <w:name w:val="FP"/>
    <w:basedOn w:val="1"/>
    <w:qFormat/>
    <w:uiPriority w:val="0"/>
    <w:pPr>
      <w:spacing w:after="0"/>
    </w:pPr>
  </w:style>
  <w:style w:type="paragraph" w:customStyle="1" w:styleId="136">
    <w:name w:val="NW"/>
    <w:basedOn w:val="72"/>
    <w:qFormat/>
    <w:uiPriority w:val="0"/>
    <w:pPr>
      <w:spacing w:after="0"/>
    </w:pPr>
  </w:style>
  <w:style w:type="paragraph" w:customStyle="1" w:styleId="137">
    <w:name w:val="INDENT3"/>
    <w:basedOn w:val="1"/>
    <w:qFormat/>
    <w:uiPriority w:val="0"/>
    <w:pPr>
      <w:ind w:left="1701" w:hanging="567"/>
    </w:pPr>
  </w:style>
  <w:style w:type="paragraph" w:customStyle="1" w:styleId="138">
    <w:name w:val="EW"/>
    <w:basedOn w:val="133"/>
    <w:qFormat/>
    <w:uiPriority w:val="0"/>
    <w:pPr>
      <w:spacing w:after="0"/>
    </w:pPr>
  </w:style>
  <w:style w:type="paragraph" w:customStyle="1" w:styleId="139">
    <w:name w:val="Editor's Note"/>
    <w:basedOn w:val="72"/>
    <w:qFormat/>
    <w:uiPriority w:val="0"/>
    <w:rPr>
      <w:color w:val="FF0000"/>
    </w:rPr>
  </w:style>
  <w:style w:type="paragraph" w:customStyle="1" w:styleId="1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1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2">
    <w:name w:val="B4"/>
    <w:basedOn w:val="43"/>
    <w:qFormat/>
    <w:uiPriority w:val="0"/>
  </w:style>
  <w:style w:type="paragraph" w:customStyle="1" w:styleId="1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7">
    <w:name w:val="ZV"/>
    <w:basedOn w:val="144"/>
    <w:qFormat/>
    <w:uiPriority w:val="0"/>
    <w:pPr>
      <w:framePr w:y="16161"/>
    </w:pPr>
  </w:style>
  <w:style w:type="paragraph" w:customStyle="1" w:styleId="148">
    <w:name w:val="INDENT2"/>
    <w:basedOn w:val="1"/>
    <w:qFormat/>
    <w:uiPriority w:val="0"/>
    <w:pPr>
      <w:ind w:left="1135" w:hanging="284"/>
    </w:pPr>
  </w:style>
  <w:style w:type="paragraph" w:customStyle="1" w:styleId="14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50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2">
    <w:name w:val="TAJ"/>
    <w:basedOn w:val="98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3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5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7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8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2C941A-E0E2-49B2-AE14-A71704B58BAF}">
  <ds:schemaRefs/>
</ds:datastoreItem>
</file>

<file path=customXml/itemProps2.xml><?xml version="1.0" encoding="utf-8"?>
<ds:datastoreItem xmlns:ds="http://schemas.openxmlformats.org/officeDocument/2006/customXml" ds:itemID="{0C51F8B9-6FDA-4EF6-B1BE-F2CC81632464}">
  <ds:schemaRefs/>
</ds:datastoreItem>
</file>

<file path=customXml/itemProps3.xml><?xml version="1.0" encoding="utf-8"?>
<ds:datastoreItem xmlns:ds="http://schemas.openxmlformats.org/officeDocument/2006/customXml" ds:itemID="{E32390C5-A3DD-4E73-BAA6-FFCF50F070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10</TotalTime>
  <ScaleCrop>false</ScaleCrop>
  <LinksUpToDate>false</LinksUpToDate>
  <CharactersWithSpaces>4578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00071046</cp:lastModifiedBy>
  <dcterms:modified xsi:type="dcterms:W3CDTF">2023-03-03T09:15:52Z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2052-11.8.2.11718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  <property fmtid="{D5CDD505-2E9C-101B-9397-08002B2CF9AE}" pid="17" name="ICV">
    <vt:lpwstr>0C1B9E8B89654E7A9A6783C87DFFFCB4</vt:lpwstr>
  </property>
</Properties>
</file>