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9A13B8D"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133805">
        <w:rPr>
          <w:rFonts w:cs="Arial"/>
          <w:sz w:val="24"/>
          <w:szCs w:val="24"/>
          <w:lang w:val="de-DE"/>
        </w:rPr>
        <w:t>302711</w:t>
      </w:r>
    </w:p>
    <w:p w14:paraId="7C5F9A1F" w14:textId="1255459E"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w:t>
      </w:r>
      <w:r w:rsidR="00310795">
        <w:rPr>
          <w:rFonts w:cs="Arial"/>
          <w:sz w:val="24"/>
          <w:szCs w:val="24"/>
        </w:rPr>
        <w:t>3</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401AA8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133805">
        <w:rPr>
          <w:rFonts w:ascii="Arial" w:hAnsi="Arial"/>
          <w:sz w:val="24"/>
          <w:lang w:val="en-US"/>
        </w:rPr>
        <w:t>9.25.1.1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739BAD27"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ED01F4">
        <w:rPr>
          <w:rFonts w:ascii="Arial" w:hAnsi="Arial"/>
          <w:sz w:val="24"/>
          <w:lang w:val="en-US"/>
        </w:rPr>
        <w:t>NTN Ka band definition</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FDA5393" w14:textId="69F4EE98" w:rsidR="00ED01F4" w:rsidRDefault="003028F2" w:rsidP="009011AF">
      <w:r>
        <w:t>One of the objectives in the Rel-18 NTN enhancements</w:t>
      </w:r>
      <w:r w:rsidR="00ED01F4">
        <w:t xml:space="preserve"> work item </w:t>
      </w:r>
      <w:r>
        <w:t>[</w:t>
      </w:r>
      <w:r w:rsidR="00ED01F4">
        <w:t xml:space="preserve">1] </w:t>
      </w:r>
      <w:r>
        <w:t xml:space="preserve">is to study and identify an NTN example band </w:t>
      </w:r>
      <w:r w:rsidR="00ED01F4">
        <w:t xml:space="preserve">in the &gt; 10 GHz frequency range.  The </w:t>
      </w:r>
      <w:r>
        <w:t xml:space="preserve">satellite harmonized Ka band should be considered as a reference, but the example RAN4 band may be a portion of or the entire harmonized Ka band.  Identification of an example band for which technical studies can then be undertaken has proven to be </w:t>
      </w:r>
      <w:r w:rsidR="00CA518A">
        <w:t xml:space="preserve">non-trivial.  In this contribution, </w:t>
      </w:r>
      <w:r w:rsidR="0002094C">
        <w:t xml:space="preserve">we take a more </w:t>
      </w:r>
      <w:r w:rsidR="00520EBC">
        <w:t>pragmatic</w:t>
      </w:r>
      <w:r w:rsidR="0002094C">
        <w:t xml:space="preserve"> approach to </w:t>
      </w:r>
      <w:r w:rsidR="00520EBC">
        <w:t xml:space="preserve">enable completion of </w:t>
      </w:r>
      <w:r w:rsidR="0002094C">
        <w:t xml:space="preserve">the work item and provide </w:t>
      </w:r>
      <w:r w:rsidR="00CA518A">
        <w:t>additional thoughts on the possibility to identify a single Ka band in the context of this work item.</w:t>
      </w:r>
    </w:p>
    <w:p w14:paraId="10F6602E" w14:textId="37903195" w:rsidR="007E1E78" w:rsidRDefault="007E1E78" w:rsidP="0099327E">
      <w:pPr>
        <w:pStyle w:val="Heading1"/>
        <w:tabs>
          <w:tab w:val="clear" w:pos="432"/>
          <w:tab w:val="num" w:pos="522"/>
        </w:tabs>
        <w:ind w:left="522" w:hanging="522"/>
        <w:rPr>
          <w:lang w:val="en-US"/>
        </w:rPr>
      </w:pPr>
      <w:r>
        <w:rPr>
          <w:lang w:val="en-US"/>
        </w:rPr>
        <w:t>Discussion</w:t>
      </w:r>
    </w:p>
    <w:p w14:paraId="6B3D89E0" w14:textId="3EB03CF4" w:rsidR="00AF7872" w:rsidRDefault="00AF7872" w:rsidP="00D20982">
      <w:pPr>
        <w:pStyle w:val="Heading2"/>
        <w:rPr>
          <w:lang w:val="en-US"/>
        </w:rPr>
      </w:pPr>
      <w:r>
        <w:rPr>
          <w:lang w:val="en-US"/>
        </w:rPr>
        <w:t>Work plan</w:t>
      </w:r>
    </w:p>
    <w:p w14:paraId="0A1F2001" w14:textId="1244F102" w:rsidR="00AF7872" w:rsidRDefault="003D1DB4" w:rsidP="00AF7872">
      <w:pPr>
        <w:rPr>
          <w:lang w:val="en-US"/>
        </w:rPr>
      </w:pPr>
      <w:r>
        <w:rPr>
          <w:lang w:val="en-US"/>
        </w:rPr>
        <w:t xml:space="preserve">The Rel-18 NTN enhancements work item </w:t>
      </w:r>
      <w:r w:rsidR="00810500">
        <w:rPr>
          <w:lang w:val="en-US"/>
        </w:rPr>
        <w:t xml:space="preserve">[1] </w:t>
      </w:r>
      <w:r>
        <w:rPr>
          <w:lang w:val="en-US"/>
        </w:rPr>
        <w:t>includes an objective to study and identify an NTN example band in the &gt; 10 GHz frequency range.  The WID further states “</w:t>
      </w:r>
      <w:r w:rsidRPr="00134B7D">
        <w:rPr>
          <w:bCs/>
        </w:rPr>
        <w:t>The example band shall be identified early in the WI</w:t>
      </w:r>
      <w:r>
        <w:rPr>
          <w:bCs/>
        </w:rPr>
        <w:t xml:space="preserve">”.  </w:t>
      </w:r>
      <w:r w:rsidR="00256138">
        <w:rPr>
          <w:bCs/>
        </w:rPr>
        <w:t xml:space="preserve">The completion of the core part of the band and associated requirements is intended to be completed at RAN #102 in December 2023.  </w:t>
      </w:r>
      <w:r w:rsidR="00810500">
        <w:rPr>
          <w:bCs/>
        </w:rPr>
        <w:t xml:space="preserve">The </w:t>
      </w:r>
      <w:r w:rsidR="00A34135">
        <w:rPr>
          <w:lang w:val="en-US"/>
        </w:rPr>
        <w:t>approved work plan [</w:t>
      </w:r>
      <w:r w:rsidR="00810500">
        <w:rPr>
          <w:lang w:val="en-US"/>
        </w:rPr>
        <w:t>2</w:t>
      </w:r>
      <w:r w:rsidR="00A34135">
        <w:rPr>
          <w:lang w:val="en-US"/>
        </w:rPr>
        <w:t>]</w:t>
      </w:r>
      <w:r w:rsidR="00A5117C">
        <w:rPr>
          <w:lang w:val="en-US"/>
        </w:rPr>
        <w:t xml:space="preserve"> for the core part </w:t>
      </w:r>
      <w:r w:rsidR="00E611E0">
        <w:rPr>
          <w:lang w:val="en-US"/>
        </w:rPr>
        <w:t>of the &gt;</w:t>
      </w:r>
      <w:r w:rsidR="00A5117C">
        <w:rPr>
          <w:lang w:val="en-US"/>
        </w:rPr>
        <w:t xml:space="preserve"> 10 GHz</w:t>
      </w:r>
      <w:r w:rsidR="00E611E0">
        <w:rPr>
          <w:lang w:val="en-US"/>
        </w:rPr>
        <w:t xml:space="preserve"> frequency range is shown below</w:t>
      </w:r>
      <w:r w:rsidR="00E57C12">
        <w:rPr>
          <w:lang w:val="en-US"/>
        </w:rPr>
        <w:t>.</w:t>
      </w:r>
    </w:p>
    <w:p w14:paraId="378981FB" w14:textId="77777777" w:rsidR="00332A4B" w:rsidRDefault="00332A4B" w:rsidP="00332A4B">
      <w:pPr>
        <w:rPr>
          <w:u w:val="single"/>
          <w:lang w:eastAsia="zh-CN"/>
        </w:rPr>
      </w:pPr>
      <w:r>
        <w:rPr>
          <w:u w:val="single"/>
          <w:lang w:eastAsia="zh-CN"/>
        </w:rPr>
        <w:t>Core part</w:t>
      </w:r>
    </w:p>
    <w:tbl>
      <w:tblPr>
        <w:tblStyle w:val="TableGrid"/>
        <w:tblW w:w="0" w:type="auto"/>
        <w:tblLook w:val="04A0" w:firstRow="1" w:lastRow="0" w:firstColumn="1" w:lastColumn="0" w:noHBand="0" w:noVBand="1"/>
      </w:tblPr>
      <w:tblGrid>
        <w:gridCol w:w="3256"/>
        <w:gridCol w:w="6051"/>
      </w:tblGrid>
      <w:tr w:rsidR="00332A4B" w:rsidRPr="00012E1E" w14:paraId="143B2108" w14:textId="77777777" w:rsidTr="003A5160">
        <w:tc>
          <w:tcPr>
            <w:tcW w:w="3256" w:type="dxa"/>
          </w:tcPr>
          <w:p w14:paraId="314C4138" w14:textId="77777777" w:rsidR="00332A4B" w:rsidRPr="00012E1E" w:rsidRDefault="00332A4B" w:rsidP="003A5160">
            <w:pPr>
              <w:rPr>
                <w:b/>
                <w:lang w:eastAsia="zh-CN"/>
              </w:rPr>
            </w:pPr>
            <w:r w:rsidRPr="00012E1E">
              <w:rPr>
                <w:b/>
                <w:lang w:eastAsia="zh-CN"/>
              </w:rPr>
              <w:t>Meetings</w:t>
            </w:r>
          </w:p>
        </w:tc>
        <w:tc>
          <w:tcPr>
            <w:tcW w:w="6051" w:type="dxa"/>
          </w:tcPr>
          <w:p w14:paraId="556EBC50" w14:textId="77777777" w:rsidR="00332A4B" w:rsidRPr="00012E1E" w:rsidRDefault="00332A4B" w:rsidP="003A5160">
            <w:pPr>
              <w:rPr>
                <w:b/>
                <w:lang w:eastAsia="zh-CN"/>
              </w:rPr>
            </w:pPr>
            <w:r w:rsidRPr="00012E1E">
              <w:rPr>
                <w:b/>
                <w:lang w:eastAsia="zh-CN"/>
              </w:rPr>
              <w:t>Objectives</w:t>
            </w:r>
          </w:p>
        </w:tc>
      </w:tr>
      <w:tr w:rsidR="00332A4B" w:rsidRPr="00012E1E" w14:paraId="62F15CF1" w14:textId="77777777" w:rsidTr="003A5160">
        <w:tc>
          <w:tcPr>
            <w:tcW w:w="3256" w:type="dxa"/>
          </w:tcPr>
          <w:p w14:paraId="3B6EECD3" w14:textId="77777777" w:rsidR="00332A4B" w:rsidRPr="00012E1E" w:rsidRDefault="00332A4B" w:rsidP="003A5160">
            <w:pPr>
              <w:rPr>
                <w:lang w:eastAsia="zh-CN"/>
              </w:rPr>
            </w:pPr>
            <w:proofErr w:type="spellStart"/>
            <w:r w:rsidRPr="00012E1E">
              <w:rPr>
                <w:b/>
                <w:lang w:val="fr-FR" w:eastAsia="zh-CN"/>
              </w:rPr>
              <w:t>October</w:t>
            </w:r>
            <w:proofErr w:type="spellEnd"/>
            <w:r w:rsidRPr="00012E1E">
              <w:rPr>
                <w:b/>
                <w:lang w:val="fr-FR" w:eastAsia="zh-CN"/>
              </w:rPr>
              <w:t xml:space="preserve"> 2022, RAN4#104-bis</w:t>
            </w:r>
          </w:p>
        </w:tc>
        <w:tc>
          <w:tcPr>
            <w:tcW w:w="6051" w:type="dxa"/>
          </w:tcPr>
          <w:p w14:paraId="298027FB" w14:textId="77777777" w:rsidR="00332A4B" w:rsidRPr="00012E1E" w:rsidRDefault="00332A4B" w:rsidP="003A5160">
            <w:pPr>
              <w:rPr>
                <w:rFonts w:eastAsia="MS Mincho"/>
                <w:lang w:eastAsia="ja-JP"/>
              </w:rPr>
            </w:pPr>
            <w:r w:rsidRPr="00012E1E">
              <w:rPr>
                <w:rFonts w:eastAsia="MS Mincho" w:hint="eastAsia"/>
                <w:lang w:eastAsia="ja-JP"/>
              </w:rPr>
              <w:t>R</w:t>
            </w:r>
            <w:r w:rsidRPr="00012E1E">
              <w:rPr>
                <w:rFonts w:eastAsia="MS Mincho"/>
                <w:lang w:eastAsia="ja-JP"/>
              </w:rPr>
              <w:t>F</w:t>
            </w:r>
            <w:r>
              <w:rPr>
                <w:rFonts w:eastAsia="MS Mincho"/>
                <w:lang w:eastAsia="ja-JP"/>
              </w:rPr>
              <w:t xml:space="preserve"> (0.5TU)</w:t>
            </w:r>
            <w:r w:rsidRPr="00012E1E">
              <w:rPr>
                <w:rFonts w:eastAsia="MS Mincho"/>
                <w:lang w:eastAsia="ja-JP"/>
              </w:rPr>
              <w:t>:</w:t>
            </w:r>
          </w:p>
          <w:p w14:paraId="348A8D0B" w14:textId="77777777" w:rsidR="00332A4B"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012E1E">
              <w:rPr>
                <w:rFonts w:eastAsia="MS Mincho"/>
                <w:lang w:eastAsia="ja-JP"/>
              </w:rPr>
              <w:t xml:space="preserve">Discuss </w:t>
            </w:r>
            <w:r>
              <w:rPr>
                <w:rFonts w:eastAsia="MS Mincho"/>
                <w:lang w:eastAsia="ja-JP"/>
              </w:rPr>
              <w:t xml:space="preserve">example band for NTN enhancement study </w:t>
            </w:r>
            <w:r w:rsidRPr="00012E1E">
              <w:rPr>
                <w:rFonts w:eastAsia="MS Mincho"/>
                <w:lang w:eastAsia="ja-JP"/>
              </w:rPr>
              <w:t xml:space="preserve">according to ITU </w:t>
            </w:r>
            <w:proofErr w:type="gramStart"/>
            <w:r w:rsidRPr="00012E1E">
              <w:rPr>
                <w:rFonts w:eastAsia="MS Mincho"/>
                <w:lang w:eastAsia="ja-JP"/>
              </w:rPr>
              <w:t>allocation;</w:t>
            </w:r>
            <w:proofErr w:type="gramEnd"/>
            <w:r w:rsidRPr="00012E1E">
              <w:rPr>
                <w:rFonts w:eastAsia="MS Mincho"/>
                <w:lang w:eastAsia="ja-JP"/>
              </w:rPr>
              <w:t xml:space="preserve"> taking into account deployment type (e.g. VSAT, ESIM), scenarios, and ITU-R/regional regulations</w:t>
            </w:r>
            <w:r>
              <w:rPr>
                <w:rFonts w:eastAsia="MS Mincho"/>
                <w:lang w:eastAsia="ja-JP"/>
              </w:rPr>
              <w:t>.</w:t>
            </w:r>
          </w:p>
          <w:p w14:paraId="4251B610" w14:textId="77777777" w:rsidR="00332A4B"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D955A9">
              <w:rPr>
                <w:rFonts w:eastAsia="MS Mincho"/>
                <w:lang w:eastAsia="ja-JP"/>
              </w:rPr>
              <w:t xml:space="preserve">Study implications of FDD operation in FR2 and derive requirements for the </w:t>
            </w:r>
            <w:r>
              <w:rPr>
                <w:rFonts w:eastAsia="MS Mincho"/>
                <w:lang w:eastAsia="ja-JP"/>
              </w:rPr>
              <w:t xml:space="preserve">to be </w:t>
            </w:r>
            <w:r w:rsidRPr="00D955A9">
              <w:rPr>
                <w:rFonts w:eastAsia="MS Mincho"/>
                <w:lang w:eastAsia="ja-JP"/>
              </w:rPr>
              <w:t>identified example band appropriately</w:t>
            </w:r>
            <w:r>
              <w:rPr>
                <w:rFonts w:eastAsia="MS Mincho"/>
                <w:lang w:eastAsia="ja-JP"/>
              </w:rPr>
              <w:t>.</w:t>
            </w:r>
          </w:p>
          <w:p w14:paraId="53C26033" w14:textId="77777777" w:rsidR="00332A4B" w:rsidRPr="00012E1E"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D1764E">
              <w:rPr>
                <w:rFonts w:eastAsia="MS Mincho"/>
                <w:lang w:eastAsia="ja-JP"/>
              </w:rPr>
              <w:t>Discuss coexistence study scenarios to be considered and related simulations assumptions.</w:t>
            </w:r>
          </w:p>
        </w:tc>
      </w:tr>
      <w:tr w:rsidR="00332A4B" w:rsidRPr="00012E1E" w14:paraId="3E5D5C7E" w14:textId="77777777" w:rsidTr="003A5160">
        <w:tc>
          <w:tcPr>
            <w:tcW w:w="3256" w:type="dxa"/>
          </w:tcPr>
          <w:p w14:paraId="60877047" w14:textId="77777777" w:rsidR="00332A4B" w:rsidRPr="00012E1E" w:rsidRDefault="00332A4B" w:rsidP="003A5160">
            <w:pPr>
              <w:rPr>
                <w:lang w:eastAsia="zh-CN"/>
              </w:rPr>
            </w:pPr>
            <w:proofErr w:type="spellStart"/>
            <w:r w:rsidRPr="00012E1E">
              <w:rPr>
                <w:b/>
                <w:lang w:val="fr-FR" w:eastAsia="zh-CN"/>
              </w:rPr>
              <w:t>November</w:t>
            </w:r>
            <w:proofErr w:type="spellEnd"/>
            <w:r w:rsidRPr="00012E1E">
              <w:rPr>
                <w:b/>
                <w:lang w:val="fr-FR" w:eastAsia="zh-CN"/>
              </w:rPr>
              <w:t xml:space="preserve"> 2022, RAN4#105</w:t>
            </w:r>
          </w:p>
        </w:tc>
        <w:tc>
          <w:tcPr>
            <w:tcW w:w="6051" w:type="dxa"/>
          </w:tcPr>
          <w:p w14:paraId="46EB2EC1" w14:textId="77777777" w:rsidR="00332A4B" w:rsidRPr="000E3071" w:rsidRDefault="00332A4B" w:rsidP="003A5160">
            <w:r w:rsidRPr="00012E1E">
              <w:rPr>
                <w:rFonts w:eastAsia="MS Mincho" w:hint="eastAsia"/>
                <w:lang w:eastAsia="ja-JP"/>
              </w:rPr>
              <w:t>R</w:t>
            </w:r>
            <w:r w:rsidRPr="00012E1E">
              <w:rPr>
                <w:rFonts w:eastAsia="MS Mincho"/>
                <w:lang w:eastAsia="ja-JP"/>
              </w:rPr>
              <w:t>F</w:t>
            </w:r>
            <w:r>
              <w:rPr>
                <w:rFonts w:eastAsia="MS Mincho"/>
                <w:lang w:eastAsia="ja-JP"/>
              </w:rPr>
              <w:t xml:space="preserve"> (0.5TU)</w:t>
            </w:r>
            <w:r w:rsidRPr="00012E1E">
              <w:rPr>
                <w:rFonts w:eastAsia="MS Mincho"/>
                <w:lang w:eastAsia="ja-JP"/>
              </w:rPr>
              <w:t>:</w:t>
            </w:r>
          </w:p>
          <w:p w14:paraId="476D8F95" w14:textId="77777777" w:rsidR="00332A4B"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hint="eastAsia"/>
                <w:lang w:eastAsia="ja-JP"/>
              </w:rPr>
              <w:t>Further</w:t>
            </w:r>
            <w:r>
              <w:rPr>
                <w:rFonts w:eastAsia="MS Mincho"/>
                <w:lang w:eastAsia="ja-JP"/>
              </w:rPr>
              <w:t xml:space="preserve"> discuss</w:t>
            </w:r>
            <w:r w:rsidRPr="00012E1E">
              <w:rPr>
                <w:rFonts w:eastAsia="MS Mincho"/>
                <w:lang w:eastAsia="ja-JP"/>
              </w:rPr>
              <w:t xml:space="preserve"> </w:t>
            </w:r>
            <w:r>
              <w:rPr>
                <w:rFonts w:eastAsia="MS Mincho"/>
                <w:lang w:eastAsia="ja-JP"/>
              </w:rPr>
              <w:t xml:space="preserve">example band for NTN enhancement study </w:t>
            </w:r>
            <w:r w:rsidRPr="00012E1E">
              <w:rPr>
                <w:rFonts w:eastAsia="MS Mincho"/>
                <w:lang w:eastAsia="ja-JP"/>
              </w:rPr>
              <w:t xml:space="preserve">according to ITU </w:t>
            </w:r>
            <w:proofErr w:type="gramStart"/>
            <w:r w:rsidRPr="00012E1E">
              <w:rPr>
                <w:rFonts w:eastAsia="MS Mincho"/>
                <w:lang w:eastAsia="ja-JP"/>
              </w:rPr>
              <w:t>allocation;</w:t>
            </w:r>
            <w:proofErr w:type="gramEnd"/>
            <w:r w:rsidRPr="00012E1E">
              <w:rPr>
                <w:rFonts w:eastAsia="MS Mincho"/>
                <w:lang w:eastAsia="ja-JP"/>
              </w:rPr>
              <w:t xml:space="preserve"> taking into account deployment type (e.g. VSAT, ESIM), scenarios, and ITU-R/regional regulations</w:t>
            </w:r>
            <w:r>
              <w:rPr>
                <w:rFonts w:eastAsia="MS Mincho"/>
                <w:lang w:eastAsia="ja-JP"/>
              </w:rPr>
              <w:t>.</w:t>
            </w:r>
          </w:p>
          <w:p w14:paraId="512A2F6E" w14:textId="77777777" w:rsidR="00332A4B" w:rsidRPr="00BF6584" w:rsidRDefault="00332A4B" w:rsidP="00B93B38">
            <w:pPr>
              <w:pStyle w:val="ListParagraph"/>
              <w:widowControl w:val="0"/>
              <w:numPr>
                <w:ilvl w:val="0"/>
                <w:numId w:val="15"/>
              </w:numPr>
              <w:overflowPunct/>
              <w:autoSpaceDE/>
              <w:autoSpaceDN/>
              <w:adjustRightInd/>
              <w:spacing w:after="0"/>
              <w:contextualSpacing w:val="0"/>
              <w:jc w:val="both"/>
              <w:textAlignment w:val="auto"/>
            </w:pPr>
            <w:r>
              <w:rPr>
                <w:rFonts w:eastAsia="MS Mincho"/>
                <w:lang w:eastAsia="ja-JP"/>
              </w:rPr>
              <w:t>Further s</w:t>
            </w:r>
            <w:r w:rsidRPr="00D955A9">
              <w:rPr>
                <w:rFonts w:eastAsia="MS Mincho"/>
                <w:lang w:eastAsia="ja-JP"/>
              </w:rPr>
              <w:t xml:space="preserve">tudy implications of FDD operation in FR2 and derive requirements for the </w:t>
            </w:r>
            <w:r>
              <w:rPr>
                <w:rFonts w:eastAsia="MS Mincho"/>
                <w:lang w:eastAsia="ja-JP"/>
              </w:rPr>
              <w:t xml:space="preserve">to be </w:t>
            </w:r>
            <w:r w:rsidRPr="00D955A9">
              <w:rPr>
                <w:rFonts w:eastAsia="MS Mincho"/>
                <w:lang w:eastAsia="ja-JP"/>
              </w:rPr>
              <w:t>identified example band appropriately</w:t>
            </w:r>
            <w:r>
              <w:rPr>
                <w:rFonts w:eastAsia="MS Mincho"/>
                <w:lang w:eastAsia="ja-JP"/>
              </w:rPr>
              <w:t>.</w:t>
            </w:r>
          </w:p>
          <w:p w14:paraId="5A6A62CE" w14:textId="77777777" w:rsidR="00332A4B" w:rsidRPr="00012E1E" w:rsidRDefault="00332A4B" w:rsidP="00B93B38">
            <w:pPr>
              <w:pStyle w:val="ListParagraph"/>
              <w:widowControl w:val="0"/>
              <w:numPr>
                <w:ilvl w:val="0"/>
                <w:numId w:val="15"/>
              </w:numPr>
              <w:overflowPunct/>
              <w:autoSpaceDE/>
              <w:autoSpaceDN/>
              <w:adjustRightInd/>
              <w:spacing w:after="0"/>
              <w:contextualSpacing w:val="0"/>
              <w:jc w:val="both"/>
              <w:textAlignment w:val="auto"/>
            </w:pPr>
            <w:r>
              <w:rPr>
                <w:rFonts w:eastAsia="MS Mincho"/>
                <w:lang w:eastAsia="ja-JP"/>
              </w:rPr>
              <w:t>Further d</w:t>
            </w:r>
            <w:r w:rsidRPr="00D1764E">
              <w:rPr>
                <w:rFonts w:eastAsia="MS Mincho"/>
                <w:lang w:eastAsia="ja-JP"/>
              </w:rPr>
              <w:t>iscuss coexistence study scenarios to be considered and related simulations assumptions.</w:t>
            </w:r>
          </w:p>
        </w:tc>
      </w:tr>
      <w:tr w:rsidR="00332A4B" w:rsidRPr="00012E1E" w14:paraId="4641A9E1" w14:textId="77777777" w:rsidTr="003A5160">
        <w:tc>
          <w:tcPr>
            <w:tcW w:w="3256" w:type="dxa"/>
          </w:tcPr>
          <w:p w14:paraId="1EB21795" w14:textId="77777777" w:rsidR="00332A4B" w:rsidRPr="00012E1E" w:rsidRDefault="00332A4B" w:rsidP="003A5160">
            <w:pPr>
              <w:rPr>
                <w:lang w:eastAsia="zh-CN"/>
              </w:rPr>
            </w:pPr>
            <w:proofErr w:type="spellStart"/>
            <w:r w:rsidRPr="00012E1E">
              <w:rPr>
                <w:b/>
                <w:lang w:val="fr-FR" w:eastAsia="zh-CN"/>
              </w:rPr>
              <w:t>February</w:t>
            </w:r>
            <w:proofErr w:type="spellEnd"/>
            <w:r w:rsidRPr="00012E1E">
              <w:rPr>
                <w:b/>
                <w:lang w:val="fr-FR" w:eastAsia="zh-CN"/>
              </w:rPr>
              <w:t xml:space="preserve"> 2023, RAN4#106</w:t>
            </w:r>
          </w:p>
        </w:tc>
        <w:tc>
          <w:tcPr>
            <w:tcW w:w="6051" w:type="dxa"/>
          </w:tcPr>
          <w:p w14:paraId="313F5F62"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F (1TU):</w:t>
            </w:r>
          </w:p>
          <w:p w14:paraId="673B0B8A" w14:textId="77777777" w:rsidR="00332A4B"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Define</w:t>
            </w:r>
            <w:r w:rsidRPr="00012E1E">
              <w:rPr>
                <w:rFonts w:eastAsia="MS Mincho"/>
                <w:lang w:eastAsia="ja-JP"/>
              </w:rPr>
              <w:t xml:space="preserve"> </w:t>
            </w:r>
            <w:r>
              <w:rPr>
                <w:rFonts w:eastAsia="MS Mincho"/>
                <w:lang w:eastAsia="ja-JP"/>
              </w:rPr>
              <w:t xml:space="preserve">example band for NTN enhancement study </w:t>
            </w:r>
            <w:r w:rsidRPr="00012E1E">
              <w:rPr>
                <w:rFonts w:eastAsia="MS Mincho"/>
                <w:lang w:eastAsia="ja-JP"/>
              </w:rPr>
              <w:t xml:space="preserve">according to ITU </w:t>
            </w:r>
            <w:proofErr w:type="gramStart"/>
            <w:r w:rsidRPr="00012E1E">
              <w:rPr>
                <w:rFonts w:eastAsia="MS Mincho"/>
                <w:lang w:eastAsia="ja-JP"/>
              </w:rPr>
              <w:t>allocation;</w:t>
            </w:r>
            <w:proofErr w:type="gramEnd"/>
            <w:r w:rsidRPr="00012E1E">
              <w:rPr>
                <w:rFonts w:eastAsia="MS Mincho"/>
                <w:lang w:eastAsia="ja-JP"/>
              </w:rPr>
              <w:t xml:space="preserve"> taking into account deployment type (e.g. VSAT, ESIM), scenarios, and ITU-R/regional regulations</w:t>
            </w:r>
            <w:r>
              <w:rPr>
                <w:rFonts w:eastAsia="MS Mincho"/>
                <w:lang w:eastAsia="ja-JP"/>
              </w:rPr>
              <w:t>.</w:t>
            </w:r>
          </w:p>
          <w:p w14:paraId="5F369E46" w14:textId="77777777" w:rsidR="00332A4B"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Define</w:t>
            </w:r>
            <w:r w:rsidRPr="00D955A9">
              <w:rPr>
                <w:rFonts w:eastAsia="MS Mincho"/>
                <w:lang w:eastAsia="ja-JP"/>
              </w:rPr>
              <w:t xml:space="preserve"> requirements </w:t>
            </w:r>
            <w:r>
              <w:rPr>
                <w:rFonts w:eastAsia="MS Mincho"/>
                <w:lang w:eastAsia="ja-JP"/>
              </w:rPr>
              <w:t xml:space="preserve">of </w:t>
            </w:r>
            <w:r w:rsidRPr="00D955A9">
              <w:rPr>
                <w:rFonts w:eastAsia="MS Mincho"/>
                <w:lang w:eastAsia="ja-JP"/>
              </w:rPr>
              <w:t>FDD operation in FR2</w:t>
            </w:r>
            <w:r>
              <w:rPr>
                <w:rFonts w:eastAsia="MS Mincho"/>
                <w:lang w:eastAsia="ja-JP"/>
              </w:rPr>
              <w:t xml:space="preserve"> </w:t>
            </w:r>
            <w:r w:rsidRPr="00D955A9">
              <w:rPr>
                <w:rFonts w:eastAsia="MS Mincho"/>
                <w:lang w:eastAsia="ja-JP"/>
              </w:rPr>
              <w:t>for the identified example band appropriately</w:t>
            </w:r>
            <w:r>
              <w:rPr>
                <w:rFonts w:eastAsia="MS Mincho"/>
                <w:lang w:eastAsia="ja-JP"/>
              </w:rPr>
              <w:t>.</w:t>
            </w:r>
          </w:p>
          <w:p w14:paraId="4D62C7E8" w14:textId="77777777" w:rsidR="00332A4B" w:rsidRPr="00BF6584"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lastRenderedPageBreak/>
              <w:t>Agree on</w:t>
            </w:r>
            <w:r w:rsidRPr="00D1764E">
              <w:rPr>
                <w:rFonts w:eastAsia="MS Mincho"/>
                <w:lang w:eastAsia="ja-JP"/>
              </w:rPr>
              <w:t xml:space="preserve"> coexistence study scenarios to be considered and related simulations assumptions.</w:t>
            </w:r>
          </w:p>
          <w:p w14:paraId="619BFF5F" w14:textId="77777777" w:rsidR="00332A4B" w:rsidRPr="00D1764E"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Early discussion on c</w:t>
            </w:r>
            <w:r w:rsidRPr="00D1764E">
              <w:rPr>
                <w:rFonts w:eastAsia="MS Mincho"/>
                <w:lang w:eastAsia="ja-JP"/>
              </w:rPr>
              <w:t>alibration of simulations for coexistence study scenarios</w:t>
            </w:r>
          </w:p>
          <w:p w14:paraId="38A0D586" w14:textId="77777777" w:rsidR="00332A4B" w:rsidRPr="00B0736C"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 xml:space="preserve">Discuss </w:t>
            </w:r>
            <w:r w:rsidRPr="00D1764E">
              <w:rPr>
                <w:rFonts w:eastAsia="MS Mincho"/>
                <w:lang w:eastAsia="ja-JP"/>
              </w:rPr>
              <w:t>Rx/Tx requirements for satellite access node and different VSAT UE class</w:t>
            </w:r>
            <w:r>
              <w:rPr>
                <w:rFonts w:eastAsia="MS Mincho"/>
                <w:lang w:eastAsia="ja-JP"/>
              </w:rPr>
              <w:t>.</w:t>
            </w:r>
          </w:p>
          <w:p w14:paraId="0D2C52BE" w14:textId="77777777" w:rsidR="00332A4B" w:rsidRPr="00B0736C"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B0736C">
              <w:rPr>
                <w:rFonts w:eastAsia="MS Mincho"/>
                <w:lang w:eastAsia="ja-JP"/>
              </w:rPr>
              <w:t>Discuss values for physical layer parameters</w:t>
            </w:r>
            <w:r>
              <w:rPr>
                <w:rFonts w:eastAsia="MS Mincho"/>
                <w:lang w:eastAsia="ja-JP"/>
              </w:rPr>
              <w:t xml:space="preserve"> for RF</w:t>
            </w:r>
          </w:p>
          <w:p w14:paraId="786F0D6D" w14:textId="77777777" w:rsidR="00332A4B" w:rsidRPr="00B0736C" w:rsidRDefault="00332A4B" w:rsidP="003A5160">
            <w:pPr>
              <w:rPr>
                <w:rFonts w:eastAsia="MS Mincho"/>
                <w:lang w:eastAsia="ja-JP"/>
              </w:rPr>
            </w:pPr>
          </w:p>
          <w:p w14:paraId="5762F699"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RM/</w:t>
            </w:r>
            <w:proofErr w:type="spellStart"/>
            <w:r>
              <w:rPr>
                <w:rFonts w:eastAsia="MS Mincho"/>
                <w:lang w:eastAsia="ja-JP"/>
              </w:rPr>
              <w:t>Demod</w:t>
            </w:r>
            <w:proofErr w:type="spellEnd"/>
            <w:r>
              <w:rPr>
                <w:rFonts w:eastAsia="MS Mincho"/>
                <w:lang w:eastAsia="ja-JP"/>
              </w:rPr>
              <w:t xml:space="preserve"> (0.1TU):</w:t>
            </w:r>
          </w:p>
          <w:p w14:paraId="0A9B29EC" w14:textId="77777777" w:rsidR="00332A4B" w:rsidRPr="00AA27D4"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AA27D4">
              <w:rPr>
                <w:rFonts w:eastAsia="MS Mincho" w:hint="eastAsia"/>
                <w:lang w:eastAsia="ja-JP"/>
              </w:rPr>
              <w:t>D</w:t>
            </w:r>
            <w:r w:rsidRPr="00AA27D4">
              <w:rPr>
                <w:rFonts w:eastAsia="MS Mincho"/>
                <w:lang w:eastAsia="ja-JP"/>
              </w:rPr>
              <w:t xml:space="preserve">iscuss </w:t>
            </w:r>
            <w:proofErr w:type="spellStart"/>
            <w:r w:rsidRPr="00AA27D4">
              <w:rPr>
                <w:rFonts w:eastAsia="MS Mincho"/>
                <w:lang w:eastAsia="ja-JP"/>
              </w:rPr>
              <w:t>demoduration</w:t>
            </w:r>
            <w:proofErr w:type="spellEnd"/>
            <w:r w:rsidRPr="00AA27D4">
              <w:rPr>
                <w:rFonts w:eastAsia="MS Mincho"/>
                <w:lang w:eastAsia="ja-JP"/>
              </w:rPr>
              <w:t xml:space="preserve"> </w:t>
            </w:r>
            <w:r>
              <w:rPr>
                <w:rFonts w:eastAsia="MS Mincho"/>
                <w:lang w:eastAsia="ja-JP"/>
              </w:rPr>
              <w:t>requirements and assumptions</w:t>
            </w:r>
          </w:p>
          <w:p w14:paraId="7DA3EA25" w14:textId="77777777" w:rsidR="00332A4B" w:rsidRPr="00B0736C"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AA27D4">
              <w:rPr>
                <w:rFonts w:eastAsia="MS Mincho" w:hint="eastAsia"/>
                <w:lang w:eastAsia="ja-JP"/>
              </w:rPr>
              <w:t>D</w:t>
            </w:r>
            <w:r w:rsidRPr="00AA27D4">
              <w:rPr>
                <w:rFonts w:eastAsia="MS Mincho"/>
                <w:lang w:eastAsia="ja-JP"/>
              </w:rPr>
              <w:t>iscuss RRM core requirements</w:t>
            </w:r>
          </w:p>
          <w:p w14:paraId="145A7C1D" w14:textId="77777777" w:rsidR="00332A4B" w:rsidRPr="00681D0D"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B0736C">
              <w:rPr>
                <w:rFonts w:eastAsia="MS Mincho"/>
                <w:lang w:eastAsia="ja-JP"/>
              </w:rPr>
              <w:t>Discuss values for physical layer parameters</w:t>
            </w:r>
            <w:r>
              <w:rPr>
                <w:rFonts w:eastAsia="MS Mincho"/>
                <w:lang w:eastAsia="ja-JP"/>
              </w:rPr>
              <w:t xml:space="preserve"> for RRM/</w:t>
            </w:r>
            <w:proofErr w:type="spellStart"/>
            <w:r>
              <w:rPr>
                <w:rFonts w:eastAsia="MS Mincho"/>
                <w:lang w:eastAsia="ja-JP"/>
              </w:rPr>
              <w:t>Demod</w:t>
            </w:r>
            <w:proofErr w:type="spellEnd"/>
          </w:p>
          <w:p w14:paraId="6E5822F3" w14:textId="77777777" w:rsidR="00332A4B" w:rsidRPr="00AA27D4"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681D0D">
              <w:rPr>
                <w:rFonts w:eastAsia="MS Mincho"/>
                <w:lang w:eastAsia="ja-JP"/>
              </w:rPr>
              <w:t xml:space="preserve">Discuss if there is any specific requirement associated to the exemplary bands agreed by RF group as well as the necessary simulations if </w:t>
            </w:r>
            <w:r>
              <w:rPr>
                <w:rFonts w:eastAsia="MS Mincho"/>
                <w:lang w:eastAsia="ja-JP"/>
              </w:rPr>
              <w:t>any</w:t>
            </w:r>
            <w:r w:rsidRPr="00681D0D">
              <w:rPr>
                <w:rFonts w:eastAsia="MS Mincho"/>
                <w:lang w:eastAsia="ja-JP"/>
              </w:rPr>
              <w:t>.</w:t>
            </w:r>
          </w:p>
        </w:tc>
      </w:tr>
      <w:tr w:rsidR="00332A4B" w:rsidRPr="00012E1E" w14:paraId="42CA7FFA" w14:textId="77777777" w:rsidTr="003A5160">
        <w:tc>
          <w:tcPr>
            <w:tcW w:w="3256" w:type="dxa"/>
          </w:tcPr>
          <w:p w14:paraId="601F0244" w14:textId="77777777" w:rsidR="00332A4B" w:rsidRPr="00012E1E" w:rsidRDefault="00332A4B" w:rsidP="003A5160">
            <w:pPr>
              <w:rPr>
                <w:lang w:eastAsia="zh-CN"/>
              </w:rPr>
            </w:pPr>
            <w:r w:rsidRPr="00012E1E">
              <w:rPr>
                <w:b/>
                <w:lang w:eastAsia="zh-CN"/>
              </w:rPr>
              <w:lastRenderedPageBreak/>
              <w:t>April 2023, RAN4#106-bis</w:t>
            </w:r>
          </w:p>
        </w:tc>
        <w:tc>
          <w:tcPr>
            <w:tcW w:w="6051" w:type="dxa"/>
          </w:tcPr>
          <w:p w14:paraId="20A6C944"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F (1TU):</w:t>
            </w:r>
          </w:p>
          <w:p w14:paraId="3983F205" w14:textId="77777777" w:rsidR="00332A4B"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D</w:t>
            </w:r>
            <w:r w:rsidRPr="00B0736C">
              <w:rPr>
                <w:rFonts w:eastAsia="MS Mincho"/>
                <w:lang w:eastAsia="ja-JP"/>
              </w:rPr>
              <w:t>iscussion on simulation results for coexistence study scenarios</w:t>
            </w:r>
          </w:p>
          <w:p w14:paraId="15E88C20" w14:textId="77777777" w:rsidR="00332A4B" w:rsidRPr="00B0736C"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 xml:space="preserve">Further discuss </w:t>
            </w:r>
            <w:r w:rsidRPr="00D1764E">
              <w:rPr>
                <w:rFonts w:eastAsia="MS Mincho"/>
                <w:lang w:eastAsia="ja-JP"/>
              </w:rPr>
              <w:t>Rx/Tx requirements for satellite access node and different VSAT UE class</w:t>
            </w:r>
            <w:r>
              <w:rPr>
                <w:rFonts w:eastAsia="MS Mincho"/>
                <w:lang w:eastAsia="ja-JP"/>
              </w:rPr>
              <w:t>.</w:t>
            </w:r>
          </w:p>
          <w:p w14:paraId="15546718" w14:textId="77777777" w:rsidR="00332A4B" w:rsidRPr="00B0736C"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Further discuss</w:t>
            </w:r>
            <w:r w:rsidRPr="00B0736C">
              <w:rPr>
                <w:rFonts w:eastAsia="MS Mincho"/>
                <w:lang w:eastAsia="ja-JP"/>
              </w:rPr>
              <w:t xml:space="preserve"> values for physical layer parameters</w:t>
            </w:r>
            <w:r>
              <w:rPr>
                <w:rFonts w:eastAsia="MS Mincho"/>
                <w:lang w:eastAsia="ja-JP"/>
              </w:rPr>
              <w:t xml:space="preserve"> for RF</w:t>
            </w:r>
          </w:p>
          <w:p w14:paraId="6203B16C" w14:textId="77777777" w:rsidR="00332A4B" w:rsidRDefault="00332A4B" w:rsidP="003A5160">
            <w:pPr>
              <w:rPr>
                <w:rFonts w:eastAsia="MS Mincho"/>
                <w:lang w:eastAsia="ja-JP"/>
              </w:rPr>
            </w:pPr>
          </w:p>
          <w:p w14:paraId="42BA74CB"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RM/</w:t>
            </w:r>
            <w:proofErr w:type="spellStart"/>
            <w:r>
              <w:rPr>
                <w:rFonts w:eastAsia="MS Mincho"/>
                <w:lang w:eastAsia="ja-JP"/>
              </w:rPr>
              <w:t>Demod</w:t>
            </w:r>
            <w:proofErr w:type="spellEnd"/>
            <w:r>
              <w:rPr>
                <w:rFonts w:eastAsia="MS Mincho"/>
                <w:lang w:eastAsia="ja-JP"/>
              </w:rPr>
              <w:t xml:space="preserve"> (0.3TU):</w:t>
            </w:r>
          </w:p>
          <w:p w14:paraId="061F738E" w14:textId="77777777" w:rsidR="00332A4B" w:rsidRPr="00AA27D4"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Further d</w:t>
            </w:r>
            <w:r w:rsidRPr="00AA27D4">
              <w:rPr>
                <w:rFonts w:eastAsia="MS Mincho"/>
                <w:lang w:eastAsia="ja-JP"/>
              </w:rPr>
              <w:t xml:space="preserve">iscuss </w:t>
            </w:r>
            <w:proofErr w:type="spellStart"/>
            <w:r w:rsidRPr="00AA27D4">
              <w:rPr>
                <w:rFonts w:eastAsia="MS Mincho"/>
                <w:lang w:eastAsia="ja-JP"/>
              </w:rPr>
              <w:t>demoduration</w:t>
            </w:r>
            <w:proofErr w:type="spellEnd"/>
            <w:r w:rsidRPr="00AA27D4">
              <w:rPr>
                <w:rFonts w:eastAsia="MS Mincho"/>
                <w:lang w:eastAsia="ja-JP"/>
              </w:rPr>
              <w:t xml:space="preserve"> </w:t>
            </w:r>
            <w:r>
              <w:rPr>
                <w:rFonts w:eastAsia="MS Mincho"/>
                <w:lang w:eastAsia="ja-JP"/>
              </w:rPr>
              <w:t>requirements and assumptions</w:t>
            </w:r>
          </w:p>
          <w:p w14:paraId="7FA0BFF6" w14:textId="77777777" w:rsidR="00332A4B" w:rsidRPr="00B0736C"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Further d</w:t>
            </w:r>
            <w:r w:rsidRPr="00AA27D4">
              <w:rPr>
                <w:rFonts w:eastAsia="MS Mincho"/>
                <w:lang w:eastAsia="ja-JP"/>
              </w:rPr>
              <w:t>iscuss RRM core requirements</w:t>
            </w:r>
          </w:p>
          <w:p w14:paraId="54F1351B" w14:textId="77777777" w:rsidR="00332A4B" w:rsidRPr="00681D0D" w:rsidRDefault="00332A4B" w:rsidP="00B93B38">
            <w:pPr>
              <w:pStyle w:val="ListParagraph"/>
              <w:widowControl w:val="0"/>
              <w:numPr>
                <w:ilvl w:val="0"/>
                <w:numId w:val="15"/>
              </w:numPr>
              <w:overflowPunct/>
              <w:autoSpaceDE/>
              <w:autoSpaceDN/>
              <w:adjustRightInd/>
              <w:spacing w:after="0"/>
              <w:contextualSpacing w:val="0"/>
              <w:jc w:val="both"/>
              <w:textAlignment w:val="auto"/>
            </w:pPr>
            <w:r>
              <w:rPr>
                <w:rFonts w:eastAsia="MS Mincho"/>
                <w:lang w:eastAsia="ja-JP"/>
              </w:rPr>
              <w:t>Further discuss</w:t>
            </w:r>
            <w:r w:rsidRPr="00B0736C">
              <w:rPr>
                <w:rFonts w:eastAsia="MS Mincho"/>
                <w:lang w:eastAsia="ja-JP"/>
              </w:rPr>
              <w:t xml:space="preserve"> values for physical layer parameters</w:t>
            </w:r>
            <w:r>
              <w:rPr>
                <w:rFonts w:eastAsia="MS Mincho"/>
                <w:lang w:eastAsia="ja-JP"/>
              </w:rPr>
              <w:t xml:space="preserve"> for RRM/</w:t>
            </w:r>
            <w:proofErr w:type="spellStart"/>
            <w:r>
              <w:rPr>
                <w:rFonts w:eastAsia="MS Mincho"/>
                <w:lang w:eastAsia="ja-JP"/>
              </w:rPr>
              <w:t>Demod</w:t>
            </w:r>
            <w:proofErr w:type="spellEnd"/>
          </w:p>
          <w:p w14:paraId="448F26A6" w14:textId="77777777" w:rsidR="00332A4B" w:rsidRPr="00012E1E" w:rsidRDefault="00332A4B" w:rsidP="00B93B38">
            <w:pPr>
              <w:pStyle w:val="ListParagraph"/>
              <w:widowControl w:val="0"/>
              <w:numPr>
                <w:ilvl w:val="0"/>
                <w:numId w:val="15"/>
              </w:numPr>
              <w:overflowPunct/>
              <w:autoSpaceDE/>
              <w:autoSpaceDN/>
              <w:adjustRightInd/>
              <w:spacing w:after="0"/>
              <w:contextualSpacing w:val="0"/>
              <w:jc w:val="both"/>
              <w:textAlignment w:val="auto"/>
            </w:pPr>
            <w:r w:rsidRPr="00681D0D">
              <w:rPr>
                <w:rFonts w:eastAsia="MS Mincho"/>
                <w:lang w:eastAsia="ja-JP"/>
              </w:rPr>
              <w:t xml:space="preserve">Further discuss if there is any specific requirement associated to the exemplary bands agreed by RF group as well as the necessary simulations if </w:t>
            </w:r>
            <w:r>
              <w:rPr>
                <w:rFonts w:eastAsia="MS Mincho"/>
                <w:lang w:eastAsia="ja-JP"/>
              </w:rPr>
              <w:t>any</w:t>
            </w:r>
            <w:r w:rsidRPr="00681D0D">
              <w:rPr>
                <w:rFonts w:eastAsia="MS Mincho"/>
                <w:lang w:eastAsia="ja-JP"/>
              </w:rPr>
              <w:t>.</w:t>
            </w:r>
          </w:p>
        </w:tc>
      </w:tr>
      <w:tr w:rsidR="00332A4B" w:rsidRPr="00012E1E" w14:paraId="185DDF16" w14:textId="77777777" w:rsidTr="003A5160">
        <w:tc>
          <w:tcPr>
            <w:tcW w:w="3256" w:type="dxa"/>
          </w:tcPr>
          <w:p w14:paraId="6D9C7335" w14:textId="77777777" w:rsidR="00332A4B" w:rsidRPr="00012E1E" w:rsidRDefault="00332A4B" w:rsidP="003A5160">
            <w:pPr>
              <w:rPr>
                <w:lang w:eastAsia="zh-CN"/>
              </w:rPr>
            </w:pPr>
            <w:r w:rsidRPr="00012E1E">
              <w:rPr>
                <w:b/>
                <w:lang w:eastAsia="zh-CN"/>
              </w:rPr>
              <w:t>May 2023, RAN4#107</w:t>
            </w:r>
          </w:p>
        </w:tc>
        <w:tc>
          <w:tcPr>
            <w:tcW w:w="6051" w:type="dxa"/>
          </w:tcPr>
          <w:p w14:paraId="25FCACD8"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F (1TU):</w:t>
            </w:r>
          </w:p>
          <w:p w14:paraId="697FA638" w14:textId="77777777" w:rsidR="00332A4B"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B0736C">
              <w:rPr>
                <w:rFonts w:eastAsia="MS Mincho"/>
                <w:lang w:eastAsia="ja-JP"/>
              </w:rPr>
              <w:t>Align on simulation results for coexistence study scenarios</w:t>
            </w:r>
          </w:p>
          <w:p w14:paraId="6118A4AF" w14:textId="77777777" w:rsidR="00332A4B"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 xml:space="preserve">Further discuss </w:t>
            </w:r>
            <w:r w:rsidRPr="00D1764E">
              <w:rPr>
                <w:rFonts w:eastAsia="MS Mincho"/>
                <w:lang w:eastAsia="ja-JP"/>
              </w:rPr>
              <w:t>Rx/Tx requirements for satellite access node and different VSAT UE class</w:t>
            </w:r>
            <w:r>
              <w:rPr>
                <w:rFonts w:eastAsia="MS Mincho"/>
                <w:lang w:eastAsia="ja-JP"/>
              </w:rPr>
              <w:t xml:space="preserve"> and align on simulation results</w:t>
            </w:r>
          </w:p>
          <w:p w14:paraId="0972AE76" w14:textId="77777777" w:rsidR="00332A4B" w:rsidRPr="00681D0D"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Start</w:t>
            </w:r>
            <w:r w:rsidRPr="00B0736C">
              <w:rPr>
                <w:rFonts w:eastAsia="MS Mincho"/>
                <w:lang w:eastAsia="ja-JP"/>
              </w:rPr>
              <w:t xml:space="preserve"> drafting</w:t>
            </w:r>
            <w:r>
              <w:rPr>
                <w:rFonts w:eastAsia="MS Mincho"/>
                <w:lang w:eastAsia="ja-JP"/>
              </w:rPr>
              <w:t xml:space="preserve"> of</w:t>
            </w:r>
            <w:r w:rsidRPr="00B0736C">
              <w:rPr>
                <w:rFonts w:eastAsia="MS Mincho"/>
                <w:lang w:eastAsia="ja-JP"/>
              </w:rPr>
              <w:t xml:space="preserve"> CRs</w:t>
            </w:r>
          </w:p>
          <w:p w14:paraId="0F9B9307" w14:textId="77777777" w:rsidR="00332A4B" w:rsidRDefault="00332A4B" w:rsidP="003A5160">
            <w:pPr>
              <w:rPr>
                <w:rFonts w:eastAsia="MS Mincho"/>
                <w:lang w:eastAsia="ja-JP"/>
              </w:rPr>
            </w:pPr>
          </w:p>
          <w:p w14:paraId="5E6422D2"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RM/</w:t>
            </w:r>
            <w:proofErr w:type="spellStart"/>
            <w:r>
              <w:rPr>
                <w:rFonts w:eastAsia="MS Mincho"/>
                <w:lang w:eastAsia="ja-JP"/>
              </w:rPr>
              <w:t>Demod</w:t>
            </w:r>
            <w:proofErr w:type="spellEnd"/>
            <w:r>
              <w:rPr>
                <w:rFonts w:eastAsia="MS Mincho"/>
                <w:lang w:eastAsia="ja-JP"/>
              </w:rPr>
              <w:t xml:space="preserve"> (0.3TU):</w:t>
            </w:r>
          </w:p>
          <w:p w14:paraId="4298C3BB" w14:textId="77777777" w:rsidR="00332A4B" w:rsidRPr="00AA27D4"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Further d</w:t>
            </w:r>
            <w:r w:rsidRPr="00AA27D4">
              <w:rPr>
                <w:rFonts w:eastAsia="MS Mincho"/>
                <w:lang w:eastAsia="ja-JP"/>
              </w:rPr>
              <w:t xml:space="preserve">iscuss </w:t>
            </w:r>
            <w:proofErr w:type="spellStart"/>
            <w:r w:rsidRPr="00AA27D4">
              <w:rPr>
                <w:rFonts w:eastAsia="MS Mincho"/>
                <w:lang w:eastAsia="ja-JP"/>
              </w:rPr>
              <w:t>demoduration</w:t>
            </w:r>
            <w:proofErr w:type="spellEnd"/>
            <w:r w:rsidRPr="00AA27D4">
              <w:rPr>
                <w:rFonts w:eastAsia="MS Mincho"/>
                <w:lang w:eastAsia="ja-JP"/>
              </w:rPr>
              <w:t xml:space="preserve"> </w:t>
            </w:r>
            <w:r>
              <w:rPr>
                <w:rFonts w:eastAsia="MS Mincho"/>
                <w:lang w:eastAsia="ja-JP"/>
              </w:rPr>
              <w:t>requirements and assumptions and align on simulation results</w:t>
            </w:r>
          </w:p>
          <w:p w14:paraId="7999B6EB" w14:textId="77777777" w:rsidR="00332A4B" w:rsidRPr="00D85429" w:rsidRDefault="00332A4B" w:rsidP="00B93B38">
            <w:pPr>
              <w:pStyle w:val="ListParagraph"/>
              <w:numPr>
                <w:ilvl w:val="0"/>
                <w:numId w:val="15"/>
              </w:numPr>
              <w:overflowPunct/>
              <w:autoSpaceDE/>
              <w:autoSpaceDN/>
              <w:adjustRightInd/>
              <w:spacing w:after="0"/>
              <w:contextualSpacing w:val="0"/>
              <w:jc w:val="both"/>
              <w:textAlignment w:val="auto"/>
            </w:pPr>
            <w:r>
              <w:rPr>
                <w:rFonts w:eastAsia="MS Mincho"/>
                <w:lang w:eastAsia="ja-JP"/>
              </w:rPr>
              <w:t>Further d</w:t>
            </w:r>
            <w:r w:rsidRPr="00AA27D4">
              <w:rPr>
                <w:rFonts w:eastAsia="MS Mincho"/>
                <w:lang w:eastAsia="ja-JP"/>
              </w:rPr>
              <w:t>iscuss RRM core requirements</w:t>
            </w:r>
          </w:p>
          <w:p w14:paraId="190B5B58" w14:textId="77777777" w:rsidR="00332A4B" w:rsidRPr="00681D0D" w:rsidRDefault="00332A4B" w:rsidP="00B93B38">
            <w:pPr>
              <w:pStyle w:val="ListParagraph"/>
              <w:numPr>
                <w:ilvl w:val="0"/>
                <w:numId w:val="15"/>
              </w:numPr>
              <w:overflowPunct/>
              <w:autoSpaceDE/>
              <w:autoSpaceDN/>
              <w:adjustRightInd/>
              <w:spacing w:after="0"/>
              <w:contextualSpacing w:val="0"/>
              <w:jc w:val="both"/>
              <w:textAlignment w:val="auto"/>
            </w:pPr>
            <w:r>
              <w:rPr>
                <w:rFonts w:eastAsia="MS Mincho"/>
                <w:lang w:eastAsia="ja-JP"/>
              </w:rPr>
              <w:t xml:space="preserve">Identify </w:t>
            </w:r>
            <w:r w:rsidRPr="00B0736C">
              <w:rPr>
                <w:rFonts w:eastAsia="MS Mincho"/>
                <w:lang w:eastAsia="ja-JP"/>
              </w:rPr>
              <w:t>values for physical layer parameters</w:t>
            </w:r>
            <w:r>
              <w:rPr>
                <w:rFonts w:eastAsia="MS Mincho"/>
                <w:lang w:eastAsia="ja-JP"/>
              </w:rPr>
              <w:t xml:space="preserve"> for RRM/</w:t>
            </w:r>
            <w:proofErr w:type="spellStart"/>
            <w:r>
              <w:rPr>
                <w:rFonts w:eastAsia="MS Mincho"/>
                <w:lang w:eastAsia="ja-JP"/>
              </w:rPr>
              <w:t>Demod</w:t>
            </w:r>
            <w:proofErr w:type="spellEnd"/>
          </w:p>
          <w:p w14:paraId="63BC101D" w14:textId="77777777" w:rsidR="00332A4B"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681D0D">
              <w:rPr>
                <w:rFonts w:eastAsia="MS Mincho"/>
                <w:lang w:eastAsia="ja-JP"/>
              </w:rPr>
              <w:t xml:space="preserve">Further discuss if there is any specific requirement associated to the exemplary bands agreed by RF group as well as the necessary simulations if </w:t>
            </w:r>
            <w:r>
              <w:rPr>
                <w:rFonts w:eastAsia="MS Mincho"/>
                <w:lang w:eastAsia="ja-JP"/>
              </w:rPr>
              <w:t>any</w:t>
            </w:r>
            <w:r w:rsidRPr="00681D0D">
              <w:rPr>
                <w:rFonts w:eastAsia="MS Mincho"/>
                <w:lang w:eastAsia="ja-JP"/>
              </w:rPr>
              <w:t>.</w:t>
            </w:r>
          </w:p>
          <w:p w14:paraId="40C31DE0" w14:textId="77777777" w:rsidR="00332A4B" w:rsidRPr="00681D0D"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Start</w:t>
            </w:r>
            <w:r w:rsidRPr="00B0736C">
              <w:rPr>
                <w:rFonts w:eastAsia="MS Mincho"/>
                <w:lang w:eastAsia="ja-JP"/>
              </w:rPr>
              <w:t xml:space="preserve"> drafting</w:t>
            </w:r>
            <w:r>
              <w:rPr>
                <w:rFonts w:eastAsia="MS Mincho"/>
                <w:lang w:eastAsia="ja-JP"/>
              </w:rPr>
              <w:t xml:space="preserve"> of</w:t>
            </w:r>
            <w:r w:rsidRPr="00B0736C">
              <w:rPr>
                <w:rFonts w:eastAsia="MS Mincho"/>
                <w:lang w:eastAsia="ja-JP"/>
              </w:rPr>
              <w:t xml:space="preserve"> CRs</w:t>
            </w:r>
          </w:p>
        </w:tc>
      </w:tr>
      <w:tr w:rsidR="00332A4B" w:rsidRPr="00012E1E" w14:paraId="78ED2065" w14:textId="77777777" w:rsidTr="003A5160">
        <w:tc>
          <w:tcPr>
            <w:tcW w:w="3256" w:type="dxa"/>
          </w:tcPr>
          <w:p w14:paraId="6444181F" w14:textId="77777777" w:rsidR="00332A4B" w:rsidRPr="00012E1E" w:rsidRDefault="00332A4B" w:rsidP="003A5160">
            <w:pPr>
              <w:rPr>
                <w:lang w:eastAsia="zh-CN"/>
              </w:rPr>
            </w:pPr>
            <w:r w:rsidRPr="00012E1E">
              <w:rPr>
                <w:b/>
                <w:lang w:val="fr-FR" w:eastAsia="zh-CN"/>
              </w:rPr>
              <w:t>August 2023, RAN4#108</w:t>
            </w:r>
          </w:p>
        </w:tc>
        <w:tc>
          <w:tcPr>
            <w:tcW w:w="6051" w:type="dxa"/>
          </w:tcPr>
          <w:p w14:paraId="235E41E4"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F (1TU):</w:t>
            </w:r>
          </w:p>
          <w:p w14:paraId="72129F7E" w14:textId="77777777" w:rsidR="00332A4B" w:rsidRPr="00681D0D"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 xml:space="preserve">Further discuss </w:t>
            </w:r>
            <w:r w:rsidRPr="00D1764E">
              <w:rPr>
                <w:rFonts w:eastAsia="MS Mincho"/>
                <w:lang w:eastAsia="ja-JP"/>
              </w:rPr>
              <w:t>Rx/Tx requirements for satellite access node and different VSAT UE class</w:t>
            </w:r>
          </w:p>
          <w:p w14:paraId="4F7D928B" w14:textId="77777777" w:rsidR="00332A4B" w:rsidRPr="00B0736C"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Further</w:t>
            </w:r>
            <w:r w:rsidRPr="00B0736C">
              <w:rPr>
                <w:rFonts w:eastAsia="MS Mincho"/>
                <w:lang w:eastAsia="ja-JP"/>
              </w:rPr>
              <w:t xml:space="preserve"> drafting</w:t>
            </w:r>
            <w:r>
              <w:rPr>
                <w:rFonts w:eastAsia="MS Mincho"/>
                <w:lang w:eastAsia="ja-JP"/>
              </w:rPr>
              <w:t xml:space="preserve"> of</w:t>
            </w:r>
            <w:r w:rsidRPr="00B0736C">
              <w:rPr>
                <w:rFonts w:eastAsia="MS Mincho"/>
                <w:lang w:eastAsia="ja-JP"/>
              </w:rPr>
              <w:t xml:space="preserve"> CRs</w:t>
            </w:r>
          </w:p>
          <w:p w14:paraId="1F6BBC62" w14:textId="77777777" w:rsidR="00332A4B" w:rsidRDefault="00332A4B" w:rsidP="003A5160">
            <w:pPr>
              <w:rPr>
                <w:rFonts w:eastAsia="MS Mincho"/>
                <w:lang w:eastAsia="ja-JP"/>
              </w:rPr>
            </w:pPr>
          </w:p>
          <w:p w14:paraId="0326C5EF"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RM/</w:t>
            </w:r>
            <w:proofErr w:type="spellStart"/>
            <w:r>
              <w:rPr>
                <w:rFonts w:eastAsia="MS Mincho"/>
                <w:lang w:eastAsia="ja-JP"/>
              </w:rPr>
              <w:t>Demod</w:t>
            </w:r>
            <w:proofErr w:type="spellEnd"/>
            <w:r>
              <w:rPr>
                <w:rFonts w:eastAsia="MS Mincho"/>
                <w:lang w:eastAsia="ja-JP"/>
              </w:rPr>
              <w:t xml:space="preserve"> (0.3TU):</w:t>
            </w:r>
          </w:p>
          <w:p w14:paraId="01841C7F" w14:textId="77777777" w:rsidR="00332A4B" w:rsidRPr="00AA27D4"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Further d</w:t>
            </w:r>
            <w:r w:rsidRPr="00AA27D4">
              <w:rPr>
                <w:rFonts w:eastAsia="MS Mincho"/>
                <w:lang w:eastAsia="ja-JP"/>
              </w:rPr>
              <w:t xml:space="preserve">iscuss </w:t>
            </w:r>
            <w:proofErr w:type="spellStart"/>
            <w:r w:rsidRPr="00AA27D4">
              <w:rPr>
                <w:rFonts w:eastAsia="MS Mincho"/>
                <w:lang w:eastAsia="ja-JP"/>
              </w:rPr>
              <w:t>demoduration</w:t>
            </w:r>
            <w:proofErr w:type="spellEnd"/>
            <w:r w:rsidRPr="00AA27D4">
              <w:rPr>
                <w:rFonts w:eastAsia="MS Mincho"/>
                <w:lang w:eastAsia="ja-JP"/>
              </w:rPr>
              <w:t xml:space="preserve"> </w:t>
            </w:r>
            <w:r>
              <w:rPr>
                <w:rFonts w:eastAsia="MS Mincho"/>
                <w:lang w:eastAsia="ja-JP"/>
              </w:rPr>
              <w:t>requirements and assumptions</w:t>
            </w:r>
          </w:p>
          <w:p w14:paraId="4445F03B" w14:textId="77777777" w:rsidR="00332A4B" w:rsidRPr="00681D0D" w:rsidRDefault="00332A4B" w:rsidP="00B93B38">
            <w:pPr>
              <w:pStyle w:val="ListParagraph"/>
              <w:numPr>
                <w:ilvl w:val="0"/>
                <w:numId w:val="15"/>
              </w:numPr>
              <w:overflowPunct/>
              <w:autoSpaceDE/>
              <w:autoSpaceDN/>
              <w:adjustRightInd/>
              <w:spacing w:after="0"/>
              <w:contextualSpacing w:val="0"/>
              <w:jc w:val="both"/>
              <w:textAlignment w:val="auto"/>
            </w:pPr>
            <w:r>
              <w:rPr>
                <w:rFonts w:eastAsia="MS Mincho"/>
                <w:lang w:eastAsia="ja-JP"/>
              </w:rPr>
              <w:t>Further d</w:t>
            </w:r>
            <w:r w:rsidRPr="00AA27D4">
              <w:rPr>
                <w:rFonts w:eastAsia="MS Mincho"/>
                <w:lang w:eastAsia="ja-JP"/>
              </w:rPr>
              <w:t>iscuss RRM core requirements</w:t>
            </w:r>
          </w:p>
          <w:p w14:paraId="4A1DEBD5" w14:textId="77777777" w:rsidR="00332A4B" w:rsidRPr="00012E1E" w:rsidRDefault="00332A4B" w:rsidP="00B93B38">
            <w:pPr>
              <w:pStyle w:val="ListParagraph"/>
              <w:widowControl w:val="0"/>
              <w:numPr>
                <w:ilvl w:val="0"/>
                <w:numId w:val="15"/>
              </w:numPr>
              <w:overflowPunct/>
              <w:autoSpaceDE/>
              <w:autoSpaceDN/>
              <w:adjustRightInd/>
              <w:spacing w:after="0"/>
              <w:contextualSpacing w:val="0"/>
              <w:jc w:val="both"/>
              <w:textAlignment w:val="auto"/>
            </w:pPr>
            <w:r>
              <w:rPr>
                <w:rFonts w:eastAsia="MS Mincho"/>
                <w:lang w:eastAsia="ja-JP"/>
              </w:rPr>
              <w:t>Further</w:t>
            </w:r>
            <w:r w:rsidRPr="00B0736C">
              <w:rPr>
                <w:rFonts w:eastAsia="MS Mincho"/>
                <w:lang w:eastAsia="ja-JP"/>
              </w:rPr>
              <w:t xml:space="preserve"> drafting</w:t>
            </w:r>
            <w:r>
              <w:rPr>
                <w:rFonts w:eastAsia="MS Mincho"/>
                <w:lang w:eastAsia="ja-JP"/>
              </w:rPr>
              <w:t xml:space="preserve"> of</w:t>
            </w:r>
            <w:r w:rsidRPr="00B0736C">
              <w:rPr>
                <w:rFonts w:eastAsia="MS Mincho"/>
                <w:lang w:eastAsia="ja-JP"/>
              </w:rPr>
              <w:t xml:space="preserve"> CRs</w:t>
            </w:r>
          </w:p>
        </w:tc>
      </w:tr>
      <w:tr w:rsidR="00332A4B" w:rsidRPr="00012E1E" w14:paraId="26C874FA" w14:textId="77777777" w:rsidTr="003A5160">
        <w:tc>
          <w:tcPr>
            <w:tcW w:w="3256" w:type="dxa"/>
          </w:tcPr>
          <w:p w14:paraId="3C00B09D" w14:textId="77777777" w:rsidR="00332A4B" w:rsidRPr="00012E1E" w:rsidRDefault="00332A4B" w:rsidP="003A5160">
            <w:pPr>
              <w:rPr>
                <w:lang w:eastAsia="zh-CN"/>
              </w:rPr>
            </w:pPr>
            <w:proofErr w:type="spellStart"/>
            <w:r w:rsidRPr="00012E1E">
              <w:rPr>
                <w:b/>
                <w:lang w:val="fr-FR" w:eastAsia="zh-CN"/>
              </w:rPr>
              <w:lastRenderedPageBreak/>
              <w:t>October</w:t>
            </w:r>
            <w:proofErr w:type="spellEnd"/>
            <w:r w:rsidRPr="00012E1E">
              <w:rPr>
                <w:b/>
                <w:lang w:val="fr-FR" w:eastAsia="zh-CN"/>
              </w:rPr>
              <w:t xml:space="preserve"> 2023, RAN4#108-bis</w:t>
            </w:r>
          </w:p>
        </w:tc>
        <w:tc>
          <w:tcPr>
            <w:tcW w:w="6051" w:type="dxa"/>
          </w:tcPr>
          <w:p w14:paraId="01843C7F"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F (1TU):</w:t>
            </w:r>
          </w:p>
          <w:p w14:paraId="49119639" w14:textId="77777777" w:rsidR="00332A4B" w:rsidRPr="00681D0D"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 xml:space="preserve">Further discuss </w:t>
            </w:r>
            <w:r w:rsidRPr="00D1764E">
              <w:rPr>
                <w:rFonts w:eastAsia="MS Mincho"/>
                <w:lang w:eastAsia="ja-JP"/>
              </w:rPr>
              <w:t>Rx/Tx requirements for satellite access node and different VSAT UE class</w:t>
            </w:r>
          </w:p>
          <w:p w14:paraId="42BCEA7D" w14:textId="77777777" w:rsidR="00332A4B" w:rsidRPr="00B0736C"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Further drafting of</w:t>
            </w:r>
            <w:r w:rsidRPr="00B0736C">
              <w:rPr>
                <w:rFonts w:eastAsia="MS Mincho"/>
                <w:lang w:eastAsia="ja-JP"/>
              </w:rPr>
              <w:t xml:space="preserve"> CRs</w:t>
            </w:r>
          </w:p>
          <w:p w14:paraId="647CA449" w14:textId="77777777" w:rsidR="00332A4B" w:rsidRDefault="00332A4B" w:rsidP="003A5160">
            <w:pPr>
              <w:rPr>
                <w:rFonts w:eastAsia="MS Mincho"/>
                <w:lang w:eastAsia="ja-JP"/>
              </w:rPr>
            </w:pPr>
          </w:p>
          <w:p w14:paraId="1CB76D6C"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RM/</w:t>
            </w:r>
            <w:proofErr w:type="spellStart"/>
            <w:r>
              <w:rPr>
                <w:rFonts w:eastAsia="MS Mincho"/>
                <w:lang w:eastAsia="ja-JP"/>
              </w:rPr>
              <w:t>Demod</w:t>
            </w:r>
            <w:proofErr w:type="spellEnd"/>
            <w:r>
              <w:rPr>
                <w:rFonts w:eastAsia="MS Mincho"/>
                <w:lang w:eastAsia="ja-JP"/>
              </w:rPr>
              <w:t xml:space="preserve"> (0.3TU):</w:t>
            </w:r>
          </w:p>
          <w:p w14:paraId="43ED8719" w14:textId="77777777" w:rsidR="00332A4B" w:rsidRPr="00AA27D4"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Pr>
                <w:rFonts w:eastAsia="MS Mincho"/>
                <w:lang w:eastAsia="ja-JP"/>
              </w:rPr>
              <w:t>Further d</w:t>
            </w:r>
            <w:r w:rsidRPr="00AA27D4">
              <w:rPr>
                <w:rFonts w:eastAsia="MS Mincho"/>
                <w:lang w:eastAsia="ja-JP"/>
              </w:rPr>
              <w:t xml:space="preserve">iscuss </w:t>
            </w:r>
            <w:proofErr w:type="spellStart"/>
            <w:r w:rsidRPr="00AA27D4">
              <w:rPr>
                <w:rFonts w:eastAsia="MS Mincho"/>
                <w:lang w:eastAsia="ja-JP"/>
              </w:rPr>
              <w:t>demoduration</w:t>
            </w:r>
            <w:proofErr w:type="spellEnd"/>
            <w:r w:rsidRPr="00AA27D4">
              <w:rPr>
                <w:rFonts w:eastAsia="MS Mincho"/>
                <w:lang w:eastAsia="ja-JP"/>
              </w:rPr>
              <w:t xml:space="preserve"> </w:t>
            </w:r>
            <w:r>
              <w:rPr>
                <w:rFonts w:eastAsia="MS Mincho"/>
                <w:lang w:eastAsia="ja-JP"/>
              </w:rPr>
              <w:t>requirements and assumptions</w:t>
            </w:r>
          </w:p>
          <w:p w14:paraId="0A64B323" w14:textId="77777777" w:rsidR="00332A4B" w:rsidRPr="00681D0D" w:rsidRDefault="00332A4B" w:rsidP="00B93B38">
            <w:pPr>
              <w:pStyle w:val="ListParagraph"/>
              <w:numPr>
                <w:ilvl w:val="0"/>
                <w:numId w:val="15"/>
              </w:numPr>
              <w:overflowPunct/>
              <w:autoSpaceDE/>
              <w:autoSpaceDN/>
              <w:adjustRightInd/>
              <w:spacing w:after="0"/>
              <w:contextualSpacing w:val="0"/>
              <w:jc w:val="both"/>
              <w:textAlignment w:val="auto"/>
            </w:pPr>
            <w:r>
              <w:rPr>
                <w:rFonts w:eastAsia="MS Mincho"/>
                <w:lang w:eastAsia="ja-JP"/>
              </w:rPr>
              <w:t>Further d</w:t>
            </w:r>
            <w:r w:rsidRPr="00AA27D4">
              <w:rPr>
                <w:rFonts w:eastAsia="MS Mincho"/>
                <w:lang w:eastAsia="ja-JP"/>
              </w:rPr>
              <w:t>iscuss RRM core requirements</w:t>
            </w:r>
          </w:p>
          <w:p w14:paraId="5438EC27" w14:textId="77777777" w:rsidR="00332A4B" w:rsidRPr="00012E1E" w:rsidRDefault="00332A4B" w:rsidP="00B93B38">
            <w:pPr>
              <w:pStyle w:val="ListParagraph"/>
              <w:widowControl w:val="0"/>
              <w:numPr>
                <w:ilvl w:val="0"/>
                <w:numId w:val="15"/>
              </w:numPr>
              <w:overflowPunct/>
              <w:autoSpaceDE/>
              <w:autoSpaceDN/>
              <w:adjustRightInd/>
              <w:spacing w:after="0"/>
              <w:contextualSpacing w:val="0"/>
              <w:jc w:val="both"/>
              <w:textAlignment w:val="auto"/>
            </w:pPr>
            <w:r>
              <w:rPr>
                <w:rFonts w:eastAsia="MS Mincho"/>
                <w:lang w:eastAsia="ja-JP"/>
              </w:rPr>
              <w:t>Further drafting of</w:t>
            </w:r>
            <w:r w:rsidRPr="00B0736C">
              <w:rPr>
                <w:rFonts w:eastAsia="MS Mincho"/>
                <w:lang w:eastAsia="ja-JP"/>
              </w:rPr>
              <w:t xml:space="preserve"> CRs</w:t>
            </w:r>
          </w:p>
        </w:tc>
      </w:tr>
      <w:tr w:rsidR="00332A4B" w:rsidRPr="00012E1E" w14:paraId="134FBF3B" w14:textId="77777777" w:rsidTr="003A5160">
        <w:tc>
          <w:tcPr>
            <w:tcW w:w="3256" w:type="dxa"/>
          </w:tcPr>
          <w:p w14:paraId="733C685E" w14:textId="77777777" w:rsidR="00332A4B" w:rsidRPr="00012E1E" w:rsidRDefault="00332A4B" w:rsidP="003A5160">
            <w:pPr>
              <w:rPr>
                <w:lang w:eastAsia="zh-CN"/>
              </w:rPr>
            </w:pPr>
            <w:proofErr w:type="spellStart"/>
            <w:r w:rsidRPr="00012E1E">
              <w:rPr>
                <w:b/>
                <w:lang w:val="fr-FR" w:eastAsia="zh-CN"/>
              </w:rPr>
              <w:t>November</w:t>
            </w:r>
            <w:proofErr w:type="spellEnd"/>
            <w:r w:rsidRPr="00012E1E">
              <w:rPr>
                <w:b/>
                <w:lang w:val="fr-FR" w:eastAsia="zh-CN"/>
              </w:rPr>
              <w:t xml:space="preserve"> 2023, RAN4#109</w:t>
            </w:r>
          </w:p>
        </w:tc>
        <w:tc>
          <w:tcPr>
            <w:tcW w:w="6051" w:type="dxa"/>
          </w:tcPr>
          <w:p w14:paraId="6F7CDE46"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F (1TU):</w:t>
            </w:r>
          </w:p>
          <w:p w14:paraId="246814A6" w14:textId="77777777" w:rsidR="00332A4B" w:rsidRPr="00681D0D"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681D0D">
              <w:rPr>
                <w:rFonts w:eastAsia="MS Mincho" w:hint="eastAsia"/>
                <w:lang w:eastAsia="ja-JP"/>
              </w:rPr>
              <w:t>A</w:t>
            </w:r>
            <w:r w:rsidRPr="00681D0D">
              <w:rPr>
                <w:rFonts w:eastAsia="MS Mincho"/>
                <w:lang w:eastAsia="ja-JP"/>
              </w:rPr>
              <w:t xml:space="preserve">gree on </w:t>
            </w:r>
            <w:r w:rsidRPr="00D1764E">
              <w:rPr>
                <w:rFonts w:eastAsia="MS Mincho"/>
                <w:lang w:eastAsia="ja-JP"/>
              </w:rPr>
              <w:t>Rx/Tx requirements for satellite access node and different VSAT UE class</w:t>
            </w:r>
          </w:p>
          <w:p w14:paraId="47ECE977" w14:textId="77777777" w:rsidR="00332A4B" w:rsidRPr="00B0736C"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B0736C">
              <w:rPr>
                <w:rFonts w:eastAsia="MS Mincho" w:hint="eastAsia"/>
                <w:lang w:eastAsia="ja-JP"/>
              </w:rPr>
              <w:t>E</w:t>
            </w:r>
            <w:r w:rsidRPr="00B0736C">
              <w:rPr>
                <w:rFonts w:eastAsia="MS Mincho"/>
                <w:lang w:eastAsia="ja-JP"/>
              </w:rPr>
              <w:t>ndorse CRs</w:t>
            </w:r>
          </w:p>
          <w:p w14:paraId="66C546CE" w14:textId="77777777" w:rsidR="00332A4B" w:rsidRDefault="00332A4B" w:rsidP="003A5160">
            <w:pPr>
              <w:rPr>
                <w:rFonts w:eastAsia="MS Mincho"/>
                <w:lang w:eastAsia="ja-JP"/>
              </w:rPr>
            </w:pPr>
          </w:p>
          <w:p w14:paraId="393A3F1A" w14:textId="77777777" w:rsidR="00332A4B" w:rsidRDefault="00332A4B" w:rsidP="003A5160">
            <w:pPr>
              <w:rPr>
                <w:rFonts w:eastAsia="MS Mincho"/>
                <w:lang w:eastAsia="ja-JP"/>
              </w:rPr>
            </w:pPr>
            <w:r>
              <w:rPr>
                <w:rFonts w:eastAsia="MS Mincho" w:hint="eastAsia"/>
                <w:lang w:eastAsia="ja-JP"/>
              </w:rPr>
              <w:t>R</w:t>
            </w:r>
            <w:r>
              <w:rPr>
                <w:rFonts w:eastAsia="MS Mincho"/>
                <w:lang w:eastAsia="ja-JP"/>
              </w:rPr>
              <w:t>RM/</w:t>
            </w:r>
            <w:proofErr w:type="spellStart"/>
            <w:r>
              <w:rPr>
                <w:rFonts w:eastAsia="MS Mincho"/>
                <w:lang w:eastAsia="ja-JP"/>
              </w:rPr>
              <w:t>Demod</w:t>
            </w:r>
            <w:proofErr w:type="spellEnd"/>
            <w:r>
              <w:rPr>
                <w:rFonts w:eastAsia="MS Mincho"/>
                <w:lang w:eastAsia="ja-JP"/>
              </w:rPr>
              <w:t xml:space="preserve"> (0.3TU):</w:t>
            </w:r>
          </w:p>
          <w:p w14:paraId="0A93A25D" w14:textId="77777777" w:rsidR="00332A4B"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681D0D">
              <w:rPr>
                <w:rFonts w:eastAsia="MS Mincho" w:hint="eastAsia"/>
                <w:lang w:eastAsia="ja-JP"/>
              </w:rPr>
              <w:t>A</w:t>
            </w:r>
            <w:r w:rsidRPr="00681D0D">
              <w:rPr>
                <w:rFonts w:eastAsia="MS Mincho"/>
                <w:lang w:eastAsia="ja-JP"/>
              </w:rPr>
              <w:t>gree on RRM core requirement</w:t>
            </w:r>
          </w:p>
          <w:p w14:paraId="5CC87C10" w14:textId="77777777" w:rsidR="00332A4B" w:rsidRPr="00681D0D" w:rsidRDefault="00332A4B" w:rsidP="00B93B38">
            <w:pPr>
              <w:pStyle w:val="ListParagraph"/>
              <w:widowControl w:val="0"/>
              <w:numPr>
                <w:ilvl w:val="0"/>
                <w:numId w:val="15"/>
              </w:numPr>
              <w:overflowPunct/>
              <w:autoSpaceDE/>
              <w:autoSpaceDN/>
              <w:adjustRightInd/>
              <w:spacing w:after="0"/>
              <w:contextualSpacing w:val="0"/>
              <w:jc w:val="both"/>
              <w:textAlignment w:val="auto"/>
              <w:rPr>
                <w:rFonts w:eastAsia="MS Mincho"/>
                <w:lang w:eastAsia="ja-JP"/>
              </w:rPr>
            </w:pPr>
            <w:r w:rsidRPr="00681D0D">
              <w:rPr>
                <w:rFonts w:eastAsia="MS Mincho"/>
                <w:lang w:eastAsia="ja-JP"/>
              </w:rPr>
              <w:t xml:space="preserve">Finalize demodulation </w:t>
            </w:r>
            <w:r>
              <w:rPr>
                <w:rFonts w:eastAsia="MS Mincho"/>
                <w:lang w:eastAsia="ja-JP"/>
              </w:rPr>
              <w:t>requirements and assumptions</w:t>
            </w:r>
          </w:p>
          <w:p w14:paraId="124C4716" w14:textId="77777777" w:rsidR="00332A4B" w:rsidRPr="00B0736C" w:rsidRDefault="00332A4B" w:rsidP="00B93B38">
            <w:pPr>
              <w:pStyle w:val="ListParagraph"/>
              <w:numPr>
                <w:ilvl w:val="0"/>
                <w:numId w:val="15"/>
              </w:numPr>
              <w:overflowPunct/>
              <w:autoSpaceDE/>
              <w:autoSpaceDN/>
              <w:adjustRightInd/>
              <w:spacing w:after="0"/>
              <w:contextualSpacing w:val="0"/>
              <w:jc w:val="both"/>
              <w:textAlignment w:val="auto"/>
              <w:rPr>
                <w:rFonts w:eastAsia="MS Mincho"/>
                <w:lang w:eastAsia="ja-JP"/>
              </w:rPr>
            </w:pPr>
            <w:r w:rsidRPr="00B0736C">
              <w:rPr>
                <w:rFonts w:eastAsia="MS Mincho" w:hint="eastAsia"/>
                <w:lang w:eastAsia="ja-JP"/>
              </w:rPr>
              <w:t>E</w:t>
            </w:r>
            <w:r w:rsidRPr="00B0736C">
              <w:rPr>
                <w:rFonts w:eastAsia="MS Mincho"/>
                <w:lang w:eastAsia="ja-JP"/>
              </w:rPr>
              <w:t>ndorse CRs</w:t>
            </w:r>
          </w:p>
        </w:tc>
      </w:tr>
    </w:tbl>
    <w:p w14:paraId="756802A9" w14:textId="77777777" w:rsidR="00332A4B" w:rsidRDefault="00332A4B" w:rsidP="00332A4B">
      <w:pPr>
        <w:rPr>
          <w:u w:val="single"/>
          <w:lang w:eastAsia="zh-CN"/>
        </w:rPr>
      </w:pPr>
    </w:p>
    <w:p w14:paraId="52D459E5" w14:textId="6099CA3F" w:rsidR="00332A4B" w:rsidRDefault="00810500" w:rsidP="00AF7872">
      <w:pPr>
        <w:rPr>
          <w:lang w:val="en-US"/>
        </w:rPr>
      </w:pPr>
      <w:r>
        <w:rPr>
          <w:lang w:val="en-US"/>
        </w:rPr>
        <w:t xml:space="preserve">From the work plan, </w:t>
      </w:r>
      <w:proofErr w:type="gramStart"/>
      <w:r>
        <w:rPr>
          <w:lang w:val="en-US"/>
        </w:rPr>
        <w:t>it can be seen that the</w:t>
      </w:r>
      <w:proofErr w:type="gramEnd"/>
      <w:r>
        <w:rPr>
          <w:lang w:val="en-US"/>
        </w:rPr>
        <w:t xml:space="preserve"> </w:t>
      </w:r>
      <w:r w:rsidR="00D27C5E">
        <w:rPr>
          <w:lang w:val="en-US"/>
        </w:rPr>
        <w:t xml:space="preserve">example </w:t>
      </w:r>
      <w:r>
        <w:rPr>
          <w:lang w:val="en-US"/>
        </w:rPr>
        <w:t xml:space="preserve">band </w:t>
      </w:r>
      <w:r w:rsidR="00D27C5E">
        <w:rPr>
          <w:lang w:val="en-US"/>
        </w:rPr>
        <w:t xml:space="preserve">plan </w:t>
      </w:r>
      <w:r>
        <w:rPr>
          <w:lang w:val="en-US"/>
        </w:rPr>
        <w:t xml:space="preserve">is </w:t>
      </w:r>
      <w:r w:rsidR="00D27C5E">
        <w:rPr>
          <w:lang w:val="en-US"/>
        </w:rPr>
        <w:t>expected to be agreed in this meeting.</w:t>
      </w:r>
      <w:r w:rsidR="004845F1">
        <w:rPr>
          <w:lang w:val="en-US"/>
        </w:rPr>
        <w:t xml:space="preserve">  It is important to meet this milestone since there is a significant amount of work remaining to define the associated requirements</w:t>
      </w:r>
      <w:r w:rsidR="00C540D6">
        <w:rPr>
          <w:lang w:val="en-US"/>
        </w:rPr>
        <w:t xml:space="preserve"> </w:t>
      </w:r>
      <w:proofErr w:type="gramStart"/>
      <w:r w:rsidR="0099726B">
        <w:rPr>
          <w:lang w:val="en-US"/>
        </w:rPr>
        <w:t xml:space="preserve">in </w:t>
      </w:r>
      <w:r w:rsidR="00C540D6">
        <w:rPr>
          <w:lang w:val="en-US"/>
        </w:rPr>
        <w:t xml:space="preserve"> only</w:t>
      </w:r>
      <w:proofErr w:type="gramEnd"/>
      <w:r w:rsidR="00C540D6">
        <w:rPr>
          <w:lang w:val="en-US"/>
        </w:rPr>
        <w:t xml:space="preserve"> six working group meetings</w:t>
      </w:r>
      <w:r w:rsidR="004845F1">
        <w:rPr>
          <w:lang w:val="en-US"/>
        </w:rPr>
        <w:t xml:space="preserve">.  </w:t>
      </w:r>
    </w:p>
    <w:p w14:paraId="06F0B319" w14:textId="5866D4A5" w:rsidR="0099726B" w:rsidRPr="008978FC" w:rsidRDefault="0099726B" w:rsidP="00AF7872">
      <w:pPr>
        <w:rPr>
          <w:b/>
          <w:bCs/>
          <w:lang w:val="en-US"/>
        </w:rPr>
      </w:pPr>
      <w:r w:rsidRPr="008978FC">
        <w:rPr>
          <w:b/>
          <w:bCs/>
          <w:lang w:val="en-US"/>
        </w:rPr>
        <w:t>Observation:  In order to meet the work plan and work item completion time, it is necessary to agree to the example band plan in this meeting.</w:t>
      </w:r>
    </w:p>
    <w:p w14:paraId="5EB65970" w14:textId="513EA49A" w:rsidR="00372089" w:rsidRPr="00372089" w:rsidRDefault="00372089" w:rsidP="00D20982">
      <w:pPr>
        <w:pStyle w:val="Heading2"/>
        <w:rPr>
          <w:lang w:val="en-US"/>
        </w:rPr>
      </w:pPr>
      <w:r w:rsidRPr="00372089">
        <w:rPr>
          <w:lang w:val="en-US"/>
        </w:rPr>
        <w:t>Bands n510, n511, and n512</w:t>
      </w:r>
    </w:p>
    <w:p w14:paraId="57ACF5DD" w14:textId="037CA29C" w:rsidR="001721D1" w:rsidRDefault="001721D1" w:rsidP="00BE4DBE">
      <w:pPr>
        <w:rPr>
          <w:lang w:val="en-US"/>
        </w:rPr>
      </w:pPr>
      <w:r>
        <w:rPr>
          <w:lang w:val="en-US"/>
        </w:rPr>
        <w:t xml:space="preserve">Possible band plans </w:t>
      </w:r>
      <w:r w:rsidR="00A26B10">
        <w:rPr>
          <w:lang w:val="en-US"/>
        </w:rPr>
        <w:t>were presented in [</w:t>
      </w:r>
      <w:r w:rsidR="00B93B38">
        <w:rPr>
          <w:lang w:val="en-US"/>
        </w:rPr>
        <w:t>3</w:t>
      </w:r>
      <w:r w:rsidR="00A26B10">
        <w:rPr>
          <w:lang w:val="en-US"/>
        </w:rPr>
        <w:t xml:space="preserve">] </w:t>
      </w:r>
      <w:r w:rsidR="00F270D8">
        <w:rPr>
          <w:lang w:val="en-US"/>
        </w:rPr>
        <w:t>with the following two proposals for uplink and downlink</w:t>
      </w:r>
    </w:p>
    <w:p w14:paraId="01FD868C" w14:textId="77777777" w:rsidR="00F270D8" w:rsidRDefault="00F270D8" w:rsidP="00F270D8">
      <w:pPr>
        <w:rPr>
          <w:rFonts w:ascii="Arial" w:hAnsi="Arial" w:cs="Arial"/>
          <w:bCs/>
          <w:lang w:val="en-US" w:eastAsia="ja-JP"/>
        </w:rPr>
      </w:pPr>
      <w:r w:rsidRPr="009E62A2">
        <w:rPr>
          <w:rFonts w:ascii="Arial" w:hAnsi="Arial" w:cs="Arial"/>
          <w:b/>
          <w:lang w:val="en-US" w:eastAsia="ja-JP"/>
        </w:rPr>
        <w:t>Proposal</w:t>
      </w:r>
      <w:r>
        <w:rPr>
          <w:rFonts w:ascii="Arial" w:hAnsi="Arial" w:cs="Arial"/>
          <w:b/>
          <w:lang w:val="en-US" w:eastAsia="ja-JP"/>
        </w:rPr>
        <w:t xml:space="preserve"> 1</w:t>
      </w:r>
      <w:r w:rsidRPr="009E62A2">
        <w:rPr>
          <w:rFonts w:ascii="Arial" w:hAnsi="Arial" w:cs="Arial"/>
          <w:b/>
          <w:lang w:val="en-US" w:eastAsia="ja-JP"/>
        </w:rPr>
        <w:t xml:space="preserve">: </w:t>
      </w:r>
      <w:r>
        <w:rPr>
          <w:rFonts w:ascii="Arial" w:hAnsi="Arial" w:cs="Arial"/>
          <w:bCs/>
          <w:lang w:val="en-US" w:eastAsia="ja-JP"/>
        </w:rPr>
        <w:t>For the Ka-band Uplink NTN band definition, consider the following options:</w:t>
      </w:r>
    </w:p>
    <w:p w14:paraId="761F4AA6" w14:textId="77777777" w:rsidR="00F270D8" w:rsidRDefault="00F270D8" w:rsidP="00B93B38">
      <w:pPr>
        <w:pStyle w:val="ListParagraph"/>
        <w:numPr>
          <w:ilvl w:val="0"/>
          <w:numId w:val="13"/>
        </w:numPr>
        <w:spacing w:line="259" w:lineRule="auto"/>
        <w:contextualSpacing w:val="0"/>
        <w:rPr>
          <w:rFonts w:ascii="Arial" w:hAnsi="Arial" w:cs="Arial"/>
          <w:b/>
          <w:lang w:val="en-US" w:eastAsia="ja-JP"/>
        </w:rPr>
      </w:pPr>
      <w:r w:rsidRPr="005614BB">
        <w:rPr>
          <w:rFonts w:ascii="Arial" w:hAnsi="Arial" w:cs="Arial"/>
          <w:b/>
          <w:lang w:val="en-US" w:eastAsia="ja-JP"/>
        </w:rPr>
        <w:t>Option 1:</w:t>
      </w:r>
      <w:r>
        <w:rPr>
          <w:rFonts w:ascii="Arial" w:hAnsi="Arial" w:cs="Arial"/>
          <w:b/>
          <w:lang w:val="en-US" w:eastAsia="ja-JP"/>
        </w:rPr>
        <w:t xml:space="preserve"> </w:t>
      </w:r>
      <w:r>
        <w:rPr>
          <w:rFonts w:ascii="Arial" w:hAnsi="Arial" w:cs="Arial"/>
          <w:bCs/>
          <w:lang w:val="en-US" w:eastAsia="ja-JP"/>
        </w:rPr>
        <w:t xml:space="preserve">Define one NTN band covering the full harmonized Ka-band earth-to-space range of 27.5-30.0 GHz, with specific Network Signaling (NS) to address regional-specific requirements and restrictions. </w:t>
      </w:r>
    </w:p>
    <w:p w14:paraId="297FBF70" w14:textId="77777777" w:rsidR="00F270D8" w:rsidRPr="00247D64" w:rsidRDefault="00F270D8" w:rsidP="00B93B38">
      <w:pPr>
        <w:pStyle w:val="ListParagraph"/>
        <w:numPr>
          <w:ilvl w:val="0"/>
          <w:numId w:val="13"/>
        </w:numPr>
        <w:spacing w:line="259" w:lineRule="auto"/>
        <w:contextualSpacing w:val="0"/>
        <w:rPr>
          <w:rFonts w:ascii="Arial" w:hAnsi="Arial" w:cs="Arial"/>
          <w:b/>
          <w:lang w:val="en-US" w:eastAsia="ja-JP"/>
        </w:rPr>
      </w:pPr>
      <w:r>
        <w:rPr>
          <w:rFonts w:ascii="Arial" w:hAnsi="Arial" w:cs="Arial"/>
          <w:b/>
          <w:lang w:val="en-US" w:eastAsia="ja-JP"/>
        </w:rPr>
        <w:t xml:space="preserve">Option 2: </w:t>
      </w:r>
      <w:r>
        <w:rPr>
          <w:rFonts w:ascii="Arial" w:hAnsi="Arial" w:cs="Arial"/>
          <w:bCs/>
          <w:lang w:val="en-US" w:eastAsia="ja-JP"/>
        </w:rPr>
        <w:t xml:space="preserve">Define three NTN bands for Ka-band Uplink. </w:t>
      </w:r>
    </w:p>
    <w:p w14:paraId="24E00348" w14:textId="77777777" w:rsidR="00F270D8" w:rsidRPr="00247D64" w:rsidRDefault="00F270D8" w:rsidP="00B93B38">
      <w:pPr>
        <w:pStyle w:val="ListParagraph"/>
        <w:numPr>
          <w:ilvl w:val="1"/>
          <w:numId w:val="13"/>
        </w:numPr>
        <w:spacing w:line="259" w:lineRule="auto"/>
        <w:contextualSpacing w:val="0"/>
        <w:rPr>
          <w:rFonts w:ascii="Arial" w:hAnsi="Arial" w:cs="Arial"/>
          <w:b/>
          <w:lang w:val="en-US" w:eastAsia="ja-JP"/>
        </w:rPr>
      </w:pPr>
      <w:r>
        <w:rPr>
          <w:rFonts w:ascii="Arial" w:hAnsi="Arial" w:cs="Arial"/>
          <w:bCs/>
          <w:lang w:val="en-US" w:eastAsia="ja-JP"/>
        </w:rPr>
        <w:t xml:space="preserve">One band covering the full harmonized Ka-band earth-to-space range of 27.5-30.0 GHz applicable for </w:t>
      </w:r>
      <w:proofErr w:type="gramStart"/>
      <w:r>
        <w:rPr>
          <w:rFonts w:ascii="Arial" w:hAnsi="Arial" w:cs="Arial"/>
          <w:bCs/>
          <w:lang w:val="en-US" w:eastAsia="ja-JP"/>
        </w:rPr>
        <w:t>Region</w:t>
      </w:r>
      <w:proofErr w:type="gramEnd"/>
      <w:r>
        <w:rPr>
          <w:rFonts w:ascii="Arial" w:hAnsi="Arial" w:cs="Arial"/>
          <w:bCs/>
          <w:lang w:val="en-US" w:eastAsia="ja-JP"/>
        </w:rPr>
        <w:t xml:space="preserve"> 1, Region 3 and Region 2 countries </w:t>
      </w:r>
      <w:bookmarkStart w:id="0" w:name="_Hlk118721468"/>
      <w:r>
        <w:rPr>
          <w:rFonts w:ascii="Arial" w:hAnsi="Arial" w:cs="Arial"/>
          <w:bCs/>
          <w:lang w:val="en-US" w:eastAsia="ja-JP"/>
        </w:rPr>
        <w:t xml:space="preserve">except the United States </w:t>
      </w:r>
      <w:bookmarkEnd w:id="0"/>
    </w:p>
    <w:p w14:paraId="40EAA198" w14:textId="77777777" w:rsidR="00F270D8" w:rsidRPr="00247D64" w:rsidRDefault="00F270D8" w:rsidP="00B93B38">
      <w:pPr>
        <w:pStyle w:val="ListParagraph"/>
        <w:numPr>
          <w:ilvl w:val="1"/>
          <w:numId w:val="13"/>
        </w:numPr>
        <w:spacing w:line="259" w:lineRule="auto"/>
        <w:contextualSpacing w:val="0"/>
        <w:rPr>
          <w:rFonts w:ascii="Arial" w:hAnsi="Arial" w:cs="Arial"/>
          <w:b/>
          <w:lang w:val="en-US" w:eastAsia="ja-JP"/>
        </w:rPr>
      </w:pPr>
      <w:r>
        <w:rPr>
          <w:rFonts w:ascii="Arial" w:hAnsi="Arial" w:cs="Arial"/>
          <w:bCs/>
          <w:lang w:val="en-US" w:eastAsia="ja-JP"/>
        </w:rPr>
        <w:t>Additional two bands for the US market, and countries deploying the same assignments:</w:t>
      </w:r>
    </w:p>
    <w:p w14:paraId="04462627" w14:textId="77777777" w:rsidR="00F270D8" w:rsidRPr="00247D64" w:rsidRDefault="00F270D8" w:rsidP="00B93B38">
      <w:pPr>
        <w:pStyle w:val="ListParagraph"/>
        <w:numPr>
          <w:ilvl w:val="2"/>
          <w:numId w:val="13"/>
        </w:numPr>
        <w:spacing w:line="259" w:lineRule="auto"/>
        <w:contextualSpacing w:val="0"/>
        <w:rPr>
          <w:rFonts w:ascii="Arial" w:hAnsi="Arial" w:cs="Arial"/>
          <w:b/>
          <w:lang w:val="en-US" w:eastAsia="ja-JP"/>
        </w:rPr>
      </w:pPr>
      <w:r>
        <w:rPr>
          <w:rFonts w:ascii="Arial" w:hAnsi="Arial" w:cs="Arial"/>
          <w:bCs/>
          <w:lang w:val="en-US" w:eastAsia="ja-JP"/>
        </w:rPr>
        <w:t xml:space="preserve">one for the 27.5-28.35 GHz range, </w:t>
      </w:r>
    </w:p>
    <w:p w14:paraId="12326928" w14:textId="77777777" w:rsidR="00F270D8" w:rsidRPr="006665F9" w:rsidRDefault="00F270D8" w:rsidP="00B93B38">
      <w:pPr>
        <w:pStyle w:val="ListParagraph"/>
        <w:numPr>
          <w:ilvl w:val="2"/>
          <w:numId w:val="13"/>
        </w:numPr>
        <w:spacing w:line="259" w:lineRule="auto"/>
        <w:contextualSpacing w:val="0"/>
        <w:rPr>
          <w:rFonts w:ascii="Arial" w:hAnsi="Arial" w:cs="Arial"/>
          <w:b/>
          <w:lang w:val="en-US" w:eastAsia="ja-JP"/>
        </w:rPr>
      </w:pPr>
      <w:r>
        <w:rPr>
          <w:rFonts w:ascii="Arial" w:hAnsi="Arial" w:cs="Arial"/>
          <w:bCs/>
          <w:lang w:val="en-US" w:eastAsia="ja-JP"/>
        </w:rPr>
        <w:t xml:space="preserve">one for the 28.35-30.0 GHz range. </w:t>
      </w:r>
    </w:p>
    <w:p w14:paraId="32F8E5D8" w14:textId="77777777" w:rsidR="00F270D8" w:rsidRDefault="00F270D8" w:rsidP="00F270D8">
      <w:pPr>
        <w:pStyle w:val="ListParagraph"/>
        <w:rPr>
          <w:rFonts w:ascii="Arial" w:hAnsi="Arial" w:cs="Arial"/>
          <w:b/>
          <w:lang w:val="en-US" w:eastAsia="ja-JP"/>
        </w:rPr>
      </w:pPr>
    </w:p>
    <w:p w14:paraId="11965FCC" w14:textId="77777777" w:rsidR="00F270D8" w:rsidRPr="004C303D" w:rsidRDefault="00F270D8" w:rsidP="00F270D8">
      <w:pPr>
        <w:pStyle w:val="ListParagraph"/>
        <w:ind w:left="852"/>
        <w:rPr>
          <w:rFonts w:ascii="Arial" w:hAnsi="Arial" w:cs="Arial"/>
          <w:b/>
          <w:lang w:val="en-US" w:eastAsia="ja-JP"/>
        </w:rPr>
      </w:pPr>
      <w:r w:rsidRPr="007F54A1">
        <w:rPr>
          <w:noProof/>
        </w:rPr>
        <w:lastRenderedPageBreak/>
        <w:t xml:space="preserve"> </w:t>
      </w:r>
      <w:r>
        <w:rPr>
          <w:noProof/>
        </w:rPr>
        <w:drawing>
          <wp:inline distT="0" distB="0" distL="0" distR="0" wp14:anchorId="70143954" wp14:editId="52E84606">
            <wp:extent cx="5394127" cy="1891665"/>
            <wp:effectExtent l="19050" t="19050" r="16510" b="13335"/>
            <wp:docPr id="8" name="Picture 8"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timeline&#10;&#10;Description automatically generated"/>
                    <pic:cNvPicPr/>
                  </pic:nvPicPr>
                  <pic:blipFill>
                    <a:blip r:embed="rId8"/>
                    <a:stretch>
                      <a:fillRect/>
                    </a:stretch>
                  </pic:blipFill>
                  <pic:spPr>
                    <a:xfrm>
                      <a:off x="0" y="0"/>
                      <a:ext cx="5400314" cy="1893835"/>
                    </a:xfrm>
                    <a:prstGeom prst="rect">
                      <a:avLst/>
                    </a:prstGeom>
                    <a:ln>
                      <a:solidFill>
                        <a:schemeClr val="accent4">
                          <a:lumMod val="50000"/>
                        </a:schemeClr>
                      </a:solidFill>
                    </a:ln>
                  </pic:spPr>
                </pic:pic>
              </a:graphicData>
            </a:graphic>
          </wp:inline>
        </w:drawing>
      </w:r>
    </w:p>
    <w:p w14:paraId="50E5BDCB" w14:textId="77777777" w:rsidR="00F270D8" w:rsidRPr="004C303D" w:rsidRDefault="00F270D8" w:rsidP="00F270D8">
      <w:pPr>
        <w:pStyle w:val="ListParagraph"/>
        <w:jc w:val="center"/>
        <w:rPr>
          <w:rFonts w:ascii="Arial" w:hAnsi="Arial" w:cs="Arial"/>
          <w:b/>
          <w:lang w:val="en-US" w:eastAsia="ja-JP"/>
        </w:rPr>
      </w:pPr>
      <w:r w:rsidRPr="004C303D">
        <w:rPr>
          <w:rFonts w:ascii="Arial" w:hAnsi="Arial" w:cs="Arial"/>
          <w:b/>
          <w:lang w:val="en-US" w:eastAsia="ja-JP"/>
        </w:rPr>
        <w:t>Figure: Example of Proposal 1</w:t>
      </w:r>
      <w:r>
        <w:rPr>
          <w:rFonts w:ascii="Arial" w:hAnsi="Arial" w:cs="Arial"/>
          <w:b/>
          <w:lang w:val="en-US" w:eastAsia="ja-JP"/>
        </w:rPr>
        <w:t xml:space="preserve"> -</w:t>
      </w:r>
      <w:r w:rsidRPr="004C303D">
        <w:rPr>
          <w:rFonts w:ascii="Arial" w:hAnsi="Arial" w:cs="Arial"/>
          <w:b/>
          <w:lang w:val="en-US" w:eastAsia="ja-JP"/>
        </w:rPr>
        <w:t xml:space="preserve"> Option </w:t>
      </w:r>
      <w:r>
        <w:rPr>
          <w:rFonts w:ascii="Arial" w:hAnsi="Arial" w:cs="Arial"/>
          <w:b/>
          <w:lang w:val="en-US" w:eastAsia="ja-JP"/>
        </w:rPr>
        <w:t>2</w:t>
      </w:r>
    </w:p>
    <w:p w14:paraId="18AF06CA" w14:textId="77777777" w:rsidR="00F270D8" w:rsidRDefault="00F270D8" w:rsidP="00F270D8">
      <w:pPr>
        <w:pStyle w:val="ListParagraph"/>
        <w:ind w:left="2160"/>
        <w:rPr>
          <w:rFonts w:ascii="Arial" w:hAnsi="Arial" w:cs="Arial"/>
          <w:b/>
          <w:lang w:val="en-US" w:eastAsia="ja-JP"/>
        </w:rPr>
      </w:pPr>
    </w:p>
    <w:p w14:paraId="0DA43865" w14:textId="77777777" w:rsidR="00F270D8" w:rsidRDefault="00F270D8" w:rsidP="00F270D8">
      <w:pPr>
        <w:rPr>
          <w:rFonts w:ascii="Arial" w:hAnsi="Arial" w:cs="Arial"/>
          <w:bCs/>
          <w:lang w:val="en-US" w:eastAsia="ja-JP"/>
        </w:rPr>
      </w:pPr>
      <w:r>
        <w:rPr>
          <w:rFonts w:ascii="Arial" w:hAnsi="Arial" w:cs="Arial"/>
          <w:b/>
          <w:lang w:val="en-US" w:eastAsia="ja-JP"/>
        </w:rPr>
        <w:t xml:space="preserve">Proposal 2: </w:t>
      </w:r>
      <w:r>
        <w:rPr>
          <w:rFonts w:ascii="Arial" w:hAnsi="Arial" w:cs="Arial"/>
          <w:bCs/>
          <w:lang w:val="en-US" w:eastAsia="ja-JP"/>
        </w:rPr>
        <w:t>For the Ka-band Downlink NTN band definition, define one NTN band covering the full harmonized Ka-band space-to-earth range of 17.7-20.2 GHz for Regions 1, 2 and 3.</w:t>
      </w:r>
    </w:p>
    <w:p w14:paraId="77DA4CCE" w14:textId="7110D42C" w:rsidR="00CF513E" w:rsidRDefault="00F270D8" w:rsidP="00BE4DBE">
      <w:pPr>
        <w:rPr>
          <w:lang w:val="en-US"/>
        </w:rPr>
      </w:pPr>
      <w:r>
        <w:rPr>
          <w:lang w:val="en-US"/>
        </w:rPr>
        <w:t xml:space="preserve">In fact, there was agreement </w:t>
      </w:r>
      <w:r w:rsidR="0035422A">
        <w:rPr>
          <w:lang w:val="en-US"/>
        </w:rPr>
        <w:t>[</w:t>
      </w:r>
      <w:r w:rsidR="00B93B38">
        <w:rPr>
          <w:lang w:val="en-US"/>
        </w:rPr>
        <w:t>4</w:t>
      </w:r>
      <w:r w:rsidR="0035422A">
        <w:rPr>
          <w:lang w:val="en-US"/>
        </w:rPr>
        <w:t>]</w:t>
      </w:r>
      <w:r w:rsidR="00CF513E">
        <w:rPr>
          <w:lang w:val="en-US"/>
        </w:rPr>
        <w:t xml:space="preserve"> to define multiple NTN Ka-bands</w:t>
      </w:r>
    </w:p>
    <w:p w14:paraId="0CC1646A" w14:textId="77777777" w:rsidR="00CF513E" w:rsidRPr="00516DA5" w:rsidRDefault="00CF513E" w:rsidP="00B93B38">
      <w:pPr>
        <w:pStyle w:val="ListParagraph"/>
        <w:numPr>
          <w:ilvl w:val="0"/>
          <w:numId w:val="14"/>
        </w:numPr>
        <w:overflowPunct/>
        <w:autoSpaceDE/>
        <w:autoSpaceDN/>
        <w:adjustRightInd/>
        <w:spacing w:after="120"/>
        <w:contextualSpacing w:val="0"/>
        <w:textAlignment w:val="auto"/>
        <w:rPr>
          <w:highlight w:val="green"/>
        </w:rPr>
      </w:pPr>
      <w:r w:rsidRPr="00516DA5">
        <w:rPr>
          <w:highlight w:val="green"/>
        </w:rPr>
        <w:t xml:space="preserve">Define several NTN Ka-bands to address the diversity of spectrum allocation </w:t>
      </w:r>
      <w:r w:rsidRPr="00516DA5">
        <w:rPr>
          <w:strike/>
          <w:highlight w:val="green"/>
        </w:rPr>
        <w:t>to ESIM</w:t>
      </w:r>
      <w:r w:rsidRPr="00516DA5">
        <w:rPr>
          <w:highlight w:val="green"/>
        </w:rPr>
        <w:t xml:space="preserve"> by national regulators, RAN4 should consider specifying several “NTN Ka-bands”</w:t>
      </w:r>
    </w:p>
    <w:p w14:paraId="22B1D63C" w14:textId="0E1BE122" w:rsidR="001721D1" w:rsidRDefault="00E6406D" w:rsidP="00BE4DBE">
      <w:pPr>
        <w:rPr>
          <w:lang w:val="en-US"/>
        </w:rPr>
      </w:pPr>
      <w:r>
        <w:rPr>
          <w:lang w:val="en-US"/>
        </w:rPr>
        <w:t>The motivation for defining several bands and in particular the proposal for Band n510 and n511 is the overlap of the full Ka frequency range with terrestrial allocations in the US.  It was observed in [</w:t>
      </w:r>
      <w:r w:rsidR="00B93B38">
        <w:rPr>
          <w:lang w:val="en-US"/>
        </w:rPr>
        <w:t>5</w:t>
      </w:r>
      <w:r>
        <w:rPr>
          <w:lang w:val="en-US"/>
        </w:rPr>
        <w:t>]</w:t>
      </w:r>
      <w:r w:rsidR="00C61C04">
        <w:rPr>
          <w:lang w:val="en-US"/>
        </w:rPr>
        <w:t xml:space="preserve"> that the 27.5 – 28.35 GHz frequency range has been allocated by the US FCC </w:t>
      </w:r>
      <w:r w:rsidR="00305852">
        <w:rPr>
          <w:lang w:val="en-US"/>
        </w:rPr>
        <w:t xml:space="preserve">for mobile broadband excluding the range in </w:t>
      </w:r>
      <w:r w:rsidR="0005771C">
        <w:rPr>
          <w:lang w:val="en-US"/>
        </w:rPr>
        <w:t xml:space="preserve">subsequent rulemakings for </w:t>
      </w:r>
      <w:r w:rsidR="00541D5C">
        <w:rPr>
          <w:lang w:val="en-US"/>
        </w:rPr>
        <w:t xml:space="preserve">GSO and NGSO </w:t>
      </w:r>
      <w:r w:rsidR="0005771C">
        <w:rPr>
          <w:lang w:val="en-US"/>
        </w:rPr>
        <w:t xml:space="preserve">satellite operation in the Ka band.  </w:t>
      </w:r>
      <w:r w:rsidR="00541D5C">
        <w:rPr>
          <w:lang w:val="en-US"/>
        </w:rPr>
        <w:t>Thus, Band n511</w:t>
      </w:r>
      <w:r w:rsidR="0024695A">
        <w:rPr>
          <w:lang w:val="en-US"/>
        </w:rPr>
        <w:t xml:space="preserve"> could be deployed for NTN instead of Band n512 to avoid 27.5 – 28.35 GHz in the US and other countries with the same assignments.  </w:t>
      </w:r>
    </w:p>
    <w:p w14:paraId="2D2153C2" w14:textId="36186ACE" w:rsidR="003E6B6C" w:rsidRDefault="003E6B6C" w:rsidP="00BE4DBE">
      <w:pPr>
        <w:rPr>
          <w:lang w:val="en-US"/>
        </w:rPr>
      </w:pPr>
      <w:r>
        <w:rPr>
          <w:lang w:val="en-US"/>
        </w:rPr>
        <w:t xml:space="preserve">Closer inspection of </w:t>
      </w:r>
      <w:r w:rsidR="009F5D91">
        <w:rPr>
          <w:lang w:val="en-US"/>
        </w:rPr>
        <w:t xml:space="preserve">FCC Part 25, however, reveals that 27.5 – 28.35 GHz is not </w:t>
      </w:r>
      <w:r w:rsidR="006E665F">
        <w:rPr>
          <w:lang w:val="en-US"/>
        </w:rPr>
        <w:t xml:space="preserve">actually </w:t>
      </w:r>
      <w:r w:rsidR="009F5D91">
        <w:rPr>
          <w:lang w:val="en-US"/>
        </w:rPr>
        <w:t>precluded for satellite usage</w:t>
      </w:r>
      <w:r w:rsidR="006E665F">
        <w:rPr>
          <w:lang w:val="en-US"/>
        </w:rPr>
        <w:t xml:space="preserve"> but rather is regulated as also commented in [</w:t>
      </w:r>
      <w:r w:rsidR="00B93B38">
        <w:rPr>
          <w:lang w:val="en-US"/>
        </w:rPr>
        <w:t>3</w:t>
      </w:r>
      <w:r w:rsidR="006E665F">
        <w:rPr>
          <w:lang w:val="en-US"/>
        </w:rPr>
        <w:t xml:space="preserve">].  </w:t>
      </w:r>
      <w:r w:rsidR="00673463">
        <w:rPr>
          <w:lang w:val="en-US"/>
        </w:rPr>
        <w:t xml:space="preserve">In clause </w:t>
      </w:r>
      <w:r w:rsidR="00673463" w:rsidRPr="00173D74">
        <w:rPr>
          <w:i/>
          <w:iCs/>
          <w:lang w:val="en-US"/>
        </w:rPr>
        <w:t xml:space="preserve">25.136 Earth Stations in the 24.75-25.25 GHz, 27.5-28.35 GHz, 37.5-40 GHz, 47.2-48.2 </w:t>
      </w:r>
      <w:proofErr w:type="gramStart"/>
      <w:r w:rsidR="00673463" w:rsidRPr="00173D74">
        <w:rPr>
          <w:i/>
          <w:iCs/>
          <w:lang w:val="en-US"/>
        </w:rPr>
        <w:t>GHz</w:t>
      </w:r>
      <w:proofErr w:type="gramEnd"/>
      <w:r w:rsidR="00673463" w:rsidRPr="00173D74">
        <w:rPr>
          <w:i/>
          <w:iCs/>
          <w:lang w:val="en-US"/>
        </w:rPr>
        <w:t xml:space="preserve"> and 50.4-51.4 GHz bands</w:t>
      </w:r>
      <w:r w:rsidR="00173D74">
        <w:rPr>
          <w:lang w:val="en-US"/>
        </w:rPr>
        <w:t xml:space="preserve"> it is stated “</w:t>
      </w:r>
      <w:r w:rsidR="00A326C1" w:rsidRPr="00A326C1">
        <w:rPr>
          <w:lang w:val="en-US"/>
        </w:rPr>
        <w:t>an applicant for a license for a transmitting earth station in the 27.5-28.35 GHz band that meets one of the following criteria may be authorized to operate without providing interference protection to stations in the Upper Microwave Flexible Use Service</w:t>
      </w:r>
      <w:r w:rsidR="00A326C1">
        <w:rPr>
          <w:lang w:val="en-US"/>
        </w:rPr>
        <w:t xml:space="preserve">”.  The statement is then followed by </w:t>
      </w:r>
      <w:proofErr w:type="gramStart"/>
      <w:r w:rsidR="00A326C1">
        <w:rPr>
          <w:lang w:val="en-US"/>
        </w:rPr>
        <w:t>a number of</w:t>
      </w:r>
      <w:proofErr w:type="gramEnd"/>
      <w:r w:rsidR="00A326C1">
        <w:rPr>
          <w:lang w:val="en-US"/>
        </w:rPr>
        <w:t xml:space="preserve"> conditions for which an earth station could operate in this band without the requirement to provide inte</w:t>
      </w:r>
      <w:r w:rsidR="00EC4629">
        <w:rPr>
          <w:lang w:val="en-US"/>
        </w:rPr>
        <w:t xml:space="preserve">rference protection to UMFUS.  One of those conditions is </w:t>
      </w:r>
      <w:proofErr w:type="gramStart"/>
      <w:r w:rsidR="00EC4629">
        <w:rPr>
          <w:lang w:val="en-US"/>
        </w:rPr>
        <w:t>in the even</w:t>
      </w:r>
      <w:r w:rsidR="00A44927">
        <w:rPr>
          <w:lang w:val="en-US"/>
        </w:rPr>
        <w:t>t</w:t>
      </w:r>
      <w:r w:rsidR="00EC4629">
        <w:rPr>
          <w:lang w:val="en-US"/>
        </w:rPr>
        <w:t xml:space="preserve"> that</w:t>
      </w:r>
      <w:proofErr w:type="gramEnd"/>
      <w:r w:rsidR="00EC4629">
        <w:rPr>
          <w:lang w:val="en-US"/>
        </w:rPr>
        <w:t xml:space="preserve"> the FSS licensee also holds the relevant UMFUS license in the area where the earth station is generating a PFD in excess of the limit.  In other words, </w:t>
      </w:r>
      <w:r w:rsidR="00C0717F">
        <w:rPr>
          <w:lang w:val="en-US"/>
        </w:rPr>
        <w:t xml:space="preserve">the possibility exists for a terrestrial operator holding a license for terrestrial operation in Band n261 (27.5 – 28.35 GHz) to also provide satellite service </w:t>
      </w:r>
      <w:r w:rsidR="008D1693">
        <w:rPr>
          <w:lang w:val="en-US"/>
        </w:rPr>
        <w:t xml:space="preserve">or partner with a satellite provider </w:t>
      </w:r>
      <w:r w:rsidR="00C0717F">
        <w:rPr>
          <w:lang w:val="en-US"/>
        </w:rPr>
        <w:t>over the same spectrum in the same geographical area.  Seeing the potential benefit of this possibility, 3GPP should not exclude the 27.5 – 28.35 GHz frequency range in its band definition even for the US.  According to the band plan proposals above, US satellite operation in 27.5 – 28.35 GHz could be enabled by either Band n</w:t>
      </w:r>
      <w:r w:rsidR="00EE1D4A">
        <w:rPr>
          <w:lang w:val="en-US"/>
        </w:rPr>
        <w:t xml:space="preserve">510 or Band n512.  </w:t>
      </w:r>
    </w:p>
    <w:p w14:paraId="1B71EBC7" w14:textId="72D7A583" w:rsidR="009B144B" w:rsidRPr="009B144B" w:rsidRDefault="00E72BCF" w:rsidP="00BE4DBE">
      <w:pPr>
        <w:rPr>
          <w:b/>
          <w:bCs/>
          <w:lang w:val="en-US"/>
        </w:rPr>
      </w:pPr>
      <w:r w:rsidRPr="009B144B">
        <w:rPr>
          <w:b/>
          <w:bCs/>
          <w:lang w:val="en-US"/>
        </w:rPr>
        <w:t>Observation:  NTN operation in the US in the frequency range from 27.5 – 28.35 GHz can be enabled by either Band n510 or Band n512.  Usage of Band n511 would exclude this range</w:t>
      </w:r>
      <w:r w:rsidR="009B144B" w:rsidRPr="009B144B">
        <w:rPr>
          <w:b/>
          <w:bCs/>
          <w:lang w:val="en-US"/>
        </w:rPr>
        <w:t xml:space="preserve"> which may </w:t>
      </w:r>
      <w:r w:rsidR="000817F8">
        <w:rPr>
          <w:b/>
          <w:bCs/>
          <w:lang w:val="en-US"/>
        </w:rPr>
        <w:t xml:space="preserve">then </w:t>
      </w:r>
      <w:r w:rsidR="009B144B" w:rsidRPr="009B144B">
        <w:rPr>
          <w:b/>
          <w:bCs/>
          <w:lang w:val="en-US"/>
        </w:rPr>
        <w:t>preclude possible deployment options even for US terrestrial operators</w:t>
      </w:r>
      <w:r w:rsidR="000817F8">
        <w:rPr>
          <w:b/>
          <w:bCs/>
          <w:lang w:val="en-US"/>
        </w:rPr>
        <w:t xml:space="preserve"> and their partners</w:t>
      </w:r>
      <w:r w:rsidR="009B144B" w:rsidRPr="009B144B">
        <w:rPr>
          <w:b/>
          <w:bCs/>
          <w:lang w:val="en-US"/>
        </w:rPr>
        <w:t>.</w:t>
      </w:r>
      <w:r w:rsidR="009B144B" w:rsidRPr="009B144B">
        <w:rPr>
          <w:b/>
          <w:bCs/>
          <w:lang w:val="en-US"/>
        </w:rPr>
        <w:br/>
      </w:r>
    </w:p>
    <w:p w14:paraId="25CFB23B" w14:textId="5E486C5C" w:rsidR="009B144B" w:rsidRDefault="009B144B" w:rsidP="00BE4DBE">
      <w:pPr>
        <w:rPr>
          <w:lang w:val="en-US"/>
        </w:rPr>
      </w:pPr>
      <w:r>
        <w:rPr>
          <w:lang w:val="en-US"/>
        </w:rPr>
        <w:t>Given the above observation, it is suggested to deprioritize Band n511.  If the two remaining bands are then n510 and n512, it is suggested to prioritize Band n512 since it also covers the Band n510 frequency range.  If there is time remaining in the work item and interest, Band n510 and n511 can still be within the scope of the work item.  Otherwise, they can be proposed for follow-on work in a separate work item since the WID already states that other bands can be introduced in a band independent manner.</w:t>
      </w:r>
    </w:p>
    <w:p w14:paraId="0C6E1C9E" w14:textId="75AB7AB8" w:rsidR="009B144B" w:rsidRDefault="009B144B" w:rsidP="00BE4DBE">
      <w:pPr>
        <w:rPr>
          <w:b/>
          <w:bCs/>
          <w:lang w:val="en-US"/>
        </w:rPr>
      </w:pPr>
      <w:r w:rsidRPr="009B144B">
        <w:rPr>
          <w:b/>
          <w:bCs/>
          <w:lang w:val="en-US"/>
        </w:rPr>
        <w:t>Proposal:  Prioritize Band n512 in this work item.  Band n510 and n511 can be considered in this work item if time remains; otherwise, they can be proposed in a follow-on work item in a release independent manner.</w:t>
      </w:r>
    </w:p>
    <w:p w14:paraId="1DF8101C" w14:textId="7DB1BC82" w:rsidR="008978FC" w:rsidRDefault="008978FC" w:rsidP="008978FC">
      <w:pPr>
        <w:pStyle w:val="Heading2"/>
        <w:rPr>
          <w:lang w:val="en-US"/>
        </w:rPr>
      </w:pPr>
      <w:r>
        <w:rPr>
          <w:lang w:val="en-US"/>
        </w:rPr>
        <w:t>Technical requirements</w:t>
      </w:r>
    </w:p>
    <w:p w14:paraId="2699D36B" w14:textId="385C4A49" w:rsidR="008978FC" w:rsidRPr="008978FC" w:rsidRDefault="00741ADB" w:rsidP="008978FC">
      <w:pPr>
        <w:rPr>
          <w:lang w:val="en-US"/>
        </w:rPr>
      </w:pPr>
      <w:r>
        <w:rPr>
          <w:lang w:val="en-US"/>
        </w:rPr>
        <w:t>The UE RF requirements are divided among those that are general</w:t>
      </w:r>
      <w:r w:rsidR="006B6A7B">
        <w:rPr>
          <w:lang w:val="en-US"/>
        </w:rPr>
        <w:t xml:space="preserve"> and those that are </w:t>
      </w:r>
      <w:proofErr w:type="gramStart"/>
      <w:r w:rsidR="006B6A7B">
        <w:rPr>
          <w:lang w:val="en-US"/>
        </w:rPr>
        <w:t>band-specific</w:t>
      </w:r>
      <w:proofErr w:type="gramEnd"/>
      <w:r w:rsidR="006B6A7B">
        <w:rPr>
          <w:lang w:val="en-US"/>
        </w:rPr>
        <w:t>.  The band specific requirements such as emission</w:t>
      </w:r>
      <w:r w:rsidR="00A22365">
        <w:rPr>
          <w:lang w:val="en-US"/>
        </w:rPr>
        <w:t xml:space="preserve">s or PFD are tied to regulations for a particular band and may be indicated by NS, particularly if the band might be used in different countries with different regulations.  It is suggested that Band n512 or </w:t>
      </w:r>
      <w:r w:rsidR="00A22365">
        <w:rPr>
          <w:lang w:val="en-US"/>
        </w:rPr>
        <w:lastRenderedPageBreak/>
        <w:t xml:space="preserve">in fact, any of the NTN bands may be defined </w:t>
      </w:r>
      <w:r w:rsidR="00F616D4">
        <w:rPr>
          <w:lang w:val="en-US"/>
        </w:rPr>
        <w:t>this way.  Moreover, NS requirements can be added</w:t>
      </w:r>
      <w:r w:rsidR="00683A6E">
        <w:rPr>
          <w:lang w:val="en-US"/>
        </w:rPr>
        <w:t xml:space="preserve"> after the initial band definition, though this may introduce compatibility challenges for legacy UE’s</w:t>
      </w:r>
      <w:r w:rsidR="00966DD0">
        <w:rPr>
          <w:lang w:val="en-US"/>
        </w:rPr>
        <w:t xml:space="preserve"> unable to be upgraded to support the new NS.  In addition to the band specific requirements, there are </w:t>
      </w:r>
      <w:proofErr w:type="gramStart"/>
      <w:r w:rsidR="00966DD0">
        <w:rPr>
          <w:lang w:val="en-US"/>
        </w:rPr>
        <w:t>a number of</w:t>
      </w:r>
      <w:proofErr w:type="gramEnd"/>
      <w:r w:rsidR="00966DD0">
        <w:rPr>
          <w:lang w:val="en-US"/>
        </w:rPr>
        <w:t xml:space="preserve"> general requirements that are independent of band.  In fact, </w:t>
      </w:r>
      <w:proofErr w:type="gramStart"/>
      <w:r w:rsidR="00966DD0">
        <w:rPr>
          <w:lang w:val="en-US"/>
        </w:rPr>
        <w:t>a majority of</w:t>
      </w:r>
      <w:proofErr w:type="gramEnd"/>
      <w:r w:rsidR="00966DD0">
        <w:rPr>
          <w:lang w:val="en-US"/>
        </w:rPr>
        <w:t xml:space="preserve"> the work for </w:t>
      </w:r>
      <w:r w:rsidR="001A5454">
        <w:rPr>
          <w:lang w:val="en-US"/>
        </w:rPr>
        <w:t xml:space="preserve">NTN enhancements may </w:t>
      </w:r>
      <w:r w:rsidR="00270779">
        <w:rPr>
          <w:lang w:val="en-US"/>
        </w:rPr>
        <w:t xml:space="preserve">be general in nature.  For example, </w:t>
      </w:r>
      <w:r w:rsidR="003848CD">
        <w:rPr>
          <w:lang w:val="en-US"/>
        </w:rPr>
        <w:t>assumptions and applicability of requirements for the UE was discussed in [</w:t>
      </w:r>
      <w:r w:rsidR="00B55E49">
        <w:rPr>
          <w:lang w:val="en-US"/>
        </w:rPr>
        <w:t>6</w:t>
      </w:r>
      <w:r w:rsidR="003848CD">
        <w:rPr>
          <w:lang w:val="en-US"/>
        </w:rPr>
        <w:t>] without much progress.  It is therefore suggested to focus on the general requirements rather than the band specific requirements of Bands n5</w:t>
      </w:r>
      <w:r w:rsidR="0069190B">
        <w:rPr>
          <w:lang w:val="en-US"/>
        </w:rPr>
        <w:t xml:space="preserve">12, n510, and n511.  It is likely that the general requirements are needed first to establish a baseline before the band specific requirements can be evaluated in earnest.  For example, without a common understanding of the UE architecture, filtering capability, </w:t>
      </w:r>
      <w:r w:rsidR="00FC4663">
        <w:rPr>
          <w:lang w:val="en-US"/>
        </w:rPr>
        <w:t xml:space="preserve">power class and output power, </w:t>
      </w:r>
      <w:r w:rsidR="00443001">
        <w:rPr>
          <w:lang w:val="en-US"/>
        </w:rPr>
        <w:t xml:space="preserve">spatial </w:t>
      </w:r>
      <w:r w:rsidR="00FC4663">
        <w:rPr>
          <w:lang w:val="en-US"/>
        </w:rPr>
        <w:t>directivity</w:t>
      </w:r>
      <w:r w:rsidR="0095234C">
        <w:rPr>
          <w:lang w:val="en-US"/>
        </w:rPr>
        <w:t>, tracking ability</w:t>
      </w:r>
      <w:r w:rsidR="00FC4663">
        <w:rPr>
          <w:lang w:val="en-US"/>
        </w:rPr>
        <w:t xml:space="preserve">, it is difficult to </w:t>
      </w:r>
      <w:r w:rsidR="00443001">
        <w:rPr>
          <w:lang w:val="en-US"/>
        </w:rPr>
        <w:t>embark on a meaningful study of emissions</w:t>
      </w:r>
      <w:r w:rsidR="0095234C">
        <w:rPr>
          <w:lang w:val="en-US"/>
        </w:rPr>
        <w:t xml:space="preserve"> and PFD for example.</w:t>
      </w:r>
    </w:p>
    <w:p w14:paraId="4E8FD875" w14:textId="289CFBDC" w:rsidR="009B144B" w:rsidRPr="009B144B" w:rsidRDefault="0095234C" w:rsidP="00BE4DBE">
      <w:pPr>
        <w:rPr>
          <w:b/>
          <w:bCs/>
          <w:lang w:val="en-US"/>
        </w:rPr>
      </w:pPr>
      <w:r>
        <w:rPr>
          <w:b/>
          <w:bCs/>
          <w:lang w:val="en-US"/>
        </w:rPr>
        <w:t>Proposal:  Focus on general requirements first before tackling the band specific requirements.</w:t>
      </w:r>
    </w:p>
    <w:p w14:paraId="3F8BEA58" w14:textId="6E8BC005" w:rsidR="009C37D0" w:rsidRDefault="00FA01C7" w:rsidP="009C37D0">
      <w:pPr>
        <w:pStyle w:val="Heading1"/>
        <w:tabs>
          <w:tab w:val="clear" w:pos="432"/>
          <w:tab w:val="num" w:pos="522"/>
        </w:tabs>
        <w:ind w:left="522" w:hanging="522"/>
        <w:rPr>
          <w:lang w:val="en-US"/>
        </w:rPr>
      </w:pPr>
      <w:r>
        <w:rPr>
          <w:lang w:val="en-US"/>
        </w:rPr>
        <w:t>Conclusion</w:t>
      </w:r>
    </w:p>
    <w:p w14:paraId="6ADE568C" w14:textId="6A30671B" w:rsidR="00B93B38" w:rsidRDefault="00B55E49" w:rsidP="00E63216">
      <w:pPr>
        <w:rPr>
          <w:lang w:val="en-US"/>
        </w:rPr>
      </w:pPr>
      <w:r>
        <w:rPr>
          <w:lang w:val="en-US"/>
        </w:rPr>
        <w:t xml:space="preserve">It is well understood that the Rel-18 NTN enhancements work item is large and requires a significant amount of technical work.  </w:t>
      </w:r>
      <w:r w:rsidR="00B93B38">
        <w:rPr>
          <w:lang w:val="en-US"/>
        </w:rPr>
        <w:t xml:space="preserve">The work plan is necessarily aggressive </w:t>
      </w:r>
      <w:proofErr w:type="gramStart"/>
      <w:r w:rsidR="00B93B38">
        <w:rPr>
          <w:lang w:val="en-US"/>
        </w:rPr>
        <w:t>in order to</w:t>
      </w:r>
      <w:proofErr w:type="gramEnd"/>
      <w:r w:rsidR="00B93B38">
        <w:rPr>
          <w:lang w:val="en-US"/>
        </w:rPr>
        <w:t xml:space="preserve"> meet the completion deadline of December 2023.  </w:t>
      </w:r>
      <w:r>
        <w:rPr>
          <w:lang w:val="en-US"/>
        </w:rPr>
        <w:t xml:space="preserve">Yet, most of the discussion so far has been centered around the details of a band plan in the Ka frequency range.  There are varying opinions on the exact band plan, for which country the band should be applicable, regulatory requirements, etc.  While these are certainly relevant and important aspects to be resolved, when taken in context of the entire work item, it is suggested that an example band plan is selected to offer the greatest flexibility and opportunity for deployment.  In that sense, it is further observed that the overlap with terrestrial band n261 may </w:t>
      </w:r>
      <w:proofErr w:type="gramStart"/>
      <w:r>
        <w:rPr>
          <w:lang w:val="en-US"/>
        </w:rPr>
        <w:t>actually represent</w:t>
      </w:r>
      <w:proofErr w:type="gramEnd"/>
      <w:r>
        <w:rPr>
          <w:lang w:val="en-US"/>
        </w:rPr>
        <w:t xml:space="preserve"> an opportunity that should not be precluded.  Hence, it is proposed that a single Ka band is defined as the example band in this work item consisting of the entire range 2</w:t>
      </w:r>
      <w:r w:rsidR="00EF73C2">
        <w:rPr>
          <w:lang w:val="en-US"/>
        </w:rPr>
        <w:t xml:space="preserve">7.5 – 30 GHz UL / </w:t>
      </w:r>
      <w:r w:rsidR="00904067">
        <w:rPr>
          <w:lang w:val="en-US"/>
        </w:rPr>
        <w:t>17.7 – 20.2 GHz DL</w:t>
      </w:r>
      <w:r w:rsidR="00B93B38">
        <w:rPr>
          <w:lang w:val="en-US"/>
        </w:rPr>
        <w:t>.  It is further proposed to de-emphasize the band specific aspects for the moment so that more attention can be applied to the general requirements.  Common assumptions and understanding on general aspects are likely needed before much progress can be made on band-specific requirements anyways.  In summary, the following observations and proposals have been presented with the aim to progress the work towards on-time completion</w:t>
      </w:r>
    </w:p>
    <w:p w14:paraId="0231913D" w14:textId="77777777" w:rsidR="00B93B38" w:rsidRPr="008978FC" w:rsidRDefault="00B93B38" w:rsidP="00B93B38">
      <w:pPr>
        <w:rPr>
          <w:b/>
          <w:bCs/>
          <w:lang w:val="en-US"/>
        </w:rPr>
      </w:pPr>
      <w:r w:rsidRPr="008978FC">
        <w:rPr>
          <w:b/>
          <w:bCs/>
          <w:lang w:val="en-US"/>
        </w:rPr>
        <w:t>Observation:  In order to meet the work plan and work item completion time, it is necessary to agree to the example band plan in this meeting.</w:t>
      </w:r>
    </w:p>
    <w:p w14:paraId="40701792" w14:textId="77777777" w:rsidR="00B93B38" w:rsidRDefault="00B93B38" w:rsidP="00E63216">
      <w:pPr>
        <w:rPr>
          <w:b/>
          <w:bCs/>
          <w:lang w:val="en-US"/>
        </w:rPr>
      </w:pPr>
      <w:r w:rsidRPr="009B144B">
        <w:rPr>
          <w:b/>
          <w:bCs/>
          <w:lang w:val="en-US"/>
        </w:rPr>
        <w:t xml:space="preserve">Observation:  NTN operation in the US in the frequency range from 27.5 – 28.35 GHz can be enabled by either Band n510 or Band n512.  Usage of Band n511 would exclude this range which may </w:t>
      </w:r>
      <w:r>
        <w:rPr>
          <w:b/>
          <w:bCs/>
          <w:lang w:val="en-US"/>
        </w:rPr>
        <w:t xml:space="preserve">then </w:t>
      </w:r>
      <w:r w:rsidRPr="009B144B">
        <w:rPr>
          <w:b/>
          <w:bCs/>
          <w:lang w:val="en-US"/>
        </w:rPr>
        <w:t>preclude possible deployment options even for US terrestrial operators</w:t>
      </w:r>
      <w:r>
        <w:rPr>
          <w:b/>
          <w:bCs/>
          <w:lang w:val="en-US"/>
        </w:rPr>
        <w:t xml:space="preserve"> and their partners</w:t>
      </w:r>
      <w:r w:rsidRPr="009B144B">
        <w:rPr>
          <w:b/>
          <w:bCs/>
          <w:lang w:val="en-US"/>
        </w:rPr>
        <w:t>.</w:t>
      </w:r>
    </w:p>
    <w:p w14:paraId="1F73B547" w14:textId="77777777" w:rsidR="00B93B38" w:rsidRDefault="00B93B38" w:rsidP="00B93B38">
      <w:pPr>
        <w:rPr>
          <w:b/>
          <w:bCs/>
          <w:lang w:val="en-US"/>
        </w:rPr>
      </w:pPr>
      <w:r w:rsidRPr="009B144B">
        <w:rPr>
          <w:b/>
          <w:bCs/>
          <w:lang w:val="en-US"/>
        </w:rPr>
        <w:t>Proposal:  Prioritize Band n512 in this work item.  Band n510 and n511 can be considered in this work item if time remains; otherwise, they can be proposed in a follow-on work item in a release independent manner.</w:t>
      </w:r>
    </w:p>
    <w:p w14:paraId="13071FF7" w14:textId="77777777" w:rsidR="00B93B38" w:rsidRPr="009B144B" w:rsidRDefault="00B93B38" w:rsidP="00B93B38">
      <w:pPr>
        <w:rPr>
          <w:b/>
          <w:bCs/>
          <w:lang w:val="en-US"/>
        </w:rPr>
      </w:pPr>
      <w:r>
        <w:rPr>
          <w:b/>
          <w:bCs/>
          <w:lang w:val="en-US"/>
        </w:rPr>
        <w:t>Proposal:  Focus on general requirements first before tackling the band specific requirements.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3146549" w14:textId="034CA6AB" w:rsidR="0022652A" w:rsidRDefault="00CC545A" w:rsidP="00D23312">
      <w:pPr>
        <w:numPr>
          <w:ilvl w:val="0"/>
          <w:numId w:val="2"/>
        </w:numPr>
        <w:tabs>
          <w:tab w:val="left" w:pos="1080"/>
        </w:tabs>
        <w:rPr>
          <w:lang w:val="en-US" w:eastAsia="x-none"/>
        </w:rPr>
      </w:pPr>
      <w:bookmarkStart w:id="1" w:name="_Hlk859252"/>
      <w:r>
        <w:rPr>
          <w:lang w:val="en-US" w:eastAsia="x-none"/>
        </w:rPr>
        <w:t>RP-22</w:t>
      </w:r>
      <w:r w:rsidR="0022652A">
        <w:rPr>
          <w:lang w:val="en-US" w:eastAsia="x-none"/>
        </w:rPr>
        <w:t>2654</w:t>
      </w:r>
      <w:r>
        <w:rPr>
          <w:lang w:val="en-US" w:eastAsia="x-none"/>
        </w:rPr>
        <w:t>, “</w:t>
      </w:r>
      <w:r w:rsidR="00783EE9" w:rsidRPr="00783EE9">
        <w:rPr>
          <w:lang w:val="en-US" w:eastAsia="x-none"/>
        </w:rPr>
        <w:t>Revised WID</w:t>
      </w:r>
      <w:r w:rsidR="0022652A">
        <w:rPr>
          <w:lang w:val="en-US" w:eastAsia="x-none"/>
        </w:rPr>
        <w:t>: NR NTN (Non-Terrestrial Networks) enhancements,” Thales</w:t>
      </w:r>
    </w:p>
    <w:p w14:paraId="4CA6741D" w14:textId="77777777" w:rsidR="003D1DB4" w:rsidRDefault="003D1DB4" w:rsidP="003D1DB4">
      <w:pPr>
        <w:numPr>
          <w:ilvl w:val="0"/>
          <w:numId w:val="2"/>
        </w:numPr>
        <w:tabs>
          <w:tab w:val="left" w:pos="1080"/>
        </w:tabs>
        <w:rPr>
          <w:lang w:val="en-US" w:eastAsia="x-none"/>
        </w:rPr>
      </w:pPr>
      <w:r>
        <w:rPr>
          <w:lang w:val="en-US" w:eastAsia="x-none"/>
        </w:rPr>
        <w:t>R4-2217507, “NR NTN enhancement workplan,” NTT DOCOMO, INC.</w:t>
      </w:r>
    </w:p>
    <w:p w14:paraId="2F7820B3" w14:textId="231C4531" w:rsidR="00CF513E" w:rsidRDefault="00481CB7" w:rsidP="00CF513E">
      <w:pPr>
        <w:numPr>
          <w:ilvl w:val="0"/>
          <w:numId w:val="2"/>
        </w:numPr>
        <w:tabs>
          <w:tab w:val="left" w:pos="1080"/>
        </w:tabs>
        <w:rPr>
          <w:lang w:val="en-US" w:eastAsia="x-none"/>
        </w:rPr>
      </w:pPr>
      <w:r>
        <w:rPr>
          <w:lang w:val="en-US" w:eastAsia="x-none"/>
        </w:rPr>
        <w:t>R4-2219076,” Ka-band satellite NTN band definition,” Inmarsat, Thales, Hughes/</w:t>
      </w:r>
      <w:proofErr w:type="spellStart"/>
      <w:r>
        <w:rPr>
          <w:lang w:val="en-US" w:eastAsia="x-none"/>
        </w:rPr>
        <w:t>Echostar</w:t>
      </w:r>
      <w:proofErr w:type="spellEnd"/>
      <w:r>
        <w:rPr>
          <w:lang w:val="en-US" w:eastAsia="x-none"/>
        </w:rPr>
        <w:t>, Lockheed Martin, ESA, Intelsat</w:t>
      </w:r>
    </w:p>
    <w:p w14:paraId="0E9736CE" w14:textId="43FCAF70" w:rsidR="00CF513E" w:rsidRPr="00CF513E" w:rsidRDefault="00CF513E" w:rsidP="00CF513E">
      <w:pPr>
        <w:numPr>
          <w:ilvl w:val="0"/>
          <w:numId w:val="2"/>
        </w:numPr>
        <w:tabs>
          <w:tab w:val="left" w:pos="1080"/>
        </w:tabs>
        <w:rPr>
          <w:lang w:val="en-US" w:eastAsia="x-none"/>
        </w:rPr>
      </w:pPr>
      <w:r>
        <w:rPr>
          <w:lang w:val="en-US" w:eastAsia="x-none"/>
        </w:rPr>
        <w:t>R4-2220239, “</w:t>
      </w:r>
      <w:r w:rsidR="00E6406D">
        <w:rPr>
          <w:lang w:val="en-US" w:eastAsia="x-none"/>
        </w:rPr>
        <w:t>WF for above 10GHz band definition and system parameters,” Moderator (THALES)</w:t>
      </w:r>
    </w:p>
    <w:p w14:paraId="088BD985" w14:textId="65AB8626" w:rsidR="00481CB7" w:rsidRDefault="00A26B10" w:rsidP="00D23312">
      <w:pPr>
        <w:numPr>
          <w:ilvl w:val="0"/>
          <w:numId w:val="2"/>
        </w:numPr>
        <w:tabs>
          <w:tab w:val="left" w:pos="1080"/>
        </w:tabs>
        <w:rPr>
          <w:lang w:val="en-US" w:eastAsia="x-none"/>
        </w:rPr>
      </w:pPr>
      <w:r>
        <w:rPr>
          <w:lang w:val="en-US" w:eastAsia="x-none"/>
        </w:rPr>
        <w:t>R4-2215775, “Utilization of frequency range 27.50-38.25GHz spectrum in the USA,” Verizon, T-Mobile USA</w:t>
      </w:r>
    </w:p>
    <w:p w14:paraId="00464ABB" w14:textId="1EB5A71A" w:rsidR="00B55E49" w:rsidRDefault="00B55E49" w:rsidP="00D23312">
      <w:pPr>
        <w:numPr>
          <w:ilvl w:val="0"/>
          <w:numId w:val="2"/>
        </w:numPr>
        <w:tabs>
          <w:tab w:val="left" w:pos="1080"/>
        </w:tabs>
        <w:rPr>
          <w:lang w:val="en-US" w:eastAsia="x-none"/>
        </w:rPr>
      </w:pPr>
      <w:r>
        <w:rPr>
          <w:lang w:val="en-US" w:eastAsia="x-none"/>
        </w:rPr>
        <w:t>R4-2216652, “Ka band UE RF requirements for NTN,” Qualcomm Incorporated</w:t>
      </w:r>
    </w:p>
    <w:p w14:paraId="370D264B" w14:textId="77CB69D2" w:rsidR="00E6406D" w:rsidRDefault="00E6406D" w:rsidP="00E6406D">
      <w:pPr>
        <w:tabs>
          <w:tab w:val="left" w:pos="1080"/>
        </w:tabs>
        <w:rPr>
          <w:lang w:val="en-US" w:eastAsia="x-none"/>
        </w:rPr>
      </w:pPr>
    </w:p>
    <w:bookmarkEnd w:id="1"/>
    <w:p w14:paraId="51A787E9" w14:textId="77777777" w:rsidR="00E6406D" w:rsidRDefault="00E6406D" w:rsidP="00E6406D">
      <w:pPr>
        <w:tabs>
          <w:tab w:val="left" w:pos="1080"/>
        </w:tabs>
        <w:rPr>
          <w:lang w:val="en-US" w:eastAsia="x-none"/>
        </w:rPr>
      </w:pPr>
    </w:p>
    <w:sectPr w:rsidR="00E6406D"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44176" w14:textId="77777777" w:rsidR="00D51125" w:rsidRDefault="00D51125">
      <w:r>
        <w:separator/>
      </w:r>
    </w:p>
  </w:endnote>
  <w:endnote w:type="continuationSeparator" w:id="0">
    <w:p w14:paraId="3854B234" w14:textId="77777777" w:rsidR="00D51125" w:rsidRDefault="00D5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F7E3" w14:textId="77777777" w:rsidR="00D51125" w:rsidRDefault="00D51125">
      <w:r>
        <w:separator/>
      </w:r>
    </w:p>
  </w:footnote>
  <w:footnote w:type="continuationSeparator" w:id="0">
    <w:p w14:paraId="2407DF24" w14:textId="77777777" w:rsidR="00D51125" w:rsidRDefault="00D51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276A24"/>
    <w:multiLevelType w:val="hybridMultilevel"/>
    <w:tmpl w:val="7F5EAD98"/>
    <w:lvl w:ilvl="0" w:tplc="0406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282A1D"/>
    <w:multiLevelType w:val="hybridMultilevel"/>
    <w:tmpl w:val="0A6046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9731168"/>
    <w:multiLevelType w:val="hybridMultilevel"/>
    <w:tmpl w:val="7504A6C8"/>
    <w:lvl w:ilvl="0" w:tplc="D5B8828A">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4"/>
  </w:num>
  <w:num w:numId="2" w16cid:durableId="513963709">
    <w:abstractNumId w:val="7"/>
  </w:num>
  <w:num w:numId="3" w16cid:durableId="30959319">
    <w:abstractNumId w:val="10"/>
  </w:num>
  <w:num w:numId="4" w16cid:durableId="1579515455">
    <w:abstractNumId w:val="13"/>
  </w:num>
  <w:num w:numId="5" w16cid:durableId="1213884486">
    <w:abstractNumId w:val="6"/>
  </w:num>
  <w:num w:numId="6" w16cid:durableId="895549640">
    <w:abstractNumId w:val="2"/>
  </w:num>
  <w:num w:numId="7" w16cid:durableId="1494643654">
    <w:abstractNumId w:val="0"/>
  </w:num>
  <w:num w:numId="8" w16cid:durableId="1777947175">
    <w:abstractNumId w:val="9"/>
  </w:num>
  <w:num w:numId="9" w16cid:durableId="461308997">
    <w:abstractNumId w:val="3"/>
  </w:num>
  <w:num w:numId="10" w16cid:durableId="1624651259">
    <w:abstractNumId w:val="5"/>
  </w:num>
  <w:num w:numId="11" w16cid:durableId="1362783709">
    <w:abstractNumId w:val="14"/>
  </w:num>
  <w:num w:numId="12" w16cid:durableId="1425344883">
    <w:abstractNumId w:val="1"/>
  </w:num>
  <w:num w:numId="13" w16cid:durableId="870341195">
    <w:abstractNumId w:val="12"/>
  </w:num>
  <w:num w:numId="14" w16cid:durableId="622883943">
    <w:abstractNumId w:val="8"/>
  </w:num>
  <w:num w:numId="15" w16cid:durableId="96299914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5EB1"/>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94C"/>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71C"/>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7F8"/>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1A58"/>
    <w:rsid w:val="00092321"/>
    <w:rsid w:val="00092919"/>
    <w:rsid w:val="00092A61"/>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C11"/>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B7F79"/>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687"/>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6FCB"/>
    <w:rsid w:val="000E7110"/>
    <w:rsid w:val="000E7250"/>
    <w:rsid w:val="000E791F"/>
    <w:rsid w:val="000E7A46"/>
    <w:rsid w:val="000E7BD3"/>
    <w:rsid w:val="000F0E0B"/>
    <w:rsid w:val="000F0FD2"/>
    <w:rsid w:val="000F120F"/>
    <w:rsid w:val="000F1DA5"/>
    <w:rsid w:val="000F267E"/>
    <w:rsid w:val="000F2C1B"/>
    <w:rsid w:val="000F323B"/>
    <w:rsid w:val="000F41E3"/>
    <w:rsid w:val="000F5297"/>
    <w:rsid w:val="000F5357"/>
    <w:rsid w:val="000F5A74"/>
    <w:rsid w:val="000F5EAE"/>
    <w:rsid w:val="000F5EE1"/>
    <w:rsid w:val="000F6250"/>
    <w:rsid w:val="000F685C"/>
    <w:rsid w:val="000F711D"/>
    <w:rsid w:val="000F7167"/>
    <w:rsid w:val="000F735E"/>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52"/>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C27"/>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805"/>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573"/>
    <w:rsid w:val="00170B48"/>
    <w:rsid w:val="00170C0A"/>
    <w:rsid w:val="00170FF5"/>
    <w:rsid w:val="00171233"/>
    <w:rsid w:val="001715F5"/>
    <w:rsid w:val="00171629"/>
    <w:rsid w:val="00171D36"/>
    <w:rsid w:val="001721D1"/>
    <w:rsid w:val="0017224D"/>
    <w:rsid w:val="001728C4"/>
    <w:rsid w:val="00172D5B"/>
    <w:rsid w:val="001731C4"/>
    <w:rsid w:val="0017355B"/>
    <w:rsid w:val="001735A3"/>
    <w:rsid w:val="001739BE"/>
    <w:rsid w:val="00173B56"/>
    <w:rsid w:val="00173D74"/>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5E0"/>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454"/>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BD7"/>
    <w:rsid w:val="001E4C42"/>
    <w:rsid w:val="001E5785"/>
    <w:rsid w:val="001E57E7"/>
    <w:rsid w:val="001E584A"/>
    <w:rsid w:val="001E5A46"/>
    <w:rsid w:val="001E5D8B"/>
    <w:rsid w:val="001E61F1"/>
    <w:rsid w:val="001E682F"/>
    <w:rsid w:val="001E6CA2"/>
    <w:rsid w:val="001E73A7"/>
    <w:rsid w:val="001E77A7"/>
    <w:rsid w:val="001E7909"/>
    <w:rsid w:val="001E79F0"/>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6EA1"/>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0EBB"/>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652A"/>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5EA"/>
    <w:rsid w:val="00237E42"/>
    <w:rsid w:val="0024005F"/>
    <w:rsid w:val="00240974"/>
    <w:rsid w:val="00240D6A"/>
    <w:rsid w:val="002411DB"/>
    <w:rsid w:val="002418D1"/>
    <w:rsid w:val="002420FA"/>
    <w:rsid w:val="00242294"/>
    <w:rsid w:val="0024341E"/>
    <w:rsid w:val="002440DE"/>
    <w:rsid w:val="0024423D"/>
    <w:rsid w:val="0024432E"/>
    <w:rsid w:val="00244AD5"/>
    <w:rsid w:val="00244B58"/>
    <w:rsid w:val="00244CE5"/>
    <w:rsid w:val="00244E0D"/>
    <w:rsid w:val="00244EC5"/>
    <w:rsid w:val="00245579"/>
    <w:rsid w:val="002455BE"/>
    <w:rsid w:val="00245E6F"/>
    <w:rsid w:val="002460C4"/>
    <w:rsid w:val="002461C3"/>
    <w:rsid w:val="0024695A"/>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138"/>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3A6"/>
    <w:rsid w:val="002647D1"/>
    <w:rsid w:val="00265201"/>
    <w:rsid w:val="002658E7"/>
    <w:rsid w:val="00265E11"/>
    <w:rsid w:val="00265EC8"/>
    <w:rsid w:val="00266622"/>
    <w:rsid w:val="00266B5B"/>
    <w:rsid w:val="00266E01"/>
    <w:rsid w:val="00266EB5"/>
    <w:rsid w:val="00266FA5"/>
    <w:rsid w:val="00267702"/>
    <w:rsid w:val="00267985"/>
    <w:rsid w:val="00267D26"/>
    <w:rsid w:val="00267E4B"/>
    <w:rsid w:val="002701B7"/>
    <w:rsid w:val="00270779"/>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BAB"/>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AA4"/>
    <w:rsid w:val="00300F5D"/>
    <w:rsid w:val="0030159D"/>
    <w:rsid w:val="003017E1"/>
    <w:rsid w:val="00301EFA"/>
    <w:rsid w:val="0030226D"/>
    <w:rsid w:val="003023C5"/>
    <w:rsid w:val="003028F2"/>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8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795"/>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1BB"/>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A4B"/>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22A"/>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89"/>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48CD"/>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DB4"/>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520"/>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6B6C"/>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9D3"/>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001"/>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CB7"/>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5F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97FEC"/>
    <w:rsid w:val="004A038E"/>
    <w:rsid w:val="004A09E8"/>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399"/>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D76"/>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E3D"/>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17F8B"/>
    <w:rsid w:val="00520EBC"/>
    <w:rsid w:val="00521297"/>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D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1D5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119"/>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13F"/>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8D8"/>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8E4"/>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94C"/>
    <w:rsid w:val="00634B97"/>
    <w:rsid w:val="00634C5F"/>
    <w:rsid w:val="00635189"/>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D15"/>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463"/>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A6E"/>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190B"/>
    <w:rsid w:val="0069257A"/>
    <w:rsid w:val="00692CDE"/>
    <w:rsid w:val="0069325E"/>
    <w:rsid w:val="006937D5"/>
    <w:rsid w:val="0069399C"/>
    <w:rsid w:val="00693B21"/>
    <w:rsid w:val="006941B3"/>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A7B"/>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65F"/>
    <w:rsid w:val="006E6FE5"/>
    <w:rsid w:val="006E7595"/>
    <w:rsid w:val="006E778F"/>
    <w:rsid w:val="006E7859"/>
    <w:rsid w:val="006F0329"/>
    <w:rsid w:val="006F0ACE"/>
    <w:rsid w:val="006F1573"/>
    <w:rsid w:val="006F1BAC"/>
    <w:rsid w:val="006F1CD3"/>
    <w:rsid w:val="006F1EF9"/>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1ADB"/>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967"/>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66D"/>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6916"/>
    <w:rsid w:val="007B70BE"/>
    <w:rsid w:val="007B73F0"/>
    <w:rsid w:val="007B757A"/>
    <w:rsid w:val="007B7E88"/>
    <w:rsid w:val="007C01B6"/>
    <w:rsid w:val="007C1173"/>
    <w:rsid w:val="007C118E"/>
    <w:rsid w:val="007C18C2"/>
    <w:rsid w:val="007C2CC9"/>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500"/>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2E"/>
    <w:rsid w:val="00896EB8"/>
    <w:rsid w:val="008978FC"/>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5FC1"/>
    <w:rsid w:val="008A78BC"/>
    <w:rsid w:val="008A7C55"/>
    <w:rsid w:val="008A7D0D"/>
    <w:rsid w:val="008A7E32"/>
    <w:rsid w:val="008A7E55"/>
    <w:rsid w:val="008B004E"/>
    <w:rsid w:val="008B00E3"/>
    <w:rsid w:val="008B0420"/>
    <w:rsid w:val="008B0F95"/>
    <w:rsid w:val="008B113E"/>
    <w:rsid w:val="008B12D6"/>
    <w:rsid w:val="008B13DF"/>
    <w:rsid w:val="008B1C49"/>
    <w:rsid w:val="008B1ED0"/>
    <w:rsid w:val="008B2F7E"/>
    <w:rsid w:val="008B302F"/>
    <w:rsid w:val="008B3129"/>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7D2"/>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693"/>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99C"/>
    <w:rsid w:val="008E5E18"/>
    <w:rsid w:val="008E65C8"/>
    <w:rsid w:val="008E666A"/>
    <w:rsid w:val="008E7187"/>
    <w:rsid w:val="008E72F3"/>
    <w:rsid w:val="008E73AB"/>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067"/>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B9"/>
    <w:rsid w:val="009451EC"/>
    <w:rsid w:val="0094522B"/>
    <w:rsid w:val="00945ECD"/>
    <w:rsid w:val="0094654A"/>
    <w:rsid w:val="00946558"/>
    <w:rsid w:val="00946572"/>
    <w:rsid w:val="00946BBA"/>
    <w:rsid w:val="00946FAD"/>
    <w:rsid w:val="009470D1"/>
    <w:rsid w:val="00947582"/>
    <w:rsid w:val="009479C4"/>
    <w:rsid w:val="00947CE3"/>
    <w:rsid w:val="00947DC5"/>
    <w:rsid w:val="00947FA3"/>
    <w:rsid w:val="00950649"/>
    <w:rsid w:val="00950813"/>
    <w:rsid w:val="0095192B"/>
    <w:rsid w:val="0095234C"/>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6DD0"/>
    <w:rsid w:val="0096751F"/>
    <w:rsid w:val="0096766A"/>
    <w:rsid w:val="00967C77"/>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3F40"/>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BE2"/>
    <w:rsid w:val="00995415"/>
    <w:rsid w:val="00995725"/>
    <w:rsid w:val="00995C7C"/>
    <w:rsid w:val="00995E47"/>
    <w:rsid w:val="00996BE5"/>
    <w:rsid w:val="00996F50"/>
    <w:rsid w:val="0099726B"/>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4B"/>
    <w:rsid w:val="009B1475"/>
    <w:rsid w:val="009B15FC"/>
    <w:rsid w:val="009B17EC"/>
    <w:rsid w:val="009B1B5B"/>
    <w:rsid w:val="009B23DD"/>
    <w:rsid w:val="009B27D6"/>
    <w:rsid w:val="009B2851"/>
    <w:rsid w:val="009B2DD8"/>
    <w:rsid w:val="009B34FE"/>
    <w:rsid w:val="009B3CD8"/>
    <w:rsid w:val="009B45EB"/>
    <w:rsid w:val="009B4B74"/>
    <w:rsid w:val="009B5489"/>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D91"/>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5A"/>
    <w:rsid w:val="00A21BE5"/>
    <w:rsid w:val="00A21D62"/>
    <w:rsid w:val="00A21EEF"/>
    <w:rsid w:val="00A22365"/>
    <w:rsid w:val="00A2240D"/>
    <w:rsid w:val="00A22602"/>
    <w:rsid w:val="00A22648"/>
    <w:rsid w:val="00A2279B"/>
    <w:rsid w:val="00A227A2"/>
    <w:rsid w:val="00A22D89"/>
    <w:rsid w:val="00A22D92"/>
    <w:rsid w:val="00A2329C"/>
    <w:rsid w:val="00A2357A"/>
    <w:rsid w:val="00A235BD"/>
    <w:rsid w:val="00A2398A"/>
    <w:rsid w:val="00A23D27"/>
    <w:rsid w:val="00A23D86"/>
    <w:rsid w:val="00A23EB5"/>
    <w:rsid w:val="00A24673"/>
    <w:rsid w:val="00A24918"/>
    <w:rsid w:val="00A24A88"/>
    <w:rsid w:val="00A25CB6"/>
    <w:rsid w:val="00A262F3"/>
    <w:rsid w:val="00A26B10"/>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6C1"/>
    <w:rsid w:val="00A32991"/>
    <w:rsid w:val="00A32BA8"/>
    <w:rsid w:val="00A33121"/>
    <w:rsid w:val="00A334FF"/>
    <w:rsid w:val="00A33B13"/>
    <w:rsid w:val="00A34135"/>
    <w:rsid w:val="00A34CF3"/>
    <w:rsid w:val="00A35A04"/>
    <w:rsid w:val="00A35CE3"/>
    <w:rsid w:val="00A364D0"/>
    <w:rsid w:val="00A364F4"/>
    <w:rsid w:val="00A366FB"/>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927"/>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17C"/>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2B74"/>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74B"/>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1FC"/>
    <w:rsid w:val="00AD16C5"/>
    <w:rsid w:val="00AD2408"/>
    <w:rsid w:val="00AD2DF4"/>
    <w:rsid w:val="00AD3125"/>
    <w:rsid w:val="00AD3549"/>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331"/>
    <w:rsid w:val="00AF56DB"/>
    <w:rsid w:val="00AF5718"/>
    <w:rsid w:val="00AF595A"/>
    <w:rsid w:val="00AF5B8D"/>
    <w:rsid w:val="00AF5D37"/>
    <w:rsid w:val="00AF66EB"/>
    <w:rsid w:val="00AF6B61"/>
    <w:rsid w:val="00AF6CB1"/>
    <w:rsid w:val="00AF7872"/>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E49"/>
    <w:rsid w:val="00B55FA0"/>
    <w:rsid w:val="00B56138"/>
    <w:rsid w:val="00B56233"/>
    <w:rsid w:val="00B570AE"/>
    <w:rsid w:val="00B57C8E"/>
    <w:rsid w:val="00B6022D"/>
    <w:rsid w:val="00B60432"/>
    <w:rsid w:val="00B61108"/>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B38"/>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EBF"/>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4DBE"/>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17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26"/>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6243"/>
    <w:rsid w:val="00C364C3"/>
    <w:rsid w:val="00C36609"/>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0D5F"/>
    <w:rsid w:val="00C517EC"/>
    <w:rsid w:val="00C51949"/>
    <w:rsid w:val="00C51D53"/>
    <w:rsid w:val="00C52110"/>
    <w:rsid w:val="00C5244E"/>
    <w:rsid w:val="00C524A8"/>
    <w:rsid w:val="00C52ABA"/>
    <w:rsid w:val="00C52CCA"/>
    <w:rsid w:val="00C53F64"/>
    <w:rsid w:val="00C53F79"/>
    <w:rsid w:val="00C540D6"/>
    <w:rsid w:val="00C541D2"/>
    <w:rsid w:val="00C541EE"/>
    <w:rsid w:val="00C542BF"/>
    <w:rsid w:val="00C542DD"/>
    <w:rsid w:val="00C545CB"/>
    <w:rsid w:val="00C54616"/>
    <w:rsid w:val="00C546CB"/>
    <w:rsid w:val="00C5497A"/>
    <w:rsid w:val="00C54A27"/>
    <w:rsid w:val="00C54BE1"/>
    <w:rsid w:val="00C5555C"/>
    <w:rsid w:val="00C55E50"/>
    <w:rsid w:val="00C56370"/>
    <w:rsid w:val="00C567A9"/>
    <w:rsid w:val="00C57176"/>
    <w:rsid w:val="00C571F6"/>
    <w:rsid w:val="00C57239"/>
    <w:rsid w:val="00C573EE"/>
    <w:rsid w:val="00C5751B"/>
    <w:rsid w:val="00C60AA5"/>
    <w:rsid w:val="00C60DE1"/>
    <w:rsid w:val="00C60E39"/>
    <w:rsid w:val="00C6124F"/>
    <w:rsid w:val="00C61595"/>
    <w:rsid w:val="00C615C8"/>
    <w:rsid w:val="00C61B32"/>
    <w:rsid w:val="00C61C04"/>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5D4"/>
    <w:rsid w:val="00C917DF"/>
    <w:rsid w:val="00C91AE1"/>
    <w:rsid w:val="00C91BF4"/>
    <w:rsid w:val="00C91C84"/>
    <w:rsid w:val="00C91EA3"/>
    <w:rsid w:val="00C9278A"/>
    <w:rsid w:val="00C93479"/>
    <w:rsid w:val="00C93E4C"/>
    <w:rsid w:val="00C94430"/>
    <w:rsid w:val="00C94DC8"/>
    <w:rsid w:val="00C94E77"/>
    <w:rsid w:val="00C95134"/>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8A"/>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0C"/>
    <w:rsid w:val="00CB44A9"/>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815"/>
    <w:rsid w:val="00CF3BA8"/>
    <w:rsid w:val="00CF438D"/>
    <w:rsid w:val="00CF4485"/>
    <w:rsid w:val="00CF46FD"/>
    <w:rsid w:val="00CF4BAE"/>
    <w:rsid w:val="00CF4C82"/>
    <w:rsid w:val="00CF513E"/>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873"/>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3DE4"/>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C5E"/>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125"/>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26D0"/>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119"/>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499"/>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6DEA"/>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56"/>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6BB1"/>
    <w:rsid w:val="00E070DE"/>
    <w:rsid w:val="00E075F2"/>
    <w:rsid w:val="00E07D4F"/>
    <w:rsid w:val="00E07E56"/>
    <w:rsid w:val="00E104E8"/>
    <w:rsid w:val="00E10636"/>
    <w:rsid w:val="00E10A17"/>
    <w:rsid w:val="00E111DD"/>
    <w:rsid w:val="00E11966"/>
    <w:rsid w:val="00E11AC1"/>
    <w:rsid w:val="00E12206"/>
    <w:rsid w:val="00E122E8"/>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681"/>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C12"/>
    <w:rsid w:val="00E57E72"/>
    <w:rsid w:val="00E6010E"/>
    <w:rsid w:val="00E602B8"/>
    <w:rsid w:val="00E60952"/>
    <w:rsid w:val="00E611E0"/>
    <w:rsid w:val="00E614EE"/>
    <w:rsid w:val="00E6175A"/>
    <w:rsid w:val="00E61828"/>
    <w:rsid w:val="00E622A2"/>
    <w:rsid w:val="00E62DCC"/>
    <w:rsid w:val="00E62EEA"/>
    <w:rsid w:val="00E63216"/>
    <w:rsid w:val="00E6342D"/>
    <w:rsid w:val="00E636C7"/>
    <w:rsid w:val="00E63933"/>
    <w:rsid w:val="00E63B0D"/>
    <w:rsid w:val="00E63F08"/>
    <w:rsid w:val="00E6406D"/>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AA2"/>
    <w:rsid w:val="00E72BCF"/>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180"/>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629"/>
    <w:rsid w:val="00EC4704"/>
    <w:rsid w:val="00EC4B14"/>
    <w:rsid w:val="00EC4DF0"/>
    <w:rsid w:val="00EC5024"/>
    <w:rsid w:val="00EC55D6"/>
    <w:rsid w:val="00EC5BCB"/>
    <w:rsid w:val="00EC639B"/>
    <w:rsid w:val="00EC6447"/>
    <w:rsid w:val="00EC6A59"/>
    <w:rsid w:val="00EC6C7C"/>
    <w:rsid w:val="00EC6F34"/>
    <w:rsid w:val="00EC7302"/>
    <w:rsid w:val="00EC73C4"/>
    <w:rsid w:val="00EC797C"/>
    <w:rsid w:val="00EC7FFD"/>
    <w:rsid w:val="00ED00CF"/>
    <w:rsid w:val="00ED01F4"/>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1D4A"/>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3C2"/>
    <w:rsid w:val="00EF74F9"/>
    <w:rsid w:val="00EF75AD"/>
    <w:rsid w:val="00EF7C60"/>
    <w:rsid w:val="00F002E7"/>
    <w:rsid w:val="00F00AED"/>
    <w:rsid w:val="00F00C6A"/>
    <w:rsid w:val="00F00CB7"/>
    <w:rsid w:val="00F00F67"/>
    <w:rsid w:val="00F01AFB"/>
    <w:rsid w:val="00F01E60"/>
    <w:rsid w:val="00F023E8"/>
    <w:rsid w:val="00F02502"/>
    <w:rsid w:val="00F02647"/>
    <w:rsid w:val="00F02CCE"/>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0D8"/>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567"/>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11A"/>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B9"/>
    <w:rsid w:val="00F574CA"/>
    <w:rsid w:val="00F5758C"/>
    <w:rsid w:val="00F577C7"/>
    <w:rsid w:val="00F57804"/>
    <w:rsid w:val="00F57822"/>
    <w:rsid w:val="00F60331"/>
    <w:rsid w:val="00F6039D"/>
    <w:rsid w:val="00F609D9"/>
    <w:rsid w:val="00F60A94"/>
    <w:rsid w:val="00F6167A"/>
    <w:rsid w:val="00F616D4"/>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4E7D"/>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63"/>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486"/>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5</Pages>
  <Words>2108</Words>
  <Characters>12019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2023-02-17T22:26:00Z</dcterms:created>
  <dcterms:modified xsi:type="dcterms:W3CDTF">2023-02-17T22:26:00Z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