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761AB849"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w:t>
      </w:r>
      <w:r w:rsidR="00CE1FA4">
        <w:rPr>
          <w:b/>
          <w:noProof/>
          <w:sz w:val="24"/>
        </w:rPr>
        <w:t>N</w:t>
      </w:r>
      <w:r w:rsidR="006C123A">
        <w:rPr>
          <w:b/>
          <w:noProof/>
          <w:sz w:val="24"/>
        </w:rPr>
        <w:t>4</w:t>
      </w:r>
      <w:r w:rsidR="0080320A">
        <w:rPr>
          <w:b/>
          <w:noProof/>
          <w:sz w:val="24"/>
        </w:rPr>
        <w:t xml:space="preserve"> </w:t>
      </w:r>
      <w:r w:rsidR="00DC5180" w:rsidRPr="0033027D">
        <w:rPr>
          <w:b/>
          <w:noProof/>
          <w:sz w:val="24"/>
        </w:rPr>
        <w:t>Meeting</w:t>
      </w:r>
      <w:r w:rsidR="007B605F">
        <w:rPr>
          <w:b/>
          <w:noProof/>
          <w:sz w:val="24"/>
        </w:rPr>
        <w:t xml:space="preserve"> #</w:t>
      </w:r>
      <w:bookmarkEnd w:id="0"/>
      <w:r w:rsidR="001614BB">
        <w:rPr>
          <w:b/>
          <w:noProof/>
          <w:sz w:val="24"/>
        </w:rPr>
        <w:t>10</w:t>
      </w:r>
      <w:r w:rsidR="00C23D5B">
        <w:rPr>
          <w:b/>
          <w:noProof/>
          <w:sz w:val="24"/>
        </w:rPr>
        <w:t>6</w:t>
      </w:r>
      <w:r w:rsidR="00DC5180" w:rsidRPr="0033027D">
        <w:rPr>
          <w:b/>
          <w:noProof/>
          <w:sz w:val="24"/>
        </w:rPr>
        <w:tab/>
      </w:r>
      <w:r w:rsidR="005A1630" w:rsidRPr="005A1630">
        <w:rPr>
          <w:b/>
          <w:noProof/>
          <w:sz w:val="24"/>
        </w:rPr>
        <w:t>R4-2</w:t>
      </w:r>
      <w:r w:rsidR="00516CF9">
        <w:rPr>
          <w:b/>
          <w:noProof/>
          <w:sz w:val="24"/>
        </w:rPr>
        <w:t>300382</w:t>
      </w:r>
    </w:p>
    <w:p w14:paraId="63C63B34" w14:textId="031249BA" w:rsidR="001512D7" w:rsidRPr="0010618D" w:rsidRDefault="00C23D5B" w:rsidP="00DC5180">
      <w:pPr>
        <w:spacing w:after="60"/>
        <w:ind w:left="1985" w:hanging="1985"/>
        <w:rPr>
          <w:rFonts w:ascii="Arial" w:hAnsi="Arial" w:cs="Arial"/>
          <w:bCs/>
        </w:rPr>
      </w:pPr>
      <w:r>
        <w:rPr>
          <w:rFonts w:ascii="Arial" w:hAnsi="Arial" w:cs="Arial"/>
          <w:b/>
          <w:sz w:val="24"/>
        </w:rPr>
        <w:t>Athens</w:t>
      </w:r>
      <w:r w:rsidR="002C1EAE">
        <w:rPr>
          <w:rFonts w:ascii="Arial" w:hAnsi="Arial" w:cs="Arial"/>
          <w:b/>
          <w:sz w:val="24"/>
        </w:rPr>
        <w:t xml:space="preserve">, </w:t>
      </w:r>
      <w:r>
        <w:rPr>
          <w:rFonts w:ascii="Arial" w:hAnsi="Arial" w:cs="Arial"/>
          <w:b/>
          <w:sz w:val="24"/>
        </w:rPr>
        <w:t>Greece</w:t>
      </w:r>
      <w:r w:rsidR="002C1EAE">
        <w:rPr>
          <w:rFonts w:ascii="Arial" w:hAnsi="Arial" w:cs="Arial"/>
          <w:b/>
          <w:sz w:val="24"/>
        </w:rPr>
        <w:t xml:space="preserve">, </w:t>
      </w:r>
      <w:r w:rsidR="00357699">
        <w:rPr>
          <w:rFonts w:ascii="Arial" w:hAnsi="Arial" w:cs="Arial"/>
          <w:b/>
          <w:sz w:val="24"/>
        </w:rPr>
        <w:t>Februar</w:t>
      </w:r>
      <w:r w:rsidR="00D977D4">
        <w:rPr>
          <w:rFonts w:ascii="Arial" w:hAnsi="Arial" w:cs="Arial"/>
          <w:b/>
          <w:sz w:val="24"/>
        </w:rPr>
        <w:t>y</w:t>
      </w:r>
      <w:r w:rsidR="001614BB">
        <w:rPr>
          <w:rFonts w:ascii="Arial" w:hAnsi="Arial" w:cs="Arial"/>
          <w:b/>
          <w:sz w:val="24"/>
        </w:rPr>
        <w:t xml:space="preserve"> </w:t>
      </w:r>
      <w:r w:rsidR="00766B19" w:rsidRPr="00766B19">
        <w:rPr>
          <w:rFonts w:ascii="Arial" w:hAnsi="Arial" w:cs="Arial"/>
          <w:b/>
          <w:sz w:val="24"/>
        </w:rPr>
        <w:t>202</w:t>
      </w:r>
      <w:r>
        <w:rPr>
          <w:rFonts w:ascii="Arial" w:hAnsi="Arial" w:cs="Arial"/>
          <w:b/>
          <w:sz w:val="24"/>
        </w:rPr>
        <w:t>3</w:t>
      </w:r>
      <w:r w:rsidR="00766B19">
        <w:rPr>
          <w:rFonts w:ascii="Arial" w:hAnsi="Arial" w:cs="Arial"/>
          <w:b/>
          <w:sz w:val="24"/>
        </w:rPr>
        <w:br/>
      </w:r>
    </w:p>
    <w:p w14:paraId="46DA2A95" w14:textId="35EB7DB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D6A2A">
        <w:rPr>
          <w:rFonts w:ascii="Arial" w:hAnsi="Arial" w:cs="Arial"/>
          <w:b/>
        </w:rPr>
        <w:t>UE RF</w:t>
      </w:r>
      <w:r w:rsidR="002815EC" w:rsidRPr="002815EC">
        <w:rPr>
          <w:rFonts w:ascii="Arial" w:hAnsi="Arial" w:cs="Arial"/>
          <w:b/>
        </w:rPr>
        <w:t xml:space="preserve"> requirements for 5G terrestrial broadcast</w:t>
      </w:r>
    </w:p>
    <w:p w14:paraId="3AA07729" w14:textId="77777777" w:rsidR="0010618D" w:rsidRPr="005E4466" w:rsidRDefault="0010618D" w:rsidP="0010618D">
      <w:pPr>
        <w:spacing w:after="60"/>
        <w:ind w:left="1985" w:hanging="1985"/>
        <w:rPr>
          <w:rFonts w:ascii="Arial" w:hAnsi="Arial" w:cs="Arial"/>
          <w:b/>
        </w:rPr>
      </w:pPr>
    </w:p>
    <w:p w14:paraId="3908425A" w14:textId="450BA0C5"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9C3810">
        <w:rPr>
          <w:rFonts w:ascii="Arial" w:hAnsi="Arial" w:cs="Arial"/>
          <w:b/>
        </w:rPr>
        <w:t>SWR</w:t>
      </w:r>
    </w:p>
    <w:p w14:paraId="0CE6441A" w14:textId="77777777" w:rsidR="0010618D" w:rsidRPr="005E4466" w:rsidRDefault="0010618D" w:rsidP="000F7ECB">
      <w:pPr>
        <w:spacing w:after="60"/>
        <w:ind w:left="1985" w:hanging="1985"/>
        <w:rPr>
          <w:rFonts w:ascii="Arial" w:hAnsi="Arial" w:cs="Arial"/>
          <w:b/>
        </w:rPr>
      </w:pPr>
    </w:p>
    <w:p w14:paraId="78CF3EE8" w14:textId="64C900F4"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16CF9">
        <w:rPr>
          <w:rFonts w:ascii="Arial" w:hAnsi="Arial" w:cs="Arial"/>
          <w:b/>
        </w:rPr>
        <w:t>10.3.3</w:t>
      </w:r>
    </w:p>
    <w:p w14:paraId="41AD4397" w14:textId="460C7D48"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17059D">
        <w:rPr>
          <w:rFonts w:ascii="Arial" w:hAnsi="Arial" w:cs="Arial"/>
          <w:b/>
        </w:rPr>
        <w:t>8</w:t>
      </w:r>
    </w:p>
    <w:p w14:paraId="682F116A" w14:textId="6811E1C7" w:rsidR="00E66463" w:rsidRDefault="00E66463" w:rsidP="0010618D">
      <w:pPr>
        <w:spacing w:after="60"/>
        <w:ind w:left="1985" w:hanging="1985"/>
        <w:rPr>
          <w:rFonts w:ascii="Arial" w:hAnsi="Arial" w:cs="Arial"/>
          <w:b/>
        </w:rPr>
      </w:pPr>
      <w:r>
        <w:rPr>
          <w:rFonts w:ascii="Arial" w:hAnsi="Arial" w:cs="Arial"/>
          <w:b/>
        </w:rPr>
        <w:t xml:space="preserve">WI: </w:t>
      </w:r>
      <w:r>
        <w:rPr>
          <w:rFonts w:ascii="Arial" w:hAnsi="Arial" w:cs="Arial"/>
          <w:b/>
        </w:rPr>
        <w:tab/>
      </w:r>
      <w:r w:rsidR="00420BF9" w:rsidRPr="00420BF9">
        <w:rPr>
          <w:rFonts w:ascii="Arial" w:hAnsi="Arial" w:cs="Arial"/>
          <w:b/>
        </w:rPr>
        <w:t>LTE_terr_bcast_bands_part2-Core</w:t>
      </w:r>
    </w:p>
    <w:p w14:paraId="3EDAE914" w14:textId="405B8E9F"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t>RAN1</w:t>
      </w:r>
    </w:p>
    <w:p w14:paraId="73CE2741" w14:textId="77777777" w:rsidR="0010618D" w:rsidRPr="005E4466" w:rsidRDefault="0010618D" w:rsidP="000F7ECB">
      <w:pPr>
        <w:spacing w:after="60"/>
        <w:ind w:left="1985" w:hanging="1985"/>
        <w:rPr>
          <w:rFonts w:ascii="Arial" w:hAnsi="Arial" w:cs="Arial"/>
          <w:b/>
        </w:rPr>
      </w:pPr>
    </w:p>
    <w:p w14:paraId="46C4EC30" w14:textId="43BC0B02"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berschrift1"/>
      </w:pPr>
      <w:r w:rsidRPr="00DD6A2A">
        <w:rPr>
          <w:b/>
          <w:bCs/>
        </w:rPr>
        <w:t>1.</w:t>
      </w:r>
      <w:r w:rsidRPr="00DD6A2A">
        <w:rPr>
          <w:b/>
          <w:bCs/>
        </w:rPr>
        <w:tab/>
      </w:r>
      <w:r w:rsidR="002A1C01" w:rsidRPr="00DD6A2A">
        <w:rPr>
          <w:b/>
          <w:bCs/>
        </w:rPr>
        <w:t>Introduction</w:t>
      </w:r>
    </w:p>
    <w:p w14:paraId="4DCAD622" w14:textId="547E7B28" w:rsidR="00C23D5B" w:rsidRPr="00DD6A2A" w:rsidRDefault="00C23D5B" w:rsidP="00C23D5B">
      <w:pPr>
        <w:rPr>
          <w:rFonts w:ascii="Arial" w:hAnsi="Arial" w:cs="Arial"/>
        </w:rPr>
      </w:pPr>
      <w:r w:rsidRPr="00DD6A2A">
        <w:rPr>
          <w:rFonts w:ascii="Arial" w:hAnsi="Arial" w:cs="Arial"/>
        </w:rPr>
        <w:t>R</w:t>
      </w:r>
      <w:r w:rsidR="004D43BF" w:rsidRPr="00DD6A2A">
        <w:rPr>
          <w:rFonts w:ascii="Arial" w:hAnsi="Arial" w:cs="Arial"/>
        </w:rPr>
        <w:t>AN</w:t>
      </w:r>
      <w:r w:rsidR="00FE5280" w:rsidRPr="00DD6A2A">
        <w:rPr>
          <w:rFonts w:ascii="Arial" w:hAnsi="Arial" w:cs="Arial"/>
        </w:rPr>
        <w:t>4</w:t>
      </w:r>
      <w:r w:rsidRPr="00DD6A2A">
        <w:rPr>
          <w:rFonts w:ascii="Arial" w:hAnsi="Arial" w:cs="Arial"/>
        </w:rPr>
        <w:t xml:space="preserve">#105 decided on the following way forward [1] for the UE RF part of </w:t>
      </w:r>
      <w:r w:rsidR="008511D4" w:rsidRPr="00DD6A2A">
        <w:rPr>
          <w:rFonts w:ascii="Arial" w:hAnsi="Arial" w:cs="Arial"/>
        </w:rPr>
        <w:t>WI</w:t>
      </w:r>
      <w:r w:rsidR="000F2985" w:rsidRPr="00DD6A2A">
        <w:rPr>
          <w:rFonts w:ascii="Arial" w:hAnsi="Arial" w:cs="Arial"/>
        </w:rPr>
        <w:t xml:space="preserve"> [</w:t>
      </w:r>
      <w:r w:rsidRPr="00DD6A2A">
        <w:rPr>
          <w:rFonts w:ascii="Arial" w:hAnsi="Arial" w:cs="Arial"/>
        </w:rPr>
        <w:t>2</w:t>
      </w:r>
      <w:r w:rsidR="000F2985" w:rsidRPr="00DD6A2A">
        <w:rPr>
          <w:rFonts w:ascii="Arial" w:hAnsi="Arial" w:cs="Arial"/>
        </w:rPr>
        <w:t>]</w:t>
      </w:r>
      <w:r w:rsidRPr="00DD6A2A">
        <w:rPr>
          <w:rFonts w:ascii="Arial" w:hAnsi="Arial" w:cs="Arial"/>
        </w:rPr>
        <w:t>:</w:t>
      </w:r>
    </w:p>
    <w:p w14:paraId="1396C459" w14:textId="486C93A2" w:rsidR="00C23D5B" w:rsidRPr="00DD6A2A" w:rsidRDefault="00C23D5B" w:rsidP="00C23D5B">
      <w:pPr>
        <w:pStyle w:val="Listenabsatz"/>
        <w:numPr>
          <w:ilvl w:val="0"/>
          <w:numId w:val="20"/>
        </w:numPr>
        <w:rPr>
          <w:rFonts w:ascii="Arial" w:hAnsi="Arial" w:cs="Arial"/>
          <w:b/>
          <w:bCs/>
          <w:sz w:val="24"/>
          <w:szCs w:val="24"/>
          <w:lang w:val="en-US" w:eastAsia="zh-CN"/>
        </w:rPr>
      </w:pPr>
      <w:r w:rsidRPr="00DD6A2A">
        <w:rPr>
          <w:rFonts w:ascii="Arial" w:hAnsi="Arial" w:cs="Arial"/>
          <w:b/>
          <w:bCs/>
          <w:sz w:val="24"/>
          <w:szCs w:val="24"/>
          <w:lang w:val="en-US"/>
        </w:rPr>
        <w:t>Band plan</w:t>
      </w:r>
    </w:p>
    <w:p w14:paraId="19F7557D" w14:textId="77777777" w:rsidR="00C23D5B" w:rsidRPr="00DD6A2A" w:rsidRDefault="00C23D5B" w:rsidP="00C23D5B">
      <w:pPr>
        <w:rPr>
          <w:rFonts w:ascii="Arial" w:hAnsi="Arial" w:cs="Arial"/>
          <w:iCs/>
          <w:lang w:val="en-US"/>
        </w:rPr>
      </w:pPr>
      <w:r w:rsidRPr="00DD6A2A">
        <w:rPr>
          <w:rFonts w:ascii="Arial" w:hAnsi="Arial" w:cs="Arial"/>
          <w:iCs/>
          <w:lang w:val="en-US"/>
        </w:rPr>
        <w:t>Two options (not mutually exclusive)</w:t>
      </w:r>
    </w:p>
    <w:p w14:paraId="40975701" w14:textId="77777777" w:rsidR="00C23D5B" w:rsidRPr="00DD6A2A" w:rsidRDefault="00C23D5B" w:rsidP="00C23D5B">
      <w:pPr>
        <w:pStyle w:val="Listenabsatz"/>
        <w:numPr>
          <w:ilvl w:val="0"/>
          <w:numId w:val="17"/>
        </w:numPr>
        <w:rPr>
          <w:rFonts w:ascii="Arial" w:hAnsi="Arial" w:cs="Arial"/>
          <w:iCs/>
          <w:lang w:val="en-US"/>
        </w:rPr>
      </w:pPr>
      <w:r w:rsidRPr="00DD6A2A">
        <w:rPr>
          <w:rFonts w:ascii="Arial" w:hAnsi="Arial" w:cs="Arial"/>
          <w:iCs/>
          <w:lang w:val="en-US"/>
        </w:rPr>
        <w:t>Define a single band covering the entire UHF frequency range 470 – [698/702] MHz</w:t>
      </w:r>
    </w:p>
    <w:p w14:paraId="08F19CDB" w14:textId="77777777" w:rsidR="00C23D5B" w:rsidRPr="00DD6A2A" w:rsidRDefault="00C23D5B" w:rsidP="00C23D5B">
      <w:pPr>
        <w:pStyle w:val="Listenabsatz"/>
        <w:numPr>
          <w:ilvl w:val="0"/>
          <w:numId w:val="18"/>
        </w:numPr>
        <w:rPr>
          <w:rFonts w:ascii="Arial" w:hAnsi="Arial" w:cs="Arial"/>
          <w:iCs/>
          <w:lang w:val="en-US"/>
        </w:rPr>
      </w:pPr>
      <w:r w:rsidRPr="00DD6A2A">
        <w:rPr>
          <w:rFonts w:ascii="Arial" w:hAnsi="Arial" w:cs="Arial"/>
          <w:iCs/>
          <w:lang w:val="en-US"/>
        </w:rPr>
        <w:t>The requirements are relaxed for this band (TBD which requirements and how much) and/or</w:t>
      </w:r>
    </w:p>
    <w:p w14:paraId="381B28B8" w14:textId="77777777" w:rsidR="00C23D5B" w:rsidRPr="00DD6A2A" w:rsidRDefault="00C23D5B" w:rsidP="00C23D5B">
      <w:pPr>
        <w:pStyle w:val="Listenabsatz"/>
        <w:numPr>
          <w:ilvl w:val="0"/>
          <w:numId w:val="18"/>
        </w:numPr>
        <w:rPr>
          <w:rFonts w:ascii="Arial" w:hAnsi="Arial" w:cs="Arial"/>
          <w:iCs/>
          <w:lang w:val="en-US"/>
        </w:rPr>
      </w:pPr>
      <w:r w:rsidRPr="00DD6A2A">
        <w:rPr>
          <w:rFonts w:ascii="Arial" w:hAnsi="Arial" w:cs="Arial"/>
          <w:iCs/>
          <w:lang w:val="en-US"/>
        </w:rPr>
        <w:t>This band is assumed to be implemented with more than one filter in the UE (TBD how many filters and the characteristics of those filters)</w:t>
      </w:r>
    </w:p>
    <w:p w14:paraId="04F5E64D" w14:textId="77777777" w:rsidR="00C23D5B" w:rsidRPr="00DD6A2A" w:rsidRDefault="00C23D5B" w:rsidP="00C23D5B">
      <w:pPr>
        <w:pStyle w:val="Listenabsatz"/>
        <w:numPr>
          <w:ilvl w:val="0"/>
          <w:numId w:val="17"/>
        </w:numPr>
        <w:rPr>
          <w:rFonts w:ascii="Arial" w:hAnsi="Arial" w:cs="Arial"/>
          <w:iCs/>
        </w:rPr>
      </w:pPr>
      <w:r w:rsidRPr="00DD6A2A">
        <w:rPr>
          <w:rFonts w:ascii="Arial" w:hAnsi="Arial" w:cs="Arial"/>
          <w:iCs/>
        </w:rPr>
        <w:t xml:space="preserve">Define smaller bands </w:t>
      </w:r>
    </w:p>
    <w:p w14:paraId="6890C813" w14:textId="77777777" w:rsidR="00C23D5B" w:rsidRPr="00DD6A2A" w:rsidRDefault="00C23D5B" w:rsidP="00C23D5B">
      <w:pPr>
        <w:pStyle w:val="Listenabsatz"/>
        <w:numPr>
          <w:ilvl w:val="0"/>
          <w:numId w:val="19"/>
        </w:numPr>
        <w:rPr>
          <w:rFonts w:ascii="Arial" w:hAnsi="Arial" w:cs="Arial"/>
          <w:iCs/>
          <w:lang w:val="en-US"/>
        </w:rPr>
      </w:pPr>
      <w:r w:rsidRPr="00DD6A2A">
        <w:rPr>
          <w:rFonts w:ascii="Arial" w:hAnsi="Arial" w:cs="Arial"/>
          <w:iCs/>
          <w:lang w:val="en-US"/>
        </w:rPr>
        <w:t>At least one of the bands overlaps with Band n105 DL to reuse n105 Rx filter</w:t>
      </w:r>
    </w:p>
    <w:p w14:paraId="15587246" w14:textId="77777777" w:rsidR="00C23D5B" w:rsidRPr="00DD6A2A" w:rsidRDefault="00C23D5B" w:rsidP="00C23D5B">
      <w:pPr>
        <w:pStyle w:val="Listenabsatz"/>
        <w:numPr>
          <w:ilvl w:val="0"/>
          <w:numId w:val="19"/>
        </w:numPr>
        <w:rPr>
          <w:rFonts w:ascii="Arial" w:hAnsi="Arial" w:cs="Arial"/>
          <w:iCs/>
          <w:lang w:val="en-US"/>
        </w:rPr>
      </w:pPr>
      <w:r w:rsidRPr="00DD6A2A">
        <w:rPr>
          <w:rFonts w:ascii="Arial" w:hAnsi="Arial" w:cs="Arial"/>
          <w:lang w:val="en-US"/>
        </w:rPr>
        <w:t xml:space="preserve">Specify the following bands 470-542 MHz, 540-606 </w:t>
      </w:r>
      <w:proofErr w:type="gramStart"/>
      <w:r w:rsidRPr="00DD6A2A">
        <w:rPr>
          <w:rFonts w:ascii="Arial" w:hAnsi="Arial" w:cs="Arial"/>
          <w:lang w:val="en-US"/>
        </w:rPr>
        <w:t>MHz</w:t>
      </w:r>
      <w:proofErr w:type="gramEnd"/>
      <w:r w:rsidRPr="00DD6A2A">
        <w:rPr>
          <w:rFonts w:ascii="Arial" w:hAnsi="Arial" w:cs="Arial"/>
          <w:lang w:val="en-US"/>
        </w:rPr>
        <w:t xml:space="preserve"> and 602-702 MHz.</w:t>
      </w:r>
    </w:p>
    <w:p w14:paraId="7D249415" w14:textId="77777777" w:rsidR="00C23D5B" w:rsidRPr="00DD6A2A" w:rsidRDefault="00C23D5B" w:rsidP="00C23D5B">
      <w:pPr>
        <w:pStyle w:val="Listenabsatz"/>
        <w:numPr>
          <w:ilvl w:val="0"/>
          <w:numId w:val="19"/>
        </w:numPr>
        <w:rPr>
          <w:rFonts w:ascii="Arial" w:hAnsi="Arial" w:cs="Arial"/>
          <w:iCs/>
        </w:rPr>
      </w:pPr>
      <w:r w:rsidRPr="00DD6A2A">
        <w:rPr>
          <w:rFonts w:ascii="Arial" w:hAnsi="Arial" w:cs="Arial"/>
        </w:rPr>
        <w:t xml:space="preserve">Other </w:t>
      </w:r>
    </w:p>
    <w:p w14:paraId="7F51F3B8" w14:textId="405B29AD" w:rsidR="00C23D5B" w:rsidRPr="00DD6A2A" w:rsidRDefault="00C23D5B" w:rsidP="004D4233">
      <w:pPr>
        <w:spacing w:afterLines="50" w:after="120"/>
        <w:jc w:val="both"/>
        <w:rPr>
          <w:rFonts w:ascii="Arial" w:hAnsi="Arial" w:cs="Arial"/>
          <w:b/>
          <w:lang w:val="en-US" w:eastAsia="zh-CN"/>
        </w:rPr>
      </w:pPr>
      <w:r w:rsidRPr="00DD6A2A">
        <w:rPr>
          <w:rFonts w:ascii="Arial" w:hAnsi="Arial" w:cs="Arial"/>
          <w:b/>
          <w:lang w:val="en-US" w:eastAsia="zh-CN"/>
        </w:rPr>
        <w:t>Way forward:</w:t>
      </w:r>
      <w:r w:rsidR="004D4233">
        <w:rPr>
          <w:rFonts w:ascii="Arial" w:hAnsi="Arial" w:cs="Arial"/>
          <w:b/>
          <w:lang w:val="en-US" w:eastAsia="zh-CN"/>
        </w:rPr>
        <w:tab/>
      </w:r>
      <w:r w:rsidRPr="00DD6A2A">
        <w:rPr>
          <w:rFonts w:ascii="Arial" w:hAnsi="Arial" w:cs="Arial"/>
          <w:b/>
          <w:lang w:val="en-US" w:eastAsia="zh-CN"/>
        </w:rPr>
        <w:t xml:space="preserve">For RAN4 #106, companies are invited to provide proposals and supporting technical </w:t>
      </w:r>
      <w:r w:rsidR="004D4233">
        <w:rPr>
          <w:rFonts w:ascii="Arial" w:hAnsi="Arial" w:cs="Arial"/>
          <w:b/>
          <w:lang w:val="en-US" w:eastAsia="zh-CN"/>
        </w:rPr>
        <w:tab/>
      </w:r>
      <w:r w:rsidR="004D4233">
        <w:rPr>
          <w:rFonts w:ascii="Arial" w:hAnsi="Arial" w:cs="Arial"/>
          <w:b/>
          <w:lang w:val="en-US" w:eastAsia="zh-CN"/>
        </w:rPr>
        <w:tab/>
      </w:r>
      <w:r w:rsidRPr="00DD6A2A">
        <w:rPr>
          <w:rFonts w:ascii="Arial" w:hAnsi="Arial" w:cs="Arial"/>
          <w:b/>
          <w:lang w:val="en-US" w:eastAsia="zh-CN"/>
        </w:rPr>
        <w:t>data including filter performance for the options listed above.</w:t>
      </w:r>
    </w:p>
    <w:p w14:paraId="5F3F655A" w14:textId="77777777" w:rsidR="00DD6A2A" w:rsidRPr="00DD6A2A" w:rsidRDefault="00DD6A2A" w:rsidP="00C23D5B">
      <w:pPr>
        <w:spacing w:afterLines="50" w:after="120"/>
        <w:rPr>
          <w:rFonts w:ascii="Arial" w:hAnsi="Arial" w:cs="Arial"/>
          <w:b/>
          <w:lang w:val="en-US" w:eastAsia="zh-CN"/>
        </w:rPr>
      </w:pPr>
    </w:p>
    <w:p w14:paraId="05FFD10F" w14:textId="3621C0B7" w:rsidR="00C23D5B" w:rsidRPr="00DD6A2A" w:rsidRDefault="00C23D5B" w:rsidP="00DD6A2A">
      <w:pPr>
        <w:pStyle w:val="Listenabsatz"/>
        <w:numPr>
          <w:ilvl w:val="0"/>
          <w:numId w:val="20"/>
        </w:numPr>
        <w:rPr>
          <w:rFonts w:ascii="Arial" w:hAnsi="Arial" w:cs="Arial"/>
          <w:b/>
          <w:bCs/>
          <w:sz w:val="24"/>
          <w:szCs w:val="24"/>
          <w:lang w:val="en-US" w:eastAsia="zh-CN"/>
        </w:rPr>
      </w:pPr>
      <w:r w:rsidRPr="00DD6A2A">
        <w:rPr>
          <w:rFonts w:ascii="Arial" w:hAnsi="Arial" w:cs="Arial"/>
          <w:b/>
          <w:bCs/>
          <w:sz w:val="24"/>
          <w:szCs w:val="24"/>
          <w:lang w:val="en-US"/>
        </w:rPr>
        <w:t>Reference sensitivity</w:t>
      </w:r>
    </w:p>
    <w:p w14:paraId="4203DFA0" w14:textId="77777777" w:rsidR="00C23D5B" w:rsidRPr="00DD6A2A" w:rsidRDefault="00C23D5B" w:rsidP="00C23D5B">
      <w:pPr>
        <w:rPr>
          <w:rFonts w:ascii="Arial" w:hAnsi="Arial" w:cs="Arial"/>
          <w:lang w:val="sv-SE" w:eastAsia="zh-CN"/>
        </w:rPr>
      </w:pPr>
      <w:r w:rsidRPr="00DD6A2A">
        <w:rPr>
          <w:rFonts w:ascii="Arial" w:hAnsi="Arial" w:cs="Arial"/>
          <w:lang w:val="sv-SE" w:eastAsia="zh-CN"/>
        </w:rPr>
        <w:t xml:space="preserve">Option 1 (ZTE):  </w:t>
      </w:r>
      <w:r w:rsidRPr="00DD6A2A">
        <w:rPr>
          <w:rFonts w:ascii="Arial" w:hAnsi="Arial" w:cs="Arial"/>
          <w:lang w:val="en-US" w:eastAsia="zh-CN"/>
        </w:rPr>
        <w:t>to reuse the noise figure of legacy DVB-T receiver design and other implementation margin</w:t>
      </w:r>
      <w:r w:rsidRPr="00DD6A2A">
        <w:rPr>
          <w:rFonts w:ascii="Arial" w:hAnsi="Arial" w:cs="Arial"/>
          <w:lang w:val="sv-SE" w:eastAsia="zh-CN"/>
        </w:rPr>
        <w:t xml:space="preserve"> </w:t>
      </w:r>
    </w:p>
    <w:p w14:paraId="29A6D94A" w14:textId="77777777" w:rsidR="00C23D5B" w:rsidRPr="00DD6A2A" w:rsidRDefault="00C23D5B" w:rsidP="00C23D5B">
      <w:pPr>
        <w:rPr>
          <w:rFonts w:ascii="Arial" w:hAnsi="Arial" w:cs="Arial"/>
          <w:lang w:val="sv-SE" w:eastAsia="zh-CN"/>
        </w:rPr>
      </w:pPr>
      <w:r w:rsidRPr="00DD6A2A">
        <w:rPr>
          <w:rFonts w:ascii="Arial" w:hAnsi="Arial" w:cs="Arial"/>
          <w:lang w:val="sv-SE" w:eastAsia="zh-CN"/>
        </w:rPr>
        <w:t>Option 2 (Huawei, Nokia):  -100dBm/-97dBm/ -95.2dBm /-94dBm REFSENS can be derived for 5, 10, 15, 20MHz</w:t>
      </w:r>
    </w:p>
    <w:p w14:paraId="00EAAF66" w14:textId="77777777" w:rsidR="00C23D5B" w:rsidRPr="00DD6A2A" w:rsidRDefault="00C23D5B" w:rsidP="00C23D5B">
      <w:pPr>
        <w:ind w:left="284" w:firstLine="1"/>
        <w:rPr>
          <w:rFonts w:ascii="Arial" w:hAnsi="Arial" w:cs="Arial"/>
          <w:lang w:val="sv-SE" w:eastAsia="zh-CN"/>
        </w:rPr>
      </w:pPr>
      <w:r w:rsidRPr="00DD6A2A">
        <w:rPr>
          <w:rFonts w:ascii="Arial" w:hAnsi="Arial" w:cs="Arial"/>
          <w:lang w:val="sv-SE" w:eastAsia="zh-CN"/>
        </w:rPr>
        <w:t>Moderator comment:  Using the same formula as Huawei’s paper, but setting the bandwidth to 6, 7, and 8 MHz we have -99.2, -98.5, and -97.9 dBm.</w:t>
      </w:r>
    </w:p>
    <w:p w14:paraId="4657826B" w14:textId="77777777" w:rsidR="00C23D5B" w:rsidRPr="00DD6A2A" w:rsidRDefault="00C23D5B" w:rsidP="00C23D5B">
      <w:pPr>
        <w:ind w:left="284" w:firstLine="1"/>
        <w:rPr>
          <w:rFonts w:ascii="Arial" w:hAnsi="Arial" w:cs="Arial"/>
          <w:lang w:val="sv-SE" w:eastAsia="zh-CN"/>
        </w:rPr>
      </w:pPr>
      <w:r w:rsidRPr="00DD6A2A">
        <w:rPr>
          <w:rFonts w:ascii="Arial" w:hAnsi="Arial" w:cs="Arial"/>
          <w:lang w:val="sv-SE" w:eastAsia="zh-CN"/>
        </w:rPr>
        <w:t>Moderator comment:  Nokia suggests using SDO band as basis for refsens.  According to the moderator, this should be the same values as proposed by Huawei.</w:t>
      </w:r>
    </w:p>
    <w:p w14:paraId="11E14F42" w14:textId="702EB273" w:rsidR="00C23D5B" w:rsidRPr="00DD6A2A" w:rsidRDefault="00C23D5B" w:rsidP="00C23D5B">
      <w:pPr>
        <w:spacing w:afterLines="50" w:after="120"/>
        <w:rPr>
          <w:rFonts w:ascii="Arial" w:hAnsi="Arial" w:cs="Arial"/>
          <w:b/>
          <w:lang w:val="en-US" w:eastAsia="zh-CN"/>
        </w:rPr>
      </w:pPr>
      <w:r w:rsidRPr="00DD6A2A">
        <w:rPr>
          <w:rFonts w:ascii="Arial" w:hAnsi="Arial" w:cs="Arial"/>
          <w:b/>
          <w:lang w:val="en-US" w:eastAsia="zh-CN"/>
        </w:rPr>
        <w:t>Way forward:</w:t>
      </w:r>
      <w:r w:rsidR="004D4233">
        <w:rPr>
          <w:rFonts w:ascii="Arial" w:hAnsi="Arial" w:cs="Arial"/>
          <w:b/>
          <w:lang w:val="en-US" w:eastAsia="zh-CN"/>
        </w:rPr>
        <w:tab/>
      </w:r>
      <w:bookmarkStart w:id="1" w:name="_Hlk124753958"/>
      <w:r w:rsidRPr="00DD6A2A">
        <w:rPr>
          <w:rFonts w:ascii="Arial" w:hAnsi="Arial" w:cs="Arial"/>
          <w:b/>
          <w:lang w:val="en-US" w:eastAsia="zh-CN"/>
        </w:rPr>
        <w:t xml:space="preserve">Reference sensitivity values of -99.2, -98.5, -97.9, and -97 dBm are agreed as the </w:t>
      </w:r>
      <w:r w:rsidR="004D4233">
        <w:rPr>
          <w:rFonts w:ascii="Arial" w:hAnsi="Arial" w:cs="Arial"/>
          <w:b/>
          <w:lang w:val="en-US" w:eastAsia="zh-CN"/>
        </w:rPr>
        <w:tab/>
      </w:r>
      <w:r w:rsidR="004D4233">
        <w:rPr>
          <w:rFonts w:ascii="Arial" w:hAnsi="Arial" w:cs="Arial"/>
          <w:b/>
          <w:lang w:val="en-US" w:eastAsia="zh-CN"/>
        </w:rPr>
        <w:tab/>
      </w:r>
      <w:r w:rsidR="004D4233">
        <w:rPr>
          <w:rFonts w:ascii="Arial" w:hAnsi="Arial" w:cs="Arial"/>
          <w:b/>
          <w:lang w:val="en-US" w:eastAsia="zh-CN"/>
        </w:rPr>
        <w:tab/>
      </w:r>
      <w:r w:rsidRPr="00DD6A2A">
        <w:rPr>
          <w:rFonts w:ascii="Arial" w:hAnsi="Arial" w:cs="Arial"/>
          <w:b/>
          <w:lang w:val="en-US" w:eastAsia="zh-CN"/>
        </w:rPr>
        <w:t>baseline for 6, 7, 8</w:t>
      </w:r>
      <w:bookmarkEnd w:id="1"/>
      <w:r w:rsidRPr="00DD6A2A">
        <w:rPr>
          <w:rFonts w:ascii="Arial" w:hAnsi="Arial" w:cs="Arial"/>
          <w:b/>
          <w:lang w:val="en-US" w:eastAsia="zh-CN"/>
        </w:rPr>
        <w:t>, and 10 MHz channels. It is FFS which bandwidth will be specified.</w:t>
      </w:r>
    </w:p>
    <w:p w14:paraId="393D0027" w14:textId="743BB7B3" w:rsidR="00DD6A2A" w:rsidRPr="00DD6A2A" w:rsidRDefault="00DD6A2A" w:rsidP="00C23D5B">
      <w:pPr>
        <w:spacing w:afterLines="50" w:after="120"/>
        <w:rPr>
          <w:rFonts w:ascii="Arial" w:hAnsi="Arial" w:cs="Arial"/>
          <w:b/>
          <w:lang w:val="en-US" w:eastAsia="zh-CN"/>
        </w:rPr>
      </w:pPr>
    </w:p>
    <w:p w14:paraId="32033E92" w14:textId="77777777" w:rsidR="00DD6A2A" w:rsidRPr="00DD6A2A" w:rsidRDefault="00DD6A2A" w:rsidP="00C23D5B">
      <w:pPr>
        <w:spacing w:afterLines="50" w:after="120"/>
        <w:rPr>
          <w:rFonts w:ascii="Arial" w:hAnsi="Arial" w:cs="Arial"/>
          <w:b/>
          <w:lang w:val="en-US" w:eastAsia="zh-CN"/>
        </w:rPr>
      </w:pPr>
    </w:p>
    <w:p w14:paraId="1DB2446E" w14:textId="2E7D2CE6" w:rsidR="00C23D5B" w:rsidRPr="00DD6A2A" w:rsidRDefault="00C23D5B" w:rsidP="00DD6A2A">
      <w:pPr>
        <w:pStyle w:val="Listenabsatz"/>
        <w:numPr>
          <w:ilvl w:val="0"/>
          <w:numId w:val="20"/>
        </w:numPr>
        <w:rPr>
          <w:rFonts w:ascii="Arial" w:hAnsi="Arial" w:cs="Arial"/>
          <w:b/>
          <w:bCs/>
          <w:sz w:val="24"/>
          <w:szCs w:val="24"/>
          <w:lang w:val="en-US"/>
        </w:rPr>
      </w:pPr>
      <w:r w:rsidRPr="00DD6A2A">
        <w:rPr>
          <w:rFonts w:ascii="Arial" w:hAnsi="Arial" w:cs="Arial"/>
          <w:b/>
          <w:bCs/>
          <w:sz w:val="24"/>
          <w:szCs w:val="24"/>
          <w:lang w:val="en-US"/>
        </w:rPr>
        <w:lastRenderedPageBreak/>
        <w:t>ACS</w:t>
      </w:r>
    </w:p>
    <w:p w14:paraId="5AF7E84E" w14:textId="77777777" w:rsidR="00C23D5B" w:rsidRPr="00DD6A2A" w:rsidRDefault="00C23D5B" w:rsidP="00C23D5B">
      <w:pPr>
        <w:rPr>
          <w:rFonts w:ascii="Arial" w:hAnsi="Arial" w:cs="Arial"/>
          <w:iCs/>
          <w:lang w:val="en-US" w:eastAsia="zh-CN"/>
        </w:rPr>
      </w:pPr>
      <w:r w:rsidRPr="00DD6A2A">
        <w:rPr>
          <w:rFonts w:ascii="Arial" w:hAnsi="Arial" w:cs="Arial"/>
          <w:iCs/>
          <w:lang w:val="en-US" w:eastAsia="zh-CN"/>
        </w:rPr>
        <w:t>Option 1 (Nokia): -25 dB with frequency offset at 6, 7, and 8 MHz</w:t>
      </w:r>
    </w:p>
    <w:p w14:paraId="7397E8F3" w14:textId="77777777" w:rsidR="00C23D5B" w:rsidRPr="00DD6A2A" w:rsidRDefault="00C23D5B" w:rsidP="00C23D5B">
      <w:pPr>
        <w:rPr>
          <w:rFonts w:ascii="Arial" w:hAnsi="Arial" w:cs="Arial"/>
          <w:iCs/>
          <w:lang w:val="en-US" w:eastAsia="zh-CN"/>
        </w:rPr>
      </w:pPr>
      <w:r w:rsidRPr="00DD6A2A">
        <w:rPr>
          <w:rFonts w:ascii="Arial" w:hAnsi="Arial" w:cs="Arial"/>
          <w:iCs/>
          <w:lang w:val="en-US" w:eastAsia="zh-CN"/>
        </w:rPr>
        <w:t>Option 2 (Qualcomm): -33 dB with frequency offset at 10 MHz (same as the existing 10 MHz spec)</w:t>
      </w:r>
    </w:p>
    <w:p w14:paraId="25D0B2B5" w14:textId="77777777" w:rsidR="00C23D5B" w:rsidRPr="00DD6A2A" w:rsidRDefault="00C23D5B" w:rsidP="00C23D5B">
      <w:pPr>
        <w:rPr>
          <w:rFonts w:ascii="Arial" w:hAnsi="Arial" w:cs="Arial"/>
          <w:iCs/>
          <w:lang w:val="en-US" w:eastAsia="zh-CN"/>
        </w:rPr>
      </w:pPr>
      <w:r w:rsidRPr="00DD6A2A">
        <w:rPr>
          <w:rFonts w:ascii="Arial" w:hAnsi="Arial" w:cs="Arial"/>
          <w:iCs/>
          <w:lang w:val="en-US" w:eastAsia="zh-CN"/>
        </w:rPr>
        <w:t>Option 3 (SWR):  -33 dB with frequency offset at 6, 7, and 8 MHz</w:t>
      </w:r>
    </w:p>
    <w:p w14:paraId="1347819B" w14:textId="43E17518" w:rsidR="00C23D5B" w:rsidRPr="00DD6A2A" w:rsidRDefault="00C23D5B" w:rsidP="00C23D5B">
      <w:pPr>
        <w:rPr>
          <w:rFonts w:ascii="Arial" w:hAnsi="Arial" w:cs="Arial"/>
          <w:b/>
          <w:lang w:val="en-US" w:eastAsia="zh-CN"/>
        </w:rPr>
      </w:pPr>
      <w:r w:rsidRPr="00DD6A2A">
        <w:rPr>
          <w:rFonts w:ascii="Arial" w:hAnsi="Arial" w:cs="Arial"/>
          <w:b/>
          <w:lang w:val="en-US" w:eastAsia="zh-CN"/>
        </w:rPr>
        <w:t>Way forward:  Companies are invited to study options 2 and 3.</w:t>
      </w:r>
    </w:p>
    <w:p w14:paraId="3B55E0FA" w14:textId="68A4A6B1" w:rsidR="00C23D5B" w:rsidRPr="00DD6A2A" w:rsidRDefault="00C23D5B" w:rsidP="00C23D5B">
      <w:pPr>
        <w:rPr>
          <w:rFonts w:ascii="Arial" w:hAnsi="Arial" w:cs="Arial"/>
          <w:b/>
          <w:lang w:val="en-US" w:eastAsia="zh-CN"/>
        </w:rPr>
      </w:pPr>
    </w:p>
    <w:p w14:paraId="5C0E0BEE" w14:textId="4365B394" w:rsidR="00C23D5B" w:rsidRPr="00C23D5B" w:rsidRDefault="00C23D5B" w:rsidP="00C23D5B">
      <w:pPr>
        <w:rPr>
          <w:bCs/>
        </w:rPr>
      </w:pPr>
      <w:r w:rsidRPr="00DD6A2A">
        <w:rPr>
          <w:rFonts w:ascii="Arial" w:hAnsi="Arial" w:cs="Arial"/>
          <w:bCs/>
          <w:lang w:val="en-US" w:eastAsia="zh-CN"/>
        </w:rPr>
        <w:t>This document contributes to the discussion and proposes some ways forward.</w:t>
      </w:r>
    </w:p>
    <w:p w14:paraId="17FDD1F3" w14:textId="22DFF54C" w:rsidR="003A6C9D" w:rsidRDefault="00C064DE" w:rsidP="009C3810">
      <w:r>
        <w:t xml:space="preserve"> </w:t>
      </w:r>
    </w:p>
    <w:p w14:paraId="46AA84AA" w14:textId="18FC094F" w:rsidR="00FC1F62" w:rsidRDefault="000A567D" w:rsidP="00FC1F62">
      <w:pPr>
        <w:pStyle w:val="berschrift1"/>
      </w:pPr>
      <w:r w:rsidRPr="00DD6A2A">
        <w:rPr>
          <w:b/>
          <w:bCs/>
        </w:rPr>
        <w:t xml:space="preserve">2. </w:t>
      </w:r>
      <w:r w:rsidRPr="00DD6A2A">
        <w:rPr>
          <w:b/>
          <w:bCs/>
        </w:rPr>
        <w:tab/>
      </w:r>
      <w:r w:rsidR="002A1C01" w:rsidRPr="00DD6A2A">
        <w:rPr>
          <w:b/>
          <w:bCs/>
        </w:rPr>
        <w:t>Discussion</w:t>
      </w:r>
    </w:p>
    <w:p w14:paraId="7A0F126B" w14:textId="77777777" w:rsidR="00DD6A2A" w:rsidRDefault="00DD6A2A" w:rsidP="00DD6A2A">
      <w:pPr>
        <w:pStyle w:val="berschrift3"/>
      </w:pPr>
      <w:r w:rsidRPr="00DD6A2A">
        <w:rPr>
          <w:b/>
          <w:bCs/>
        </w:rPr>
        <w:t>2.1</w:t>
      </w:r>
      <w:r w:rsidRPr="00DD6A2A">
        <w:rPr>
          <w:b/>
          <w:bCs/>
        </w:rPr>
        <w:tab/>
        <w:t>Band Plan</w:t>
      </w:r>
    </w:p>
    <w:p w14:paraId="08DCD4E2" w14:textId="5E999884" w:rsidR="00DD6A2A" w:rsidRPr="00DD6A2A" w:rsidRDefault="00DD6A2A" w:rsidP="00DD6A2A">
      <w:pPr>
        <w:pStyle w:val="berschrift3"/>
        <w:rPr>
          <w:b/>
          <w:bCs/>
          <w:sz w:val="20"/>
        </w:rPr>
      </w:pPr>
      <w:r w:rsidRPr="00DD6A2A">
        <w:rPr>
          <w:b/>
          <w:bCs/>
          <w:sz w:val="20"/>
        </w:rPr>
        <w:t>Assumptions:</w:t>
      </w:r>
    </w:p>
    <w:p w14:paraId="2434B9E6" w14:textId="77777777" w:rsidR="00DD6A2A" w:rsidRDefault="00DD6A2A" w:rsidP="00DD6A2A">
      <w:pPr>
        <w:pStyle w:val="Listenabsatz"/>
        <w:numPr>
          <w:ilvl w:val="0"/>
          <w:numId w:val="21"/>
        </w:numPr>
        <w:rPr>
          <w:rFonts w:ascii="Arial" w:hAnsi="Arial" w:cs="Arial"/>
        </w:rPr>
      </w:pPr>
      <w:r w:rsidRPr="00DD6A2A">
        <w:rPr>
          <w:rFonts w:ascii="Arial" w:hAnsi="Arial" w:cs="Arial"/>
        </w:rPr>
        <w:t>5G Broadcast networks are transmitting in the sub700 MHz band using 6, 7 or 8 MHz carrier bandwidth.</w:t>
      </w:r>
    </w:p>
    <w:p w14:paraId="2A3C61CA" w14:textId="77777777" w:rsidR="00DD6A2A" w:rsidRDefault="00DD6A2A" w:rsidP="00DD6A2A">
      <w:pPr>
        <w:pStyle w:val="Listenabsatz"/>
        <w:numPr>
          <w:ilvl w:val="0"/>
          <w:numId w:val="21"/>
        </w:numPr>
        <w:rPr>
          <w:rFonts w:ascii="Arial" w:hAnsi="Arial" w:cs="Arial"/>
        </w:rPr>
      </w:pPr>
      <w:r w:rsidRPr="00DD6A2A">
        <w:rPr>
          <w:rFonts w:ascii="Arial" w:hAnsi="Arial" w:cs="Arial"/>
        </w:rPr>
        <w:t>UEs for reception of 5G Broadcast signals are smartphones.</w:t>
      </w:r>
    </w:p>
    <w:p w14:paraId="1418EEE6" w14:textId="3EBE6BDA" w:rsidR="00DD6A2A" w:rsidRDefault="00DD6A2A" w:rsidP="004D4233">
      <w:pPr>
        <w:pStyle w:val="Listenabsatz"/>
        <w:numPr>
          <w:ilvl w:val="0"/>
          <w:numId w:val="21"/>
        </w:numPr>
        <w:jc w:val="both"/>
        <w:rPr>
          <w:rFonts w:ascii="Arial" w:hAnsi="Arial" w:cs="Arial"/>
        </w:rPr>
      </w:pPr>
      <w:r w:rsidRPr="00DD6A2A">
        <w:rPr>
          <w:rFonts w:ascii="Arial" w:hAnsi="Arial" w:cs="Arial"/>
        </w:rPr>
        <w:t>While receiving a 5G Broadcast transmission, usage of mobile services such as bidirectional access to the Internet shall be possible.</w:t>
      </w:r>
    </w:p>
    <w:p w14:paraId="69EA71AD" w14:textId="3BF78E29" w:rsidR="00DD6A2A" w:rsidRPr="00D06EF3" w:rsidRDefault="00DD6A2A" w:rsidP="004D4233">
      <w:pPr>
        <w:pStyle w:val="Listenabsatz"/>
        <w:numPr>
          <w:ilvl w:val="0"/>
          <w:numId w:val="21"/>
        </w:numPr>
        <w:jc w:val="both"/>
        <w:rPr>
          <w:rFonts w:ascii="Arial" w:hAnsi="Arial" w:cs="Arial"/>
        </w:rPr>
      </w:pPr>
      <w:r w:rsidRPr="00DD6A2A">
        <w:rPr>
          <w:rFonts w:ascii="Arial" w:hAnsi="Arial" w:cs="Arial"/>
        </w:rPr>
        <w:t>Any solution must be able to use the entire sub700 MHz band as outlined in the WI [</w:t>
      </w:r>
      <w:r>
        <w:rPr>
          <w:rFonts w:ascii="Arial" w:hAnsi="Arial" w:cs="Arial"/>
        </w:rPr>
        <w:t>2</w:t>
      </w:r>
      <w:r w:rsidRPr="00DD6A2A">
        <w:rPr>
          <w:rFonts w:ascii="Arial" w:hAnsi="Arial" w:cs="Arial"/>
        </w:rPr>
        <w:t>]: “The objective of this work item is to introduce the necessary features for LTE based 5G terrestrial broadcast to operate in the portion of UHF spectrum allocated to broadcast systems in different regions of the globe.”</w:t>
      </w:r>
    </w:p>
    <w:p w14:paraId="07CBD9A0" w14:textId="77777777" w:rsidR="00D06EF3" w:rsidRDefault="00D06EF3" w:rsidP="00DD6A2A">
      <w:pPr>
        <w:rPr>
          <w:rFonts w:ascii="Arial" w:hAnsi="Arial" w:cs="Arial"/>
          <w:b/>
          <w:bCs/>
        </w:rPr>
      </w:pPr>
    </w:p>
    <w:p w14:paraId="6217F0FB" w14:textId="5AE46A38" w:rsidR="00DD6A2A" w:rsidRPr="00D06EF3" w:rsidRDefault="00DD6A2A" w:rsidP="00DD6A2A">
      <w:pPr>
        <w:rPr>
          <w:rFonts w:ascii="Arial" w:hAnsi="Arial" w:cs="Arial"/>
          <w:b/>
          <w:bCs/>
        </w:rPr>
      </w:pPr>
      <w:r w:rsidRPr="00D06EF3">
        <w:rPr>
          <w:rFonts w:ascii="Arial" w:hAnsi="Arial" w:cs="Arial"/>
          <w:b/>
          <w:bCs/>
        </w:rPr>
        <w:t>Challenges</w:t>
      </w:r>
      <w:r w:rsidR="00D06EF3">
        <w:rPr>
          <w:rFonts w:ascii="Arial" w:hAnsi="Arial" w:cs="Arial"/>
          <w:b/>
          <w:bCs/>
        </w:rPr>
        <w:t>:</w:t>
      </w:r>
    </w:p>
    <w:p w14:paraId="194AF841" w14:textId="77777777" w:rsidR="00D06EF3" w:rsidRDefault="00DD6A2A" w:rsidP="004D4233">
      <w:pPr>
        <w:jc w:val="both"/>
        <w:rPr>
          <w:rFonts w:ascii="Arial" w:hAnsi="Arial" w:cs="Arial"/>
        </w:rPr>
      </w:pPr>
      <w:r w:rsidRPr="00D06EF3">
        <w:rPr>
          <w:rFonts w:ascii="Arial" w:hAnsi="Arial" w:cs="Arial"/>
        </w:rPr>
        <w:t>Reception of 5G Broadcast signals in the sub700 MHz band shall be possible at power levels of down to about -80 dBm which may be encountered in particular at the coverage edge. At the same time unicast communication in the 700 MHz band and above may lead to uplink transmission powers of up to 23 dBm. This calls for sufficient isolation in the smartphone which is particularly challenging if the uplink band n28 (i.e. the 700 MHz band) is used. This starts at 703 MHz while in ITU-R Region 1 the upper edge of 5G Broadcast is foreseen as 694 MHz which corresponds to the upper edge of TV channel 48.</w:t>
      </w:r>
    </w:p>
    <w:p w14:paraId="6E250297" w14:textId="77777777" w:rsidR="00D06EF3" w:rsidRDefault="00D06EF3" w:rsidP="00D06EF3">
      <w:pPr>
        <w:rPr>
          <w:rFonts w:ascii="Arial" w:hAnsi="Arial" w:cs="Arial"/>
        </w:rPr>
      </w:pPr>
    </w:p>
    <w:p w14:paraId="21A45D52" w14:textId="326880E1" w:rsidR="00DD6A2A" w:rsidRPr="00D06EF3" w:rsidRDefault="00DD6A2A" w:rsidP="00D06EF3">
      <w:pPr>
        <w:rPr>
          <w:rFonts w:ascii="Arial" w:hAnsi="Arial" w:cs="Arial"/>
          <w:b/>
          <w:bCs/>
        </w:rPr>
      </w:pPr>
      <w:r w:rsidRPr="00D06EF3">
        <w:rPr>
          <w:rFonts w:ascii="Arial" w:hAnsi="Arial" w:cs="Arial"/>
          <w:b/>
          <w:bCs/>
        </w:rPr>
        <w:t>Band Isolation</w:t>
      </w:r>
    </w:p>
    <w:p w14:paraId="399CE2AA" w14:textId="77777777" w:rsidR="00DD6A2A" w:rsidRPr="00D06EF3" w:rsidRDefault="00DD6A2A" w:rsidP="004D4233">
      <w:pPr>
        <w:jc w:val="both"/>
        <w:rPr>
          <w:rFonts w:ascii="Arial" w:hAnsi="Arial" w:cs="Arial"/>
        </w:rPr>
      </w:pPr>
      <w:r w:rsidRPr="00D06EF3">
        <w:rPr>
          <w:rFonts w:ascii="Arial" w:hAnsi="Arial" w:cs="Arial"/>
        </w:rPr>
        <w:t>There are two basic options to achieve the necessary isolation between 5G Broadcast reception on the sub700 MHz band and uplink transmissions in band n28. These are:</w:t>
      </w:r>
    </w:p>
    <w:p w14:paraId="52B05F5C" w14:textId="40ACFDBF" w:rsidR="00DD6A2A" w:rsidRPr="002971A0" w:rsidRDefault="00DD6A2A" w:rsidP="004D4233">
      <w:pPr>
        <w:pStyle w:val="Listenabsatz"/>
        <w:numPr>
          <w:ilvl w:val="0"/>
          <w:numId w:val="22"/>
        </w:numPr>
        <w:jc w:val="both"/>
        <w:rPr>
          <w:rFonts w:ascii="Arial" w:hAnsi="Arial" w:cs="Arial"/>
        </w:rPr>
      </w:pPr>
      <w:r w:rsidRPr="00D06EF3">
        <w:rPr>
          <w:rFonts w:ascii="Arial" w:hAnsi="Arial" w:cs="Arial"/>
        </w:rPr>
        <w:t xml:space="preserve">A smartphone receiving 5G Broadcast signal in the sub700 MHz band signals this to the BS. This prevents using uplink transmissions in band n28 by allocating </w:t>
      </w:r>
      <w:r w:rsidRPr="002971A0">
        <w:rPr>
          <w:rFonts w:ascii="Arial" w:hAnsi="Arial" w:cs="Arial"/>
        </w:rPr>
        <w:t xml:space="preserve">uplink resources </w:t>
      </w:r>
      <w:r w:rsidR="002971A0" w:rsidRPr="002971A0">
        <w:rPr>
          <w:rFonts w:ascii="Arial" w:hAnsi="Arial" w:cs="Arial"/>
        </w:rPr>
        <w:t xml:space="preserve">for example </w:t>
      </w:r>
      <w:r w:rsidRPr="002971A0">
        <w:rPr>
          <w:rFonts w:ascii="Arial" w:hAnsi="Arial" w:cs="Arial"/>
        </w:rPr>
        <w:t xml:space="preserve">in the 800 or 900 MHz bands. </w:t>
      </w:r>
    </w:p>
    <w:p w14:paraId="534730D3" w14:textId="5E2A8F98" w:rsidR="00DD6A2A" w:rsidRPr="00D06EF3" w:rsidRDefault="00DD6A2A" w:rsidP="004D4233">
      <w:pPr>
        <w:pStyle w:val="Listenabsatz"/>
        <w:numPr>
          <w:ilvl w:val="0"/>
          <w:numId w:val="22"/>
        </w:numPr>
        <w:jc w:val="both"/>
        <w:rPr>
          <w:rFonts w:ascii="Arial" w:hAnsi="Arial" w:cs="Arial"/>
        </w:rPr>
      </w:pPr>
      <w:r w:rsidRPr="00D06EF3">
        <w:rPr>
          <w:rFonts w:ascii="Arial" w:hAnsi="Arial" w:cs="Arial"/>
        </w:rPr>
        <w:t>Isolation needs to be enabled by imposing stringent out-of-band transmission requirements to the uplink in band n28 while at the same time implementing a low-pass filter to reduce potential interference from band n28 into the sub700 MHz reception of 5G Broadcast.</w:t>
      </w:r>
    </w:p>
    <w:p w14:paraId="6D28F7C6" w14:textId="77777777" w:rsidR="00DD6A2A" w:rsidRPr="00D06EF3" w:rsidRDefault="00DD6A2A" w:rsidP="004D4233">
      <w:pPr>
        <w:jc w:val="both"/>
        <w:rPr>
          <w:rFonts w:ascii="Arial" w:hAnsi="Arial" w:cs="Arial"/>
        </w:rPr>
      </w:pPr>
      <w:r w:rsidRPr="00D06EF3">
        <w:rPr>
          <w:rFonts w:ascii="Arial" w:hAnsi="Arial" w:cs="Arial"/>
        </w:rPr>
        <w:t xml:space="preserve">While the first option seems to be straightforward from a technical point of view, the second requires detailed investigation. </w:t>
      </w:r>
    </w:p>
    <w:p w14:paraId="7270859F" w14:textId="77777777" w:rsidR="00D06EF3" w:rsidRDefault="00DD6A2A" w:rsidP="00D06EF3">
      <w:pPr>
        <w:rPr>
          <w:rFonts w:ascii="Arial" w:hAnsi="Arial" w:cs="Arial"/>
        </w:rPr>
      </w:pPr>
      <w:r w:rsidRPr="00D06EF3">
        <w:rPr>
          <w:rFonts w:ascii="Arial" w:hAnsi="Arial" w:cs="Arial"/>
        </w:rPr>
        <w:t>The conventional FDD layout in the sub-1GHz region is sketched in Figure 1.</w:t>
      </w:r>
    </w:p>
    <w:p w14:paraId="13320EBA" w14:textId="77777777" w:rsidR="00D06EF3" w:rsidRDefault="00D06EF3" w:rsidP="00D06EF3">
      <w:pPr>
        <w:rPr>
          <w:rFonts w:ascii="Arial" w:hAnsi="Arial" w:cs="Arial"/>
        </w:rPr>
      </w:pPr>
    </w:p>
    <w:p w14:paraId="0EC821D9" w14:textId="77777777" w:rsidR="00D06EF3" w:rsidRDefault="00D06EF3" w:rsidP="00D06EF3">
      <w:pPr>
        <w:rPr>
          <w:rFonts w:ascii="Arial" w:hAnsi="Arial" w:cs="Arial"/>
        </w:rPr>
      </w:pPr>
      <w:r>
        <w:rPr>
          <w:noProof/>
          <w:lang w:eastAsia="en-GB"/>
        </w:rPr>
        <w:drawing>
          <wp:inline distT="0" distB="0" distL="0" distR="0" wp14:anchorId="77DF1BEA" wp14:editId="453EE349">
            <wp:extent cx="5760720" cy="177609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a:extLst>
                        <a:ext uri="{28A0092B-C50C-407E-A947-70E740481C1C}">
                          <a14:useLocalDpi xmlns:a14="http://schemas.microsoft.com/office/drawing/2010/main" val="0"/>
                        </a:ext>
                      </a:extLst>
                    </a:blip>
                    <a:stretch>
                      <a:fillRect/>
                    </a:stretch>
                  </pic:blipFill>
                  <pic:spPr>
                    <a:xfrm>
                      <a:off x="0" y="0"/>
                      <a:ext cx="5760720" cy="1776095"/>
                    </a:xfrm>
                    <a:prstGeom prst="rect">
                      <a:avLst/>
                    </a:prstGeom>
                  </pic:spPr>
                </pic:pic>
              </a:graphicData>
            </a:graphic>
          </wp:inline>
        </w:drawing>
      </w:r>
    </w:p>
    <w:p w14:paraId="45360AB0" w14:textId="77777777" w:rsidR="00D06EF3" w:rsidRDefault="00D06EF3" w:rsidP="00D06EF3">
      <w:pPr>
        <w:jc w:val="center"/>
        <w:rPr>
          <w:rFonts w:ascii="Arial" w:hAnsi="Arial" w:cs="Arial"/>
        </w:rPr>
      </w:pPr>
      <w:r w:rsidRPr="00D06EF3">
        <w:rPr>
          <w:rFonts w:ascii="Arial" w:hAnsi="Arial" w:cs="Arial"/>
          <w:b/>
          <w:bCs/>
        </w:rPr>
        <w:t>Figure 1:</w:t>
      </w:r>
      <w:r w:rsidRPr="00D06EF3">
        <w:rPr>
          <w:rFonts w:ascii="Arial" w:hAnsi="Arial" w:cs="Arial"/>
        </w:rPr>
        <w:tab/>
        <w:t>FDD layout in the sub1GHz region.</w:t>
      </w:r>
    </w:p>
    <w:p w14:paraId="79C500C7" w14:textId="77777777" w:rsidR="00D06EF3" w:rsidRDefault="00D06EF3" w:rsidP="00D06EF3">
      <w:pPr>
        <w:jc w:val="both"/>
        <w:rPr>
          <w:rFonts w:ascii="Arial" w:hAnsi="Arial" w:cs="Arial"/>
        </w:rPr>
      </w:pPr>
    </w:p>
    <w:p w14:paraId="7A206259" w14:textId="77777777" w:rsidR="00D06EF3" w:rsidRDefault="00D06EF3" w:rsidP="00D06EF3">
      <w:pPr>
        <w:jc w:val="both"/>
        <w:rPr>
          <w:rFonts w:ascii="Arial" w:hAnsi="Arial" w:cs="Arial"/>
        </w:rPr>
      </w:pPr>
    </w:p>
    <w:p w14:paraId="4769E5E5" w14:textId="77777777" w:rsidR="00D06EF3" w:rsidRPr="00D06EF3" w:rsidRDefault="00D06EF3" w:rsidP="004D4233">
      <w:pPr>
        <w:jc w:val="both"/>
        <w:rPr>
          <w:rFonts w:ascii="Arial" w:hAnsi="Arial" w:cs="Arial"/>
        </w:rPr>
      </w:pPr>
      <w:r w:rsidRPr="00D06EF3">
        <w:rPr>
          <w:rFonts w:ascii="Arial" w:hAnsi="Arial" w:cs="Arial"/>
        </w:rPr>
        <w:t xml:space="preserve">Typically, the up- and downlink regions for LTE are allocated to different operators in terms of 5, 10, 15 or 20 MHz bandwidths. An operator gets for example 20 MHz at the lower edge of the 700 MHz uplink (703 – 748 MHz) which is paired with 20 MHz at the lower edge of the downlink part (758 – 803 MHz). This means that in this case the UE can receive at 758 MHz and transmit at 723 MHz. Thus, the difference between up- and downlink of 35 MHz is sufficient to isolate up and downlink in the UE. </w:t>
      </w:r>
    </w:p>
    <w:p w14:paraId="44A55BE1" w14:textId="6E41B378" w:rsidR="00D06EF3" w:rsidRPr="00D06EF3" w:rsidRDefault="00D06EF3" w:rsidP="004D4233">
      <w:pPr>
        <w:jc w:val="both"/>
        <w:rPr>
          <w:rFonts w:ascii="Arial" w:hAnsi="Arial" w:cs="Arial"/>
        </w:rPr>
      </w:pPr>
      <w:r w:rsidRPr="00D06EF3">
        <w:rPr>
          <w:rFonts w:ascii="Arial" w:hAnsi="Arial" w:cs="Arial"/>
        </w:rPr>
        <w:t>Hence, one could argue that below 703 MHz – 35 MHz = 668 MHz downlink reception should be possible with</w:t>
      </w:r>
      <w:r w:rsidR="00E5703B">
        <w:rPr>
          <w:rFonts w:ascii="Arial" w:hAnsi="Arial" w:cs="Arial"/>
        </w:rPr>
        <w:t xml:space="preserve"> </w:t>
      </w:r>
      <w:r w:rsidR="00F303C2">
        <w:rPr>
          <w:rFonts w:ascii="Arial" w:hAnsi="Arial" w:cs="Arial"/>
        </w:rPr>
        <w:t xml:space="preserve">minimum </w:t>
      </w:r>
      <w:r w:rsidRPr="00D06EF3">
        <w:rPr>
          <w:rFonts w:ascii="Arial" w:hAnsi="Arial" w:cs="Arial"/>
        </w:rPr>
        <w:t xml:space="preserve">additional effort if existing </w:t>
      </w:r>
      <w:r w:rsidR="00F303C2">
        <w:rPr>
          <w:rFonts w:ascii="Arial" w:hAnsi="Arial" w:cs="Arial"/>
        </w:rPr>
        <w:t xml:space="preserve">technologies for low band </w:t>
      </w:r>
      <w:r w:rsidRPr="00D06EF3">
        <w:rPr>
          <w:rFonts w:ascii="Arial" w:hAnsi="Arial" w:cs="Arial"/>
        </w:rPr>
        <w:t>duplex filters are employed, for example the duplex filters of band n71</w:t>
      </w:r>
      <w:r w:rsidR="002971A0">
        <w:rPr>
          <w:rFonts w:ascii="Arial" w:hAnsi="Arial" w:cs="Arial"/>
        </w:rPr>
        <w:t xml:space="preserve">, </w:t>
      </w:r>
      <w:r w:rsidRPr="00D06EF3">
        <w:rPr>
          <w:rFonts w:ascii="Arial" w:hAnsi="Arial" w:cs="Arial"/>
        </w:rPr>
        <w:t xml:space="preserve">i.e. the 600 </w:t>
      </w:r>
      <w:r w:rsidR="00F303C2" w:rsidRPr="00D06EF3">
        <w:rPr>
          <w:rFonts w:ascii="Arial" w:hAnsi="Arial" w:cs="Arial"/>
        </w:rPr>
        <w:t>MH</w:t>
      </w:r>
      <w:r w:rsidR="00F303C2">
        <w:rPr>
          <w:rFonts w:ascii="Arial" w:hAnsi="Arial" w:cs="Arial"/>
        </w:rPr>
        <w:t>z</w:t>
      </w:r>
      <w:r w:rsidR="00F303C2" w:rsidRPr="00D06EF3">
        <w:rPr>
          <w:rFonts w:ascii="Arial" w:hAnsi="Arial" w:cs="Arial"/>
        </w:rPr>
        <w:t xml:space="preserve"> </w:t>
      </w:r>
      <w:r w:rsidRPr="00D06EF3">
        <w:rPr>
          <w:rFonts w:ascii="Arial" w:hAnsi="Arial" w:cs="Arial"/>
        </w:rPr>
        <w:t>band</w:t>
      </w:r>
      <w:r w:rsidR="002971A0">
        <w:rPr>
          <w:rFonts w:ascii="Arial" w:hAnsi="Arial" w:cs="Arial"/>
        </w:rPr>
        <w:t xml:space="preserve"> (see Figure </w:t>
      </w:r>
      <w:r w:rsidR="002971A0" w:rsidRPr="002971A0">
        <w:rPr>
          <w:rFonts w:ascii="Arial" w:hAnsi="Arial" w:cs="Arial"/>
        </w:rPr>
        <w:t>6.4.1.1-2</w:t>
      </w:r>
      <w:r w:rsidR="002971A0">
        <w:rPr>
          <w:rFonts w:ascii="Arial" w:hAnsi="Arial" w:cs="Arial"/>
        </w:rPr>
        <w:t xml:space="preserve"> in [6]).</w:t>
      </w:r>
      <w:r w:rsidRPr="00D06EF3">
        <w:rPr>
          <w:rFonts w:ascii="Arial" w:hAnsi="Arial" w:cs="Arial"/>
        </w:rPr>
        <w:t xml:space="preserve"> </w:t>
      </w:r>
      <w:r w:rsidR="002971A0">
        <w:rPr>
          <w:rFonts w:ascii="Arial" w:hAnsi="Arial" w:cs="Arial"/>
        </w:rPr>
        <w:t xml:space="preserve">They could be applied in an appropriate overlapping manner </w:t>
      </w:r>
      <w:r w:rsidRPr="00D06EF3">
        <w:rPr>
          <w:rFonts w:ascii="Arial" w:hAnsi="Arial" w:cs="Arial"/>
        </w:rPr>
        <w:t>as depicted in Figure 2</w:t>
      </w:r>
      <w:r w:rsidR="00F303C2">
        <w:rPr>
          <w:rFonts w:ascii="Arial" w:hAnsi="Arial" w:cs="Arial"/>
        </w:rPr>
        <w:t>.</w:t>
      </w:r>
    </w:p>
    <w:p w14:paraId="5C272B5F" w14:textId="698F06FD" w:rsidR="00D06EF3" w:rsidRDefault="00D06EF3" w:rsidP="00D06EF3">
      <w:pPr>
        <w:jc w:val="both"/>
        <w:rPr>
          <w:rFonts w:ascii="Arial" w:hAnsi="Arial" w:cs="Arial"/>
        </w:rPr>
      </w:pPr>
      <w:r w:rsidRPr="00D06EF3">
        <w:rPr>
          <w:rFonts w:ascii="Arial" w:hAnsi="Arial" w:cs="Arial"/>
        </w:rPr>
        <w:t>However, such an arrangement comes at the expense of losing channels 45 – 48 for 5G Broadcast. From a broadcaster perspective this is very inefficient use of spectrum, for many it will be not acceptable. This could be mitigated by applying additional lowpass filtering on top of the already utilized duplex filters. The design of the corresponding lowpass filter should be guided by the objective to reduce the roll-off domain as much as possible while achieving the necessary rejection to uplink transmissions above 703 MHz. Ideally, a guard interval of 9 MHz could be achieved which would also make available TV channels 45 – 48.</w:t>
      </w:r>
    </w:p>
    <w:p w14:paraId="0A1A199E" w14:textId="77777777" w:rsidR="00D06EF3" w:rsidRDefault="00D06EF3" w:rsidP="00D06EF3">
      <w:pPr>
        <w:jc w:val="both"/>
        <w:rPr>
          <w:rFonts w:ascii="Arial" w:hAnsi="Arial" w:cs="Arial"/>
        </w:rPr>
      </w:pPr>
    </w:p>
    <w:p w14:paraId="7577A153" w14:textId="77777777" w:rsidR="00D06EF3" w:rsidRPr="00D06EF3" w:rsidRDefault="00D06EF3" w:rsidP="00D06EF3">
      <w:pPr>
        <w:rPr>
          <w:rFonts w:ascii="Arial" w:hAnsi="Arial" w:cs="Arial"/>
          <w:b/>
          <w:bCs/>
        </w:rPr>
      </w:pPr>
      <w:r w:rsidRPr="00D06EF3">
        <w:rPr>
          <w:rFonts w:ascii="Arial" w:hAnsi="Arial" w:cs="Arial"/>
          <w:b/>
          <w:bCs/>
        </w:rPr>
        <w:t>Proposals:</w:t>
      </w:r>
    </w:p>
    <w:p w14:paraId="0974DDB3" w14:textId="4E466FB1" w:rsidR="00D06EF3" w:rsidRPr="0015310D" w:rsidRDefault="00F303C2" w:rsidP="004D4233">
      <w:pPr>
        <w:pStyle w:val="Listenabsatz"/>
        <w:numPr>
          <w:ilvl w:val="0"/>
          <w:numId w:val="23"/>
        </w:numPr>
        <w:jc w:val="both"/>
        <w:rPr>
          <w:rFonts w:ascii="Arial" w:hAnsi="Arial" w:cs="Arial"/>
          <w:b/>
          <w:bCs/>
        </w:rPr>
      </w:pPr>
      <w:r>
        <w:rPr>
          <w:rFonts w:ascii="Arial" w:hAnsi="Arial" w:cs="Arial"/>
          <w:b/>
          <w:bCs/>
        </w:rPr>
        <w:t xml:space="preserve">Already </w:t>
      </w:r>
      <w:r w:rsidR="00D06EF3" w:rsidRPr="0015310D">
        <w:rPr>
          <w:rFonts w:ascii="Arial" w:hAnsi="Arial" w:cs="Arial"/>
          <w:b/>
          <w:bCs/>
        </w:rPr>
        <w:t>existing duplex filter</w:t>
      </w:r>
      <w:r w:rsidR="002D3FAD">
        <w:rPr>
          <w:rFonts w:ascii="Arial" w:hAnsi="Arial" w:cs="Arial"/>
          <w:b/>
          <w:bCs/>
        </w:rPr>
        <w:t xml:space="preserve"> components for</w:t>
      </w:r>
      <w:r w:rsidR="00D06EF3" w:rsidRPr="0015310D">
        <w:rPr>
          <w:rFonts w:ascii="Arial" w:hAnsi="Arial" w:cs="Arial"/>
          <w:b/>
          <w:bCs/>
        </w:rPr>
        <w:t xml:space="preserve"> </w:t>
      </w:r>
      <w:r w:rsidR="002D3FAD" w:rsidRPr="0015310D">
        <w:rPr>
          <w:rFonts w:ascii="Arial" w:hAnsi="Arial" w:cs="Arial"/>
          <w:b/>
          <w:bCs/>
        </w:rPr>
        <w:t xml:space="preserve">band n71 </w:t>
      </w:r>
      <w:r>
        <w:rPr>
          <w:rFonts w:ascii="Arial" w:hAnsi="Arial" w:cs="Arial"/>
          <w:b/>
          <w:bCs/>
        </w:rPr>
        <w:t>demonstrate that similar filters are feasible</w:t>
      </w:r>
      <w:r w:rsidR="002D3FAD">
        <w:rPr>
          <w:rFonts w:ascii="Arial" w:hAnsi="Arial" w:cs="Arial"/>
          <w:b/>
          <w:bCs/>
        </w:rPr>
        <w:t>.</w:t>
      </w:r>
      <w:r>
        <w:rPr>
          <w:rFonts w:ascii="Arial" w:hAnsi="Arial" w:cs="Arial"/>
          <w:b/>
          <w:bCs/>
        </w:rPr>
        <w:t xml:space="preserve"> </w:t>
      </w:r>
      <w:r w:rsidR="002D3FAD">
        <w:rPr>
          <w:rFonts w:ascii="Arial" w:hAnsi="Arial" w:cs="Arial"/>
          <w:b/>
          <w:bCs/>
        </w:rPr>
        <w:t xml:space="preserve">It is proposed to adopt such kind of filters </w:t>
      </w:r>
      <w:r w:rsidR="00D06EF3" w:rsidRPr="0015310D">
        <w:rPr>
          <w:rFonts w:ascii="Arial" w:hAnsi="Arial" w:cs="Arial"/>
          <w:b/>
          <w:bCs/>
        </w:rPr>
        <w:t>in an appropriate overlapping scheme to cover the entire sub700 MHz band.</w:t>
      </w:r>
    </w:p>
    <w:p w14:paraId="6369C8E8" w14:textId="2AA991E3" w:rsidR="00D06EF3" w:rsidRPr="0015310D" w:rsidRDefault="00D06EF3" w:rsidP="004D4233">
      <w:pPr>
        <w:pStyle w:val="Listenabsatz"/>
        <w:numPr>
          <w:ilvl w:val="0"/>
          <w:numId w:val="23"/>
        </w:numPr>
        <w:rPr>
          <w:rFonts w:ascii="Arial" w:hAnsi="Arial" w:cs="Arial"/>
          <w:b/>
          <w:bCs/>
        </w:rPr>
      </w:pPr>
      <w:r w:rsidRPr="0015310D">
        <w:rPr>
          <w:rFonts w:ascii="Arial" w:hAnsi="Arial" w:cs="Arial"/>
          <w:b/>
          <w:bCs/>
        </w:rPr>
        <w:t xml:space="preserve">Deploy additional lowpass filtering to reduce the guard band between uplink in n28 and 5G Broadcast in sub700 MHz as much as possible. Aim to achieve a guard band of 9 MHz. </w:t>
      </w:r>
    </w:p>
    <w:p w14:paraId="464E89CE" w14:textId="389CA443" w:rsidR="00D06EF3" w:rsidRPr="0015310D" w:rsidRDefault="00D06EF3" w:rsidP="00D06EF3">
      <w:pPr>
        <w:pStyle w:val="Listenabsatz"/>
        <w:numPr>
          <w:ilvl w:val="0"/>
          <w:numId w:val="23"/>
        </w:numPr>
        <w:rPr>
          <w:rFonts w:ascii="Arial" w:hAnsi="Arial" w:cs="Arial"/>
          <w:b/>
          <w:bCs/>
        </w:rPr>
      </w:pPr>
      <w:r w:rsidRPr="0015310D">
        <w:rPr>
          <w:rFonts w:ascii="Arial" w:hAnsi="Arial" w:cs="Arial"/>
          <w:b/>
          <w:bCs/>
        </w:rPr>
        <w:t>If lowpass filtering cannot reduce the guard band to 9 MHz</w:t>
      </w:r>
      <w:r w:rsidR="004D4233" w:rsidRPr="0015310D">
        <w:rPr>
          <w:rFonts w:ascii="Arial" w:hAnsi="Arial" w:cs="Arial"/>
          <w:b/>
          <w:bCs/>
        </w:rPr>
        <w:t>,</w:t>
      </w:r>
      <w:r w:rsidRPr="0015310D">
        <w:rPr>
          <w:rFonts w:ascii="Arial" w:hAnsi="Arial" w:cs="Arial"/>
          <w:b/>
          <w:bCs/>
        </w:rPr>
        <w:t xml:space="preserve"> then the UE shall signal to the BS that it is receiving 5G Broadcast </w:t>
      </w:r>
      <w:r w:rsidR="007B09EF" w:rsidRPr="0015310D">
        <w:rPr>
          <w:rFonts w:ascii="Arial" w:hAnsi="Arial" w:cs="Arial"/>
          <w:b/>
          <w:bCs/>
        </w:rPr>
        <w:t xml:space="preserve">in order not to allocate </w:t>
      </w:r>
      <w:r w:rsidRPr="0015310D">
        <w:rPr>
          <w:rFonts w:ascii="Arial" w:hAnsi="Arial" w:cs="Arial"/>
          <w:b/>
          <w:bCs/>
        </w:rPr>
        <w:t xml:space="preserve">uplink resources in </w:t>
      </w:r>
      <w:r w:rsidR="007B09EF" w:rsidRPr="0015310D">
        <w:rPr>
          <w:rFonts w:ascii="Arial" w:hAnsi="Arial" w:cs="Arial"/>
          <w:b/>
          <w:bCs/>
        </w:rPr>
        <w:t>band n28 to the UE.</w:t>
      </w:r>
    </w:p>
    <w:p w14:paraId="55E2B647" w14:textId="77777777" w:rsidR="00D06EF3" w:rsidRDefault="00D06EF3" w:rsidP="00D06EF3">
      <w:pPr>
        <w:jc w:val="both"/>
        <w:rPr>
          <w:rFonts w:ascii="Arial" w:hAnsi="Arial" w:cs="Arial"/>
        </w:rPr>
      </w:pPr>
    </w:p>
    <w:p w14:paraId="0BF51ADC" w14:textId="65B7C3E3" w:rsidR="00D06EF3" w:rsidRDefault="00D06EF3" w:rsidP="00D06EF3">
      <w:pPr>
        <w:jc w:val="both"/>
        <w:rPr>
          <w:rFonts w:ascii="Arial" w:hAnsi="Arial" w:cs="Arial"/>
        </w:rPr>
        <w:sectPr w:rsidR="00D06EF3">
          <w:pgSz w:w="11898" w:h="16827"/>
          <w:pgMar w:top="1416" w:right="1133" w:bottom="1133" w:left="1133" w:header="850" w:footer="340" w:gutter="0"/>
          <w:cols w:space="720"/>
        </w:sectPr>
      </w:pPr>
    </w:p>
    <w:p w14:paraId="141B48D3" w14:textId="77777777" w:rsidR="00D06EF3" w:rsidRDefault="00D06EF3" w:rsidP="00D06EF3">
      <w:pPr>
        <w:pStyle w:val="Textvorlage"/>
        <w:jc w:val="center"/>
        <w:rPr>
          <w:lang w:val="en-US"/>
        </w:rPr>
      </w:pPr>
      <w:r>
        <w:rPr>
          <w:noProof/>
          <w:lang w:val="en-GB" w:eastAsia="en-GB"/>
        </w:rPr>
        <w:lastRenderedPageBreak/>
        <w:drawing>
          <wp:inline distT="0" distB="0" distL="0" distR="0" wp14:anchorId="315DD73F" wp14:editId="7817638D">
            <wp:extent cx="9072245" cy="232727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2">
                      <a:extLst>
                        <a:ext uri="{28A0092B-C50C-407E-A947-70E740481C1C}">
                          <a14:useLocalDpi xmlns:a14="http://schemas.microsoft.com/office/drawing/2010/main" val="0"/>
                        </a:ext>
                      </a:extLst>
                    </a:blip>
                    <a:stretch>
                      <a:fillRect/>
                    </a:stretch>
                  </pic:blipFill>
                  <pic:spPr>
                    <a:xfrm>
                      <a:off x="0" y="0"/>
                      <a:ext cx="9072245" cy="2327275"/>
                    </a:xfrm>
                    <a:prstGeom prst="rect">
                      <a:avLst/>
                    </a:prstGeom>
                  </pic:spPr>
                </pic:pic>
              </a:graphicData>
            </a:graphic>
          </wp:inline>
        </w:drawing>
      </w:r>
    </w:p>
    <w:p w14:paraId="75C5793A" w14:textId="6DEC9D38" w:rsidR="00D06EF3" w:rsidRPr="0015310D" w:rsidRDefault="00D06EF3" w:rsidP="00D06EF3">
      <w:pPr>
        <w:pStyle w:val="Textvorlage"/>
        <w:rPr>
          <w:sz w:val="20"/>
          <w:szCs w:val="20"/>
          <w:lang w:val="en-US"/>
        </w:rPr>
      </w:pPr>
      <w:r w:rsidRPr="0015310D">
        <w:rPr>
          <w:b/>
          <w:bCs/>
          <w:sz w:val="20"/>
          <w:szCs w:val="20"/>
          <w:lang w:val="en-US"/>
        </w:rPr>
        <w:t>Figure 2:</w:t>
      </w:r>
      <w:r w:rsidRPr="0015310D">
        <w:rPr>
          <w:b/>
          <w:bCs/>
          <w:sz w:val="20"/>
          <w:szCs w:val="20"/>
          <w:lang w:val="en-US"/>
        </w:rPr>
        <w:tab/>
      </w:r>
      <w:r w:rsidRPr="0015310D">
        <w:rPr>
          <w:sz w:val="20"/>
          <w:szCs w:val="20"/>
          <w:lang w:val="en-US"/>
        </w:rPr>
        <w:t xml:space="preserve">Arrangement of 600 MHz duplex filters across the sub700 MHz band for 5G Broadcast. The yellow blocks are the shifted duplexes. The </w:t>
      </w:r>
      <w:r w:rsidR="0015310D">
        <w:rPr>
          <w:sz w:val="20"/>
          <w:szCs w:val="20"/>
          <w:lang w:val="en-US"/>
        </w:rPr>
        <w:tab/>
      </w:r>
      <w:r w:rsidR="0015310D">
        <w:rPr>
          <w:sz w:val="20"/>
          <w:szCs w:val="20"/>
          <w:lang w:val="en-US"/>
        </w:rPr>
        <w:tab/>
      </w:r>
      <w:r w:rsidR="0015310D">
        <w:rPr>
          <w:sz w:val="20"/>
          <w:szCs w:val="20"/>
          <w:lang w:val="en-US"/>
        </w:rPr>
        <w:tab/>
      </w:r>
      <w:r w:rsidRPr="0015310D">
        <w:rPr>
          <w:sz w:val="20"/>
          <w:szCs w:val="20"/>
          <w:lang w:val="en-US"/>
        </w:rPr>
        <w:t xml:space="preserve">light red box denotes the 35 MHz maximum guard band according to the duplexer performance. Additional lowpass filtering may need to be applied </w:t>
      </w:r>
      <w:r w:rsidR="0015310D">
        <w:rPr>
          <w:sz w:val="20"/>
          <w:szCs w:val="20"/>
          <w:lang w:val="en-US"/>
        </w:rPr>
        <w:tab/>
      </w:r>
      <w:r w:rsidR="0015310D">
        <w:rPr>
          <w:sz w:val="20"/>
          <w:szCs w:val="20"/>
          <w:lang w:val="en-US"/>
        </w:rPr>
        <w:tab/>
      </w:r>
      <w:r w:rsidRPr="0015310D">
        <w:rPr>
          <w:sz w:val="20"/>
          <w:szCs w:val="20"/>
          <w:lang w:val="en-US"/>
        </w:rPr>
        <w:t>to make TV channels 45 – 48 available as well.</w:t>
      </w:r>
    </w:p>
    <w:p w14:paraId="33C89737" w14:textId="77777777" w:rsidR="00D06EF3" w:rsidRDefault="00D06EF3" w:rsidP="00D06EF3">
      <w:pPr>
        <w:pStyle w:val="Textvorlage"/>
        <w:rPr>
          <w:lang w:val="en-US"/>
        </w:rPr>
      </w:pPr>
    </w:p>
    <w:p w14:paraId="7666EFCF" w14:textId="660AC66B" w:rsidR="00D06EF3" w:rsidRPr="00D06EF3" w:rsidRDefault="00D06EF3" w:rsidP="00D06EF3">
      <w:pPr>
        <w:rPr>
          <w:rFonts w:ascii="Arial" w:hAnsi="Arial" w:cs="Arial"/>
          <w:lang w:val="en-US"/>
        </w:rPr>
      </w:pPr>
    </w:p>
    <w:p w14:paraId="551426D6" w14:textId="114DA75B" w:rsidR="00D06EF3" w:rsidRDefault="00D06EF3" w:rsidP="00D06EF3">
      <w:pPr>
        <w:rPr>
          <w:rFonts w:ascii="Arial" w:hAnsi="Arial" w:cs="Arial"/>
        </w:rPr>
        <w:sectPr w:rsidR="00D06EF3" w:rsidSect="00D06EF3">
          <w:pgSz w:w="16827" w:h="11898" w:orient="landscape"/>
          <w:pgMar w:top="1133" w:right="1416" w:bottom="1133" w:left="1133" w:header="850" w:footer="340" w:gutter="0"/>
          <w:cols w:space="720"/>
          <w:docGrid w:linePitch="272"/>
        </w:sectPr>
      </w:pPr>
    </w:p>
    <w:p w14:paraId="77BD429E" w14:textId="2837B856" w:rsidR="00DD6A2A" w:rsidRPr="007B09EF" w:rsidRDefault="007B09EF" w:rsidP="007B09EF">
      <w:pPr>
        <w:pStyle w:val="berschrift3"/>
        <w:rPr>
          <w:b/>
          <w:bCs/>
        </w:rPr>
      </w:pPr>
      <w:r w:rsidRPr="007B09EF">
        <w:rPr>
          <w:b/>
          <w:bCs/>
        </w:rPr>
        <w:lastRenderedPageBreak/>
        <w:t>2.2</w:t>
      </w:r>
      <w:r w:rsidRPr="007B09EF">
        <w:rPr>
          <w:b/>
          <w:bCs/>
        </w:rPr>
        <w:tab/>
        <w:t>Reference sensitivity</w:t>
      </w:r>
    </w:p>
    <w:p w14:paraId="1CD6E347" w14:textId="181043C8" w:rsidR="0015310D" w:rsidRDefault="0015310D" w:rsidP="0015310D">
      <w:pPr>
        <w:pStyle w:val="Textvorlage"/>
        <w:rPr>
          <w:rFonts w:cs="Arial"/>
          <w:sz w:val="22"/>
          <w:lang w:val="en-US"/>
        </w:rPr>
      </w:pPr>
      <w:r w:rsidRPr="00DD60BE">
        <w:rPr>
          <w:rFonts w:cs="Arial"/>
          <w:sz w:val="22"/>
          <w:lang w:val="en-US"/>
        </w:rPr>
        <w:t xml:space="preserve">For sake of comparison, the calculated minimum receiver signal input power of DVB-T2 receivers in </w:t>
      </w:r>
      <w:r>
        <w:rPr>
          <w:rFonts w:cs="Arial"/>
          <w:sz w:val="22"/>
          <w:lang w:val="en-US"/>
        </w:rPr>
        <w:t xml:space="preserve">[3] </w:t>
      </w:r>
      <w:r w:rsidRPr="00DD60BE">
        <w:rPr>
          <w:rFonts w:cs="Arial"/>
          <w:sz w:val="22"/>
          <w:lang w:val="en-US"/>
        </w:rPr>
        <w:t xml:space="preserve">is shown in the </w:t>
      </w:r>
      <w:r>
        <w:rPr>
          <w:rFonts w:cs="Arial"/>
          <w:sz w:val="22"/>
          <w:lang w:val="en-US"/>
        </w:rPr>
        <w:t>T</w:t>
      </w:r>
      <w:r w:rsidRPr="00DD60BE">
        <w:rPr>
          <w:rFonts w:cs="Arial"/>
          <w:sz w:val="22"/>
          <w:lang w:val="en-US"/>
        </w:rPr>
        <w:t>able 1.</w:t>
      </w:r>
    </w:p>
    <w:p w14:paraId="2E8B0A79" w14:textId="77777777" w:rsidR="0015310D" w:rsidRPr="00DD60BE" w:rsidRDefault="0015310D" w:rsidP="0015310D">
      <w:pPr>
        <w:pStyle w:val="Textvorlage"/>
        <w:rPr>
          <w:rFonts w:cs="Arial"/>
          <w:sz w:val="22"/>
          <w:lang w:val="en-US"/>
        </w:rPr>
      </w:pPr>
    </w:p>
    <w:p w14:paraId="7AD9CEB7" w14:textId="7E17DB5C" w:rsidR="0015310D" w:rsidRPr="00DD60BE" w:rsidRDefault="0015310D" w:rsidP="0015310D">
      <w:pPr>
        <w:pStyle w:val="Textvorlage"/>
        <w:jc w:val="center"/>
        <w:rPr>
          <w:rFonts w:cs="Arial"/>
          <w:b/>
          <w:bCs/>
          <w:sz w:val="22"/>
          <w:lang w:val="en-US"/>
        </w:rPr>
      </w:pPr>
      <w:r w:rsidRPr="00DD60BE">
        <w:rPr>
          <w:rFonts w:cs="Arial"/>
          <w:b/>
          <w:bCs/>
          <w:sz w:val="22"/>
          <w:lang w:val="en-US"/>
        </w:rPr>
        <w:t xml:space="preserve">Table </w:t>
      </w:r>
      <w:r>
        <w:rPr>
          <w:rFonts w:cs="Arial"/>
          <w:b/>
          <w:bCs/>
          <w:sz w:val="22"/>
          <w:lang w:val="en-US"/>
        </w:rPr>
        <w:t>1:</w:t>
      </w:r>
      <w:r w:rsidRPr="00DD60BE">
        <w:rPr>
          <w:rFonts w:cs="Arial"/>
          <w:b/>
          <w:bCs/>
          <w:sz w:val="22"/>
          <w:lang w:val="en-US"/>
        </w:rPr>
        <w:t xml:space="preserve"> Calculation of receiver signal input power for DVB-T2 receivers</w:t>
      </w:r>
    </w:p>
    <w:p w14:paraId="10DC3DF7" w14:textId="77777777" w:rsidR="0015310D" w:rsidRDefault="0015310D" w:rsidP="0015310D">
      <w:pPr>
        <w:pStyle w:val="Textvorlage"/>
        <w:jc w:val="center"/>
        <w:rPr>
          <w:lang w:val="en-US"/>
        </w:rPr>
      </w:pPr>
      <w:r w:rsidRPr="00B13B22">
        <w:rPr>
          <w:noProof/>
          <w:lang w:val="en-GB" w:eastAsia="en-GB"/>
        </w:rPr>
        <w:drawing>
          <wp:inline distT="0" distB="0" distL="0" distR="0" wp14:anchorId="6C41ED64" wp14:editId="68618C38">
            <wp:extent cx="6110897" cy="394460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3049" cy="3965356"/>
                    </a:xfrm>
                    <a:prstGeom prst="rect">
                      <a:avLst/>
                    </a:prstGeom>
                    <a:noFill/>
                    <a:ln>
                      <a:noFill/>
                    </a:ln>
                  </pic:spPr>
                </pic:pic>
              </a:graphicData>
            </a:graphic>
          </wp:inline>
        </w:drawing>
      </w:r>
    </w:p>
    <w:p w14:paraId="3C5473DE" w14:textId="014D420C" w:rsidR="00DD6A2A" w:rsidRDefault="00DD6A2A" w:rsidP="00D06EF3">
      <w:pPr>
        <w:rPr>
          <w:rFonts w:ascii="Arial" w:hAnsi="Arial" w:cs="Arial"/>
        </w:rPr>
      </w:pPr>
    </w:p>
    <w:p w14:paraId="7FA3CF05" w14:textId="7C0B8AFC" w:rsidR="0015310D" w:rsidRDefault="0015310D" w:rsidP="0015310D">
      <w:pPr>
        <w:pStyle w:val="Textvorlage"/>
        <w:rPr>
          <w:rFonts w:cs="Arial"/>
          <w:sz w:val="22"/>
          <w:lang w:val="en-US"/>
        </w:rPr>
      </w:pPr>
      <w:r>
        <w:rPr>
          <w:rFonts w:cs="Arial"/>
          <w:sz w:val="22"/>
          <w:lang w:val="en-US"/>
        </w:rPr>
        <w:t xml:space="preserve">As shown, for the portable and mobile reception modes considered in this table (using example system variants), the sensitivity of DVB-T2 receivers (for 8 MHz channel bandwidth) is around -119 </w:t>
      </w:r>
      <w:proofErr w:type="spellStart"/>
      <w:r>
        <w:rPr>
          <w:rFonts w:cs="Arial"/>
          <w:sz w:val="22"/>
          <w:lang w:val="en-US"/>
        </w:rPr>
        <w:t>dBW</w:t>
      </w:r>
      <w:proofErr w:type="spellEnd"/>
      <w:r>
        <w:rPr>
          <w:rFonts w:cs="Arial"/>
          <w:sz w:val="22"/>
          <w:lang w:val="en-US"/>
        </w:rPr>
        <w:t>, which is -89 dBm. This is higher (i.e. showing less sensitivity) than the proposed -97.9 dBm in RAN4. Inversely, the RAN4 proposed sensitivity of -97.9 dBm would correspond to a DVB-T2 C/N of 1.2 dB (a highly robust variant).</w:t>
      </w:r>
    </w:p>
    <w:p w14:paraId="26358153" w14:textId="58830BD9" w:rsidR="0015310D" w:rsidRPr="0015310D" w:rsidRDefault="0015310D" w:rsidP="0015310D">
      <w:pPr>
        <w:pStyle w:val="Textvorlage"/>
        <w:rPr>
          <w:rFonts w:cs="Arial"/>
          <w:b/>
          <w:bCs/>
          <w:sz w:val="22"/>
          <w:lang w:val="en-US"/>
        </w:rPr>
      </w:pPr>
      <w:r w:rsidRPr="0015310D">
        <w:rPr>
          <w:rFonts w:cs="Arial"/>
          <w:b/>
          <w:bCs/>
          <w:sz w:val="22"/>
          <w:lang w:val="en-US"/>
        </w:rPr>
        <w:t>Proposals:</w:t>
      </w:r>
    </w:p>
    <w:p w14:paraId="4E805760" w14:textId="6C459442" w:rsidR="0015310D" w:rsidRPr="0015310D" w:rsidRDefault="0015310D" w:rsidP="0015310D">
      <w:pPr>
        <w:pStyle w:val="Textvorlage"/>
        <w:numPr>
          <w:ilvl w:val="0"/>
          <w:numId w:val="20"/>
        </w:numPr>
        <w:rPr>
          <w:rFonts w:cs="Arial"/>
          <w:b/>
          <w:bCs/>
          <w:sz w:val="22"/>
          <w:lang w:val="en-US"/>
        </w:rPr>
      </w:pPr>
      <w:r w:rsidRPr="0015310D">
        <w:rPr>
          <w:rFonts w:cs="Arial"/>
          <w:b/>
          <w:bCs/>
          <w:sz w:val="22"/>
          <w:lang w:val="en-US"/>
        </w:rPr>
        <w:t>Reference sensitivity values of -99.2, -98.5 and -97.9 should be used for 6, 7 and 8 MHz carrier bandwidth.</w:t>
      </w:r>
    </w:p>
    <w:p w14:paraId="4455A362" w14:textId="35DF26B4" w:rsidR="0015310D" w:rsidRPr="0015310D" w:rsidRDefault="0015310D" w:rsidP="0015310D">
      <w:pPr>
        <w:pStyle w:val="Textvorlage"/>
        <w:numPr>
          <w:ilvl w:val="0"/>
          <w:numId w:val="20"/>
        </w:numPr>
        <w:rPr>
          <w:rFonts w:cs="Arial"/>
          <w:b/>
          <w:bCs/>
          <w:sz w:val="22"/>
          <w:lang w:val="en-US"/>
        </w:rPr>
      </w:pPr>
      <w:r w:rsidRPr="0015310D">
        <w:rPr>
          <w:rFonts w:cs="Arial"/>
          <w:b/>
          <w:bCs/>
          <w:sz w:val="22"/>
          <w:lang w:val="en-US"/>
        </w:rPr>
        <w:t>In order to ensure compatibility between DTT and 5G Broadcast in the sub700 MHz range and facilitate sharing spectrum between the two services base any analysis on 6, 7 and 8 MHz carrier bandwidth for 5G Broadcast.</w:t>
      </w:r>
    </w:p>
    <w:p w14:paraId="0BEB89F3" w14:textId="77777777" w:rsidR="0015310D" w:rsidRPr="0015310D" w:rsidRDefault="0015310D" w:rsidP="00D06EF3">
      <w:pPr>
        <w:rPr>
          <w:rFonts w:ascii="Arial" w:hAnsi="Arial" w:cs="Arial"/>
          <w:lang w:val="en-US"/>
        </w:rPr>
      </w:pPr>
    </w:p>
    <w:p w14:paraId="44E7DA5B" w14:textId="0DB0B319" w:rsidR="007B09EF" w:rsidRDefault="007B09EF" w:rsidP="00D06EF3">
      <w:pPr>
        <w:rPr>
          <w:rFonts w:ascii="Arial" w:hAnsi="Arial" w:cs="Arial"/>
        </w:rPr>
      </w:pPr>
    </w:p>
    <w:p w14:paraId="4ED377FC" w14:textId="77777777" w:rsidR="007B09EF" w:rsidRPr="00D06EF3" w:rsidRDefault="007B09EF" w:rsidP="00D06EF3">
      <w:pPr>
        <w:rPr>
          <w:rFonts w:ascii="Arial" w:hAnsi="Arial" w:cs="Arial"/>
        </w:rPr>
      </w:pPr>
    </w:p>
    <w:p w14:paraId="0EEDEABC" w14:textId="3EF53C57" w:rsidR="00DD6A2A" w:rsidRDefault="007B09EF" w:rsidP="007B09EF">
      <w:pPr>
        <w:pStyle w:val="berschrift3"/>
        <w:rPr>
          <w:b/>
          <w:bCs/>
        </w:rPr>
      </w:pPr>
      <w:r w:rsidRPr="007B09EF">
        <w:rPr>
          <w:b/>
          <w:bCs/>
        </w:rPr>
        <w:lastRenderedPageBreak/>
        <w:t>2.3</w:t>
      </w:r>
      <w:r w:rsidRPr="007B09EF">
        <w:rPr>
          <w:b/>
          <w:bCs/>
        </w:rPr>
        <w:tab/>
        <w:t>ACS</w:t>
      </w:r>
    </w:p>
    <w:p w14:paraId="61189B96" w14:textId="745BFBB0" w:rsidR="007B09EF" w:rsidRDefault="0015310D" w:rsidP="007B09EF">
      <w:pPr>
        <w:rPr>
          <w:rFonts w:ascii="Arial" w:hAnsi="Arial" w:cs="Arial"/>
        </w:rPr>
      </w:pPr>
      <w:r>
        <w:rPr>
          <w:rFonts w:ascii="Arial" w:hAnsi="Arial" w:cs="Arial"/>
        </w:rPr>
        <w:t>The way forward leaves options 2 and 3 for further discussion.</w:t>
      </w:r>
    </w:p>
    <w:p w14:paraId="07D3869A" w14:textId="246B47D0" w:rsidR="0015310D" w:rsidRDefault="0015310D" w:rsidP="007B09EF">
      <w:pPr>
        <w:rPr>
          <w:rFonts w:ascii="Arial" w:hAnsi="Arial" w:cs="Arial"/>
          <w:b/>
          <w:bCs/>
        </w:rPr>
      </w:pPr>
      <w:r w:rsidRPr="0015310D">
        <w:rPr>
          <w:rFonts w:ascii="Arial" w:hAnsi="Arial" w:cs="Arial"/>
          <w:b/>
          <w:bCs/>
        </w:rPr>
        <w:t>Option</w:t>
      </w:r>
      <w:r>
        <w:rPr>
          <w:rFonts w:ascii="Arial" w:hAnsi="Arial" w:cs="Arial"/>
          <w:b/>
          <w:bCs/>
        </w:rPr>
        <w:t xml:space="preserve"> </w:t>
      </w:r>
      <w:r w:rsidRPr="0015310D">
        <w:rPr>
          <w:rFonts w:ascii="Arial" w:hAnsi="Arial" w:cs="Arial"/>
          <w:b/>
          <w:bCs/>
        </w:rPr>
        <w:t>2</w:t>
      </w:r>
    </w:p>
    <w:p w14:paraId="126B64F8" w14:textId="0FABD5E1" w:rsidR="0015310D" w:rsidRPr="0015310D" w:rsidRDefault="0015310D" w:rsidP="0015310D">
      <w:pPr>
        <w:jc w:val="both"/>
        <w:rPr>
          <w:rFonts w:ascii="Arial" w:hAnsi="Arial" w:cs="Arial"/>
        </w:rPr>
      </w:pPr>
      <w:r w:rsidRPr="0015310D">
        <w:rPr>
          <w:rFonts w:ascii="Arial" w:hAnsi="Arial" w:cs="Arial"/>
        </w:rPr>
        <w:t xml:space="preserve">Option 2 refers to the use of </w:t>
      </w:r>
      <w:r w:rsidR="009A044D">
        <w:rPr>
          <w:rFonts w:ascii="Arial" w:hAnsi="Arial" w:cs="Arial"/>
        </w:rPr>
        <w:t xml:space="preserve">a </w:t>
      </w:r>
      <w:r w:rsidRPr="0015310D">
        <w:rPr>
          <w:rFonts w:ascii="Arial" w:hAnsi="Arial" w:cs="Arial"/>
        </w:rPr>
        <w:t>receiving filter with 10 MHz bandwidth</w:t>
      </w:r>
      <w:r w:rsidR="00F47909">
        <w:rPr>
          <w:rFonts w:ascii="Arial" w:hAnsi="Arial" w:cs="Arial"/>
        </w:rPr>
        <w:t xml:space="preserve"> in the 5G Broadcast receiver</w:t>
      </w:r>
      <w:r w:rsidRPr="0015310D">
        <w:rPr>
          <w:rFonts w:ascii="Arial" w:hAnsi="Arial" w:cs="Arial"/>
        </w:rPr>
        <w:t xml:space="preserve">. </w:t>
      </w:r>
    </w:p>
    <w:p w14:paraId="3D0D34B8" w14:textId="69D75A66" w:rsidR="0015310D" w:rsidRPr="0015310D" w:rsidRDefault="005E45BA" w:rsidP="0015310D">
      <w:pPr>
        <w:jc w:val="both"/>
        <w:rPr>
          <w:rFonts w:ascii="Arial" w:hAnsi="Arial" w:cs="Arial"/>
        </w:rPr>
      </w:pPr>
      <w:r>
        <w:rPr>
          <w:rFonts w:ascii="Arial" w:hAnsi="Arial" w:cs="Arial"/>
        </w:rPr>
        <w:t>With</w:t>
      </w:r>
      <w:r w:rsidR="00FA5FF1">
        <w:rPr>
          <w:rFonts w:ascii="Arial" w:hAnsi="Arial" w:cs="Arial"/>
        </w:rPr>
        <w:t xml:space="preserve"> </w:t>
      </w:r>
      <w:r w:rsidR="0083172B">
        <w:rPr>
          <w:rFonts w:ascii="Arial" w:hAnsi="Arial" w:cs="Arial"/>
        </w:rPr>
        <w:t xml:space="preserve">a 10 MHz bandwidth </w:t>
      </w:r>
      <w:r w:rsidR="00E668AC">
        <w:rPr>
          <w:rFonts w:ascii="Arial" w:hAnsi="Arial" w:cs="Arial"/>
        </w:rPr>
        <w:t xml:space="preserve">filter </w:t>
      </w:r>
      <w:r w:rsidR="0083172B">
        <w:rPr>
          <w:rFonts w:ascii="Arial" w:hAnsi="Arial" w:cs="Arial"/>
        </w:rPr>
        <w:t xml:space="preserve">and </w:t>
      </w:r>
      <w:r w:rsidR="00A83A5E">
        <w:rPr>
          <w:rFonts w:ascii="Arial" w:hAnsi="Arial" w:cs="Arial"/>
        </w:rPr>
        <w:t xml:space="preserve">a 5G Broadcast signal </w:t>
      </w:r>
      <w:r w:rsidR="00ED12C0">
        <w:rPr>
          <w:rFonts w:ascii="Arial" w:hAnsi="Arial" w:cs="Arial"/>
        </w:rPr>
        <w:t xml:space="preserve">placed at </w:t>
      </w:r>
      <w:r w:rsidR="0015310D" w:rsidRPr="0015310D">
        <w:rPr>
          <w:rFonts w:ascii="Arial" w:hAnsi="Arial" w:cs="Arial"/>
        </w:rPr>
        <w:t>10 MHz offset</w:t>
      </w:r>
      <w:r w:rsidR="00ED12C0">
        <w:rPr>
          <w:rFonts w:ascii="Arial" w:hAnsi="Arial" w:cs="Arial"/>
        </w:rPr>
        <w:t xml:space="preserve"> from</w:t>
      </w:r>
      <w:r w:rsidR="0015310D" w:rsidRPr="0015310D">
        <w:rPr>
          <w:rFonts w:ascii="Arial" w:hAnsi="Arial" w:cs="Arial"/>
        </w:rPr>
        <w:t xml:space="preserve"> a DTT interfering signal with 8 MHz bandwidth</w:t>
      </w:r>
      <w:r w:rsidR="00ED12C0">
        <w:rPr>
          <w:rFonts w:ascii="Arial" w:hAnsi="Arial" w:cs="Arial"/>
        </w:rPr>
        <w:t>,</w:t>
      </w:r>
      <w:r w:rsidR="00104524">
        <w:rPr>
          <w:rFonts w:ascii="Arial" w:hAnsi="Arial" w:cs="Arial"/>
        </w:rPr>
        <w:t xml:space="preserve"> the calculated</w:t>
      </w:r>
      <w:r w:rsidR="00ED12C0">
        <w:rPr>
          <w:rFonts w:ascii="Arial" w:hAnsi="Arial" w:cs="Arial"/>
        </w:rPr>
        <w:t xml:space="preserve"> </w:t>
      </w:r>
      <w:r w:rsidR="0015310D" w:rsidRPr="0015310D">
        <w:rPr>
          <w:rFonts w:ascii="Arial" w:hAnsi="Arial" w:cs="Arial"/>
        </w:rPr>
        <w:t xml:space="preserve">ACLR </w:t>
      </w:r>
      <w:r w:rsidR="00104524">
        <w:rPr>
          <w:rFonts w:ascii="Arial" w:hAnsi="Arial" w:cs="Arial"/>
        </w:rPr>
        <w:t xml:space="preserve">of the DTT </w:t>
      </w:r>
      <w:r w:rsidR="005623B0">
        <w:rPr>
          <w:rFonts w:ascii="Arial" w:hAnsi="Arial" w:cs="Arial"/>
        </w:rPr>
        <w:t xml:space="preserve">transmitter will be </w:t>
      </w:r>
      <w:r w:rsidR="0015310D" w:rsidRPr="0015310D">
        <w:rPr>
          <w:rFonts w:ascii="Arial" w:hAnsi="Arial" w:cs="Arial"/>
        </w:rPr>
        <w:t xml:space="preserve">at least as good as the minimum specified ACLR in </w:t>
      </w:r>
      <w:r w:rsidR="00641B49">
        <w:rPr>
          <w:rFonts w:ascii="Arial" w:hAnsi="Arial" w:cs="Arial"/>
        </w:rPr>
        <w:t>[4]</w:t>
      </w:r>
      <w:r w:rsidR="0015310D" w:rsidRPr="0015310D">
        <w:rPr>
          <w:rFonts w:ascii="Arial" w:hAnsi="Arial" w:cs="Arial"/>
        </w:rPr>
        <w:t xml:space="preserve">, which is 42 dB for the case of </w:t>
      </w:r>
      <w:r w:rsidR="00E33AAE">
        <w:rPr>
          <w:rFonts w:ascii="Arial" w:hAnsi="Arial" w:cs="Arial"/>
        </w:rPr>
        <w:t>l</w:t>
      </w:r>
      <w:r w:rsidR="0015310D" w:rsidRPr="0015310D">
        <w:rPr>
          <w:rFonts w:ascii="Arial" w:hAnsi="Arial" w:cs="Arial"/>
        </w:rPr>
        <w:t xml:space="preserve">ow power transmitter with non-critical mask. </w:t>
      </w:r>
      <w:r w:rsidR="005623B0">
        <w:rPr>
          <w:rFonts w:ascii="Arial" w:hAnsi="Arial" w:cs="Arial"/>
        </w:rPr>
        <w:t>In these conditions, t</w:t>
      </w:r>
      <w:r w:rsidR="005623B0" w:rsidRPr="0015310D">
        <w:rPr>
          <w:rFonts w:ascii="Arial" w:hAnsi="Arial" w:cs="Arial"/>
        </w:rPr>
        <w:t xml:space="preserve">he </w:t>
      </w:r>
      <w:r w:rsidR="0015310D" w:rsidRPr="0015310D">
        <w:rPr>
          <w:rFonts w:ascii="Arial" w:hAnsi="Arial" w:cs="Arial"/>
        </w:rPr>
        <w:t xml:space="preserve">investigations </w:t>
      </w:r>
      <w:r w:rsidR="00E33AAE">
        <w:rPr>
          <w:rFonts w:ascii="Arial" w:hAnsi="Arial" w:cs="Arial"/>
        </w:rPr>
        <w:t xml:space="preserve">carried out in Annex </w:t>
      </w:r>
      <w:r w:rsidR="0015310D" w:rsidRPr="0015310D">
        <w:rPr>
          <w:rFonts w:ascii="Arial" w:hAnsi="Arial" w:cs="Arial"/>
        </w:rPr>
        <w:t xml:space="preserve">A show that with an ACS of 33 dB and an ACLR of 42 dB (or more), it would be possible to have adjacent channel protection ratio as low as the value specified </w:t>
      </w:r>
      <w:r w:rsidR="00E33AAE">
        <w:rPr>
          <w:rFonts w:ascii="Arial" w:hAnsi="Arial" w:cs="Arial"/>
        </w:rPr>
        <w:t>in [5]</w:t>
      </w:r>
      <w:r w:rsidR="0015310D" w:rsidRPr="0015310D">
        <w:rPr>
          <w:rFonts w:ascii="Arial" w:hAnsi="Arial" w:cs="Arial"/>
        </w:rPr>
        <w:t xml:space="preserve"> for DTT receivers</w:t>
      </w:r>
      <w:r w:rsidR="00406BAA">
        <w:rPr>
          <w:rFonts w:ascii="Arial" w:hAnsi="Arial" w:cs="Arial"/>
        </w:rPr>
        <w:t>,</w:t>
      </w:r>
      <w:r w:rsidR="0015310D" w:rsidRPr="0015310D">
        <w:rPr>
          <w:rFonts w:ascii="Arial" w:hAnsi="Arial" w:cs="Arial"/>
        </w:rPr>
        <w:t xml:space="preserve"> which is -25 </w:t>
      </w:r>
      <w:proofErr w:type="spellStart"/>
      <w:r w:rsidR="0015310D" w:rsidRPr="0015310D">
        <w:rPr>
          <w:rFonts w:ascii="Arial" w:hAnsi="Arial" w:cs="Arial"/>
        </w:rPr>
        <w:t>dB.</w:t>
      </w:r>
      <w:proofErr w:type="spellEnd"/>
      <w:r w:rsidR="0015310D" w:rsidRPr="0015310D">
        <w:rPr>
          <w:rFonts w:ascii="Arial" w:hAnsi="Arial" w:cs="Arial"/>
        </w:rPr>
        <w:t xml:space="preserve"> </w:t>
      </w:r>
      <w:r w:rsidR="00406BAA">
        <w:rPr>
          <w:rFonts w:ascii="Arial" w:hAnsi="Arial" w:cs="Arial"/>
        </w:rPr>
        <w:t>Note that</w:t>
      </w:r>
      <w:r w:rsidR="0015310D" w:rsidRPr="0015310D">
        <w:rPr>
          <w:rFonts w:ascii="Arial" w:hAnsi="Arial" w:cs="Arial"/>
        </w:rPr>
        <w:t xml:space="preserve"> this would be the case only for robust variants of 5G </w:t>
      </w:r>
      <w:r w:rsidR="00E33AAE">
        <w:rPr>
          <w:rFonts w:ascii="Arial" w:hAnsi="Arial" w:cs="Arial"/>
        </w:rPr>
        <w:t>B</w:t>
      </w:r>
      <w:r w:rsidR="0015310D" w:rsidRPr="0015310D">
        <w:rPr>
          <w:rFonts w:ascii="Arial" w:hAnsi="Arial" w:cs="Arial"/>
        </w:rPr>
        <w:t>roadcast requiring 8 dB C/N or less. For less robust variants with higher required C/N, the required adjacent channel protection ratio increases.</w:t>
      </w:r>
    </w:p>
    <w:p w14:paraId="3EAC3A48" w14:textId="2D59E135" w:rsidR="0015310D" w:rsidRPr="0015310D" w:rsidRDefault="00C33DCD" w:rsidP="0015310D">
      <w:pPr>
        <w:jc w:val="both"/>
        <w:rPr>
          <w:rFonts w:ascii="Arial" w:hAnsi="Arial" w:cs="Arial"/>
        </w:rPr>
      </w:pPr>
      <w:r>
        <w:rPr>
          <w:rFonts w:ascii="Arial" w:hAnsi="Arial" w:cs="Arial"/>
        </w:rPr>
        <w:t>T</w:t>
      </w:r>
      <w:r w:rsidR="0015310D" w:rsidRPr="0015310D">
        <w:rPr>
          <w:rFonts w:ascii="Arial" w:hAnsi="Arial" w:cs="Arial"/>
        </w:rPr>
        <w:t>his is true with a 10 MHz offset</w:t>
      </w:r>
      <w:r>
        <w:rPr>
          <w:rFonts w:ascii="Arial" w:hAnsi="Arial" w:cs="Arial"/>
        </w:rPr>
        <w:t>.</w:t>
      </w:r>
      <w:r w:rsidR="0015310D" w:rsidRPr="0015310D">
        <w:rPr>
          <w:rFonts w:ascii="Arial" w:hAnsi="Arial" w:cs="Arial"/>
        </w:rPr>
        <w:t xml:space="preserve"> </w:t>
      </w:r>
      <w:r w:rsidR="007A65A2">
        <w:rPr>
          <w:rFonts w:ascii="Arial" w:hAnsi="Arial" w:cs="Arial"/>
        </w:rPr>
        <w:t>B</w:t>
      </w:r>
      <w:r w:rsidR="007A65A2" w:rsidRPr="0015310D">
        <w:rPr>
          <w:rFonts w:ascii="Arial" w:hAnsi="Arial" w:cs="Arial"/>
        </w:rPr>
        <w:t xml:space="preserve">ut </w:t>
      </w:r>
      <w:r w:rsidR="0015310D" w:rsidRPr="0015310D">
        <w:rPr>
          <w:rFonts w:ascii="Arial" w:hAnsi="Arial" w:cs="Arial"/>
        </w:rPr>
        <w:t xml:space="preserve">if </w:t>
      </w:r>
      <w:r w:rsidR="007A65A2">
        <w:rPr>
          <w:rFonts w:ascii="Arial" w:hAnsi="Arial" w:cs="Arial"/>
        </w:rPr>
        <w:t>the</w:t>
      </w:r>
      <w:r w:rsidR="007A65A2" w:rsidRPr="0015310D">
        <w:rPr>
          <w:rFonts w:ascii="Arial" w:hAnsi="Arial" w:cs="Arial"/>
        </w:rPr>
        <w:t xml:space="preserve"> </w:t>
      </w:r>
      <w:r w:rsidR="0015310D" w:rsidRPr="0015310D">
        <w:rPr>
          <w:rFonts w:ascii="Arial" w:hAnsi="Arial" w:cs="Arial"/>
        </w:rPr>
        <w:t xml:space="preserve">offset </w:t>
      </w:r>
      <w:r w:rsidR="00E26021">
        <w:rPr>
          <w:rFonts w:ascii="Arial" w:hAnsi="Arial" w:cs="Arial"/>
        </w:rPr>
        <w:t xml:space="preserve">is reduced to 8 MHz </w:t>
      </w:r>
      <w:r w:rsidR="0015310D" w:rsidRPr="0015310D">
        <w:rPr>
          <w:rFonts w:ascii="Arial" w:hAnsi="Arial" w:cs="Arial"/>
        </w:rPr>
        <w:t xml:space="preserve">from </w:t>
      </w:r>
      <w:r w:rsidR="00A74D60">
        <w:rPr>
          <w:rFonts w:ascii="Arial" w:hAnsi="Arial" w:cs="Arial"/>
        </w:rPr>
        <w:t>the</w:t>
      </w:r>
      <w:r w:rsidR="00A74D60" w:rsidRPr="0015310D">
        <w:rPr>
          <w:rFonts w:ascii="Arial" w:hAnsi="Arial" w:cs="Arial"/>
        </w:rPr>
        <w:t xml:space="preserve"> </w:t>
      </w:r>
      <w:r w:rsidR="0015310D" w:rsidRPr="0015310D">
        <w:rPr>
          <w:rFonts w:ascii="Arial" w:hAnsi="Arial" w:cs="Arial"/>
        </w:rPr>
        <w:t xml:space="preserve">DTT signal, i.e. by using the same channel raster as DTT, the </w:t>
      </w:r>
      <w:r w:rsidR="00B30318">
        <w:rPr>
          <w:rFonts w:ascii="Arial" w:hAnsi="Arial" w:cs="Arial"/>
        </w:rPr>
        <w:t xml:space="preserve">calculated </w:t>
      </w:r>
      <w:r w:rsidR="0015310D" w:rsidRPr="0015310D">
        <w:rPr>
          <w:rFonts w:ascii="Arial" w:hAnsi="Arial" w:cs="Arial"/>
        </w:rPr>
        <w:t>ACLR of the DTT transmitter would not reach the specified 42 dB, as more energy will leak into the 10 MHz filter of the 5G Broadcast receiver.</w:t>
      </w:r>
    </w:p>
    <w:p w14:paraId="42AEBA26" w14:textId="1C1BA4D1" w:rsidR="0015310D" w:rsidRPr="0015310D" w:rsidRDefault="00B73E5E" w:rsidP="0015310D">
      <w:pPr>
        <w:jc w:val="both"/>
        <w:rPr>
          <w:rFonts w:ascii="Arial" w:hAnsi="Arial" w:cs="Arial"/>
        </w:rPr>
      </w:pPr>
      <w:r>
        <w:rPr>
          <w:rFonts w:ascii="Arial" w:hAnsi="Arial" w:cs="Arial"/>
        </w:rPr>
        <w:t>Annex A</w:t>
      </w:r>
      <w:r w:rsidR="0015310D" w:rsidRPr="0015310D">
        <w:rPr>
          <w:rFonts w:ascii="Arial" w:hAnsi="Arial" w:cs="Arial"/>
        </w:rPr>
        <w:t xml:space="preserve"> evaluates th</w:t>
      </w:r>
      <w:r w:rsidR="00BB28D2">
        <w:rPr>
          <w:rFonts w:ascii="Arial" w:hAnsi="Arial" w:cs="Arial"/>
        </w:rPr>
        <w:t>e degradation of the ACLR in this case and the resulting</w:t>
      </w:r>
      <w:r w:rsidR="0015310D" w:rsidRPr="0015310D">
        <w:rPr>
          <w:rFonts w:ascii="Arial" w:hAnsi="Arial" w:cs="Arial"/>
        </w:rPr>
        <w:t xml:space="preserve"> degradation of the </w:t>
      </w:r>
      <w:r w:rsidR="00BB28D2">
        <w:rPr>
          <w:rFonts w:ascii="Arial" w:hAnsi="Arial" w:cs="Arial"/>
        </w:rPr>
        <w:t xml:space="preserve">adjacent channel </w:t>
      </w:r>
      <w:r w:rsidR="0015310D" w:rsidRPr="0015310D">
        <w:rPr>
          <w:rFonts w:ascii="Arial" w:hAnsi="Arial" w:cs="Arial"/>
        </w:rPr>
        <w:t xml:space="preserve">protection ratio. For a 5G broadcast </w:t>
      </w:r>
      <w:proofErr w:type="spellStart"/>
      <w:r w:rsidR="0015310D" w:rsidRPr="0015310D">
        <w:rPr>
          <w:rFonts w:ascii="Arial" w:hAnsi="Arial" w:cs="Arial"/>
        </w:rPr>
        <w:t>Modcod</w:t>
      </w:r>
      <w:proofErr w:type="spellEnd"/>
      <w:r w:rsidR="0015310D" w:rsidRPr="0015310D">
        <w:rPr>
          <w:rFonts w:ascii="Arial" w:hAnsi="Arial" w:cs="Arial"/>
        </w:rPr>
        <w:t xml:space="preserve"> with 8 dB C/N, the adjacent channel protection ratio becomes -3.6 dB (it was -25 dB with an 8 MHz channel filter). This would significantly increase the risk of impact on 5G Broadcast coverage in quite large areas around non-co-sited DTT transmitters using the first adjacent channel. Alternatively, this would increase the required separation distance between a DTT transmitter and a 5G Broadcast transmitter using adjacent channels.</w:t>
      </w:r>
    </w:p>
    <w:p w14:paraId="41F94B03" w14:textId="1EBB23DB" w:rsidR="0015310D" w:rsidRPr="0015310D" w:rsidRDefault="0015310D" w:rsidP="007B09EF">
      <w:pPr>
        <w:rPr>
          <w:rFonts w:ascii="Arial" w:hAnsi="Arial" w:cs="Arial"/>
          <w:b/>
          <w:bCs/>
        </w:rPr>
      </w:pPr>
      <w:r>
        <w:rPr>
          <w:rFonts w:ascii="Arial" w:hAnsi="Arial" w:cs="Arial"/>
          <w:b/>
          <w:bCs/>
        </w:rPr>
        <w:t>Option 3</w:t>
      </w:r>
    </w:p>
    <w:p w14:paraId="437070DB" w14:textId="5442F64B" w:rsidR="0015310D" w:rsidRDefault="00797924" w:rsidP="00797924">
      <w:pPr>
        <w:jc w:val="both"/>
        <w:rPr>
          <w:rFonts w:ascii="Arial" w:hAnsi="Arial" w:cs="Arial"/>
        </w:rPr>
      </w:pPr>
      <w:r w:rsidRPr="00797924">
        <w:rPr>
          <w:rFonts w:ascii="Arial" w:hAnsi="Arial" w:cs="Arial"/>
        </w:rPr>
        <w:t xml:space="preserve">Option 3 refers to the use of a receiving filter corresponding to the channel raster (6, 7 or 8 MHz). In this case, a DTT interfering signal with 6, 7 or 8 MHz bandwidth will show an ACLR at least as good as the minimum specified ACLR </w:t>
      </w:r>
      <w:r w:rsidR="00F92C64">
        <w:rPr>
          <w:rFonts w:ascii="Arial" w:hAnsi="Arial" w:cs="Arial"/>
        </w:rPr>
        <w:t xml:space="preserve">of </w:t>
      </w:r>
      <w:r w:rsidRPr="00797924">
        <w:rPr>
          <w:rFonts w:ascii="Arial" w:hAnsi="Arial" w:cs="Arial"/>
        </w:rPr>
        <w:t xml:space="preserve">42 </w:t>
      </w:r>
      <w:proofErr w:type="spellStart"/>
      <w:r w:rsidRPr="00797924">
        <w:rPr>
          <w:rFonts w:ascii="Arial" w:hAnsi="Arial" w:cs="Arial"/>
        </w:rPr>
        <w:t>dB.</w:t>
      </w:r>
      <w:proofErr w:type="spellEnd"/>
      <w:r w:rsidRPr="00797924">
        <w:rPr>
          <w:rFonts w:ascii="Arial" w:hAnsi="Arial" w:cs="Arial"/>
        </w:rPr>
        <w:t xml:space="preserve"> Like the case of Option 2 with 10 MHz channel raster, the investigations made in section </w:t>
      </w:r>
      <w:r>
        <w:rPr>
          <w:rFonts w:ascii="Arial" w:hAnsi="Arial" w:cs="Arial"/>
        </w:rPr>
        <w:t>Annex A</w:t>
      </w:r>
      <w:r w:rsidRPr="00797924">
        <w:rPr>
          <w:rFonts w:ascii="Arial" w:hAnsi="Arial" w:cs="Arial"/>
        </w:rPr>
        <w:t xml:space="preserve"> show that with an ACS of 33 dB and an ACLR of 42 dB (or more), it would be possible to have adjacent channel protection ratio of -25 dB for robust variants of 5G broadcast, requiring 8 dB C/N or less. For less robust variants with higher required C/N, the required adjacent channel protection ratio increases.</w:t>
      </w:r>
    </w:p>
    <w:p w14:paraId="52BE5C2C" w14:textId="77777777" w:rsidR="00797924" w:rsidRPr="0015310D" w:rsidRDefault="00797924" w:rsidP="00797924">
      <w:pPr>
        <w:jc w:val="both"/>
        <w:rPr>
          <w:rFonts w:ascii="Arial" w:hAnsi="Arial" w:cs="Arial"/>
        </w:rPr>
      </w:pPr>
    </w:p>
    <w:p w14:paraId="4B87E172" w14:textId="1A8D4BC3" w:rsidR="007B09EF" w:rsidRPr="00797924" w:rsidRDefault="00797924" w:rsidP="007B09EF">
      <w:pPr>
        <w:rPr>
          <w:rFonts w:ascii="Arial" w:hAnsi="Arial" w:cs="Arial"/>
          <w:b/>
          <w:bCs/>
        </w:rPr>
      </w:pPr>
      <w:r w:rsidRPr="00797924">
        <w:rPr>
          <w:rFonts w:ascii="Arial" w:hAnsi="Arial" w:cs="Arial"/>
          <w:b/>
          <w:bCs/>
        </w:rPr>
        <w:t>Proposal:</w:t>
      </w:r>
    </w:p>
    <w:p w14:paraId="67116AB1" w14:textId="2C6362C3" w:rsidR="007B09EF" w:rsidRPr="00797924" w:rsidRDefault="00797924" w:rsidP="00797924">
      <w:pPr>
        <w:pStyle w:val="Listenabsatz"/>
        <w:numPr>
          <w:ilvl w:val="0"/>
          <w:numId w:val="20"/>
        </w:numPr>
        <w:rPr>
          <w:rFonts w:ascii="Arial" w:hAnsi="Arial" w:cs="Arial"/>
          <w:b/>
          <w:bCs/>
        </w:rPr>
      </w:pPr>
      <w:r w:rsidRPr="00797924">
        <w:rPr>
          <w:rFonts w:ascii="Arial" w:hAnsi="Arial" w:cs="Arial"/>
          <w:b/>
          <w:bCs/>
        </w:rPr>
        <w:t xml:space="preserve">Use </w:t>
      </w:r>
      <w:r w:rsidRPr="00797924">
        <w:rPr>
          <w:rFonts w:ascii="Arial" w:hAnsi="Arial" w:cs="Arial"/>
          <w:b/>
          <w:bCs/>
          <w:iCs/>
          <w:lang w:val="en-US" w:eastAsia="zh-CN"/>
        </w:rPr>
        <w:t>-33 dB with frequency offset at 6, 7, and 8 MHz.</w:t>
      </w:r>
    </w:p>
    <w:p w14:paraId="7939F3DA" w14:textId="72DE3040" w:rsidR="00CA585B" w:rsidRPr="005203CE" w:rsidRDefault="0091202B" w:rsidP="005203CE">
      <w:pPr>
        <w:pStyle w:val="berschrift1"/>
      </w:pPr>
      <w:r>
        <w:t>Summary</w:t>
      </w:r>
    </w:p>
    <w:p w14:paraId="6AB7B9D2" w14:textId="7ED960B3" w:rsidR="00EF42D9" w:rsidRDefault="00797924" w:rsidP="00EF42D9">
      <w:pPr>
        <w:spacing w:after="0"/>
        <w:rPr>
          <w:rFonts w:ascii="Arial" w:hAnsi="Arial" w:cs="Arial"/>
        </w:rPr>
      </w:pPr>
      <w:r>
        <w:rPr>
          <w:rFonts w:ascii="Arial" w:hAnsi="Arial" w:cs="Arial"/>
        </w:rPr>
        <w:t xml:space="preserve">This contribution puts forward some analysis referring to the way forward [1] for the WI [2] on 5G Broadcast. The proposals are summarized as follows: </w:t>
      </w:r>
    </w:p>
    <w:p w14:paraId="745FB660" w14:textId="16E47923" w:rsidR="00797924" w:rsidRDefault="00797924" w:rsidP="00EF42D9">
      <w:pPr>
        <w:spacing w:after="0"/>
        <w:rPr>
          <w:rFonts w:ascii="Arial" w:hAnsi="Arial" w:cs="Arial"/>
        </w:rPr>
      </w:pPr>
    </w:p>
    <w:p w14:paraId="5607FBB8" w14:textId="318C5971" w:rsidR="00797924" w:rsidRPr="00797924" w:rsidRDefault="00797924" w:rsidP="00EF42D9">
      <w:pPr>
        <w:spacing w:after="0"/>
        <w:rPr>
          <w:rFonts w:ascii="Arial" w:hAnsi="Arial" w:cs="Arial"/>
          <w:b/>
          <w:bCs/>
          <w:sz w:val="24"/>
          <w:szCs w:val="24"/>
        </w:rPr>
      </w:pPr>
      <w:r w:rsidRPr="00797924">
        <w:rPr>
          <w:rFonts w:ascii="Arial" w:hAnsi="Arial" w:cs="Arial"/>
          <w:b/>
          <w:bCs/>
          <w:sz w:val="24"/>
          <w:szCs w:val="24"/>
        </w:rPr>
        <w:t>Band Plan:</w:t>
      </w:r>
    </w:p>
    <w:p w14:paraId="705007EF" w14:textId="55DF9309" w:rsidR="00797924" w:rsidRDefault="00797924" w:rsidP="00EF42D9">
      <w:pPr>
        <w:spacing w:after="0"/>
        <w:rPr>
          <w:rFonts w:ascii="Arial" w:hAnsi="Arial" w:cs="Arial"/>
        </w:rPr>
      </w:pPr>
    </w:p>
    <w:p w14:paraId="4B40676B" w14:textId="45B7B090" w:rsidR="00797924" w:rsidRPr="00797924" w:rsidRDefault="00EB0621" w:rsidP="00797924">
      <w:pPr>
        <w:pStyle w:val="Listenabsatz"/>
        <w:numPr>
          <w:ilvl w:val="0"/>
          <w:numId w:val="27"/>
        </w:numPr>
        <w:jc w:val="both"/>
        <w:rPr>
          <w:rFonts w:ascii="Arial" w:hAnsi="Arial" w:cs="Arial"/>
          <w:b/>
          <w:bCs/>
        </w:rPr>
      </w:pPr>
      <w:r>
        <w:rPr>
          <w:rFonts w:ascii="Arial" w:hAnsi="Arial" w:cs="Arial"/>
          <w:b/>
          <w:bCs/>
        </w:rPr>
        <w:t xml:space="preserve">Already </w:t>
      </w:r>
      <w:r w:rsidRPr="0015310D">
        <w:rPr>
          <w:rFonts w:ascii="Arial" w:hAnsi="Arial" w:cs="Arial"/>
          <w:b/>
          <w:bCs/>
        </w:rPr>
        <w:t>existing duplex filter</w:t>
      </w:r>
      <w:r>
        <w:rPr>
          <w:rFonts w:ascii="Arial" w:hAnsi="Arial" w:cs="Arial"/>
          <w:b/>
          <w:bCs/>
        </w:rPr>
        <w:t xml:space="preserve"> components for</w:t>
      </w:r>
      <w:r w:rsidRPr="0015310D">
        <w:rPr>
          <w:rFonts w:ascii="Arial" w:hAnsi="Arial" w:cs="Arial"/>
          <w:b/>
          <w:bCs/>
        </w:rPr>
        <w:t xml:space="preserve"> band n71 </w:t>
      </w:r>
      <w:r>
        <w:rPr>
          <w:rFonts w:ascii="Arial" w:hAnsi="Arial" w:cs="Arial"/>
          <w:b/>
          <w:bCs/>
        </w:rPr>
        <w:t xml:space="preserve">demonstrate that similar filters are feasible. It is proposed to adopt such kind of filters </w:t>
      </w:r>
      <w:r w:rsidRPr="0015310D">
        <w:rPr>
          <w:rFonts w:ascii="Arial" w:hAnsi="Arial" w:cs="Arial"/>
          <w:b/>
          <w:bCs/>
        </w:rPr>
        <w:t>in an appropriate overlapping scheme to cover the entire sub700 MHz band.</w:t>
      </w:r>
    </w:p>
    <w:p w14:paraId="00CC5FEC" w14:textId="77777777" w:rsidR="00797924" w:rsidRPr="00797924" w:rsidRDefault="00797924" w:rsidP="00797924">
      <w:pPr>
        <w:pStyle w:val="Listenabsatz"/>
        <w:numPr>
          <w:ilvl w:val="0"/>
          <w:numId w:val="27"/>
        </w:numPr>
        <w:rPr>
          <w:rFonts w:ascii="Arial" w:hAnsi="Arial" w:cs="Arial"/>
          <w:b/>
          <w:bCs/>
        </w:rPr>
      </w:pPr>
      <w:r w:rsidRPr="00797924">
        <w:rPr>
          <w:rFonts w:ascii="Arial" w:hAnsi="Arial" w:cs="Arial"/>
          <w:b/>
          <w:bCs/>
        </w:rPr>
        <w:t xml:space="preserve">Deploy additional lowpass filtering to reduce the guard band between uplink in n28 and 5G Broadcast in sub700 MHz as much as possible. Aim to achieve a guard band of 9 MHz. </w:t>
      </w:r>
    </w:p>
    <w:p w14:paraId="7D18AF16" w14:textId="3B88915D" w:rsidR="00797924" w:rsidRPr="00797924" w:rsidRDefault="00797924" w:rsidP="00797924">
      <w:pPr>
        <w:pStyle w:val="Listenabsatz"/>
        <w:numPr>
          <w:ilvl w:val="0"/>
          <w:numId w:val="27"/>
        </w:numPr>
        <w:spacing w:after="0"/>
        <w:rPr>
          <w:rFonts w:ascii="Arial" w:hAnsi="Arial" w:cs="Arial"/>
          <w:b/>
          <w:bCs/>
        </w:rPr>
      </w:pPr>
      <w:r w:rsidRPr="00797924">
        <w:rPr>
          <w:rFonts w:ascii="Arial" w:hAnsi="Arial" w:cs="Arial"/>
          <w:b/>
          <w:bCs/>
        </w:rPr>
        <w:t>If lowpass filtering cannot reduce the guard band to 9 MHz, then the UE shall signal to the BS that it is receiving 5G Broadcast in order not to allocate uplink resources in band n28 to the UE.</w:t>
      </w:r>
    </w:p>
    <w:p w14:paraId="432AA555" w14:textId="57B0CE3E" w:rsidR="00797924" w:rsidRDefault="00797924" w:rsidP="00EF42D9">
      <w:pPr>
        <w:spacing w:after="0"/>
        <w:rPr>
          <w:rFonts w:ascii="Arial" w:hAnsi="Arial" w:cs="Arial"/>
        </w:rPr>
      </w:pPr>
    </w:p>
    <w:p w14:paraId="34E4FAF6" w14:textId="77777777" w:rsidR="00797924" w:rsidRDefault="00797924" w:rsidP="00EF42D9">
      <w:pPr>
        <w:spacing w:after="0"/>
        <w:rPr>
          <w:rFonts w:ascii="Arial" w:hAnsi="Arial" w:cs="Arial"/>
        </w:rPr>
      </w:pPr>
    </w:p>
    <w:p w14:paraId="5BD40A64" w14:textId="3C0378C7" w:rsidR="00797924" w:rsidRPr="00797924" w:rsidRDefault="00797924" w:rsidP="00EF42D9">
      <w:pPr>
        <w:spacing w:after="0"/>
        <w:rPr>
          <w:rFonts w:ascii="Arial" w:hAnsi="Arial" w:cs="Arial"/>
          <w:b/>
          <w:bCs/>
          <w:sz w:val="24"/>
          <w:szCs w:val="24"/>
        </w:rPr>
      </w:pPr>
      <w:r w:rsidRPr="00797924">
        <w:rPr>
          <w:rFonts w:ascii="Arial" w:hAnsi="Arial" w:cs="Arial"/>
          <w:b/>
          <w:bCs/>
          <w:sz w:val="24"/>
          <w:szCs w:val="24"/>
        </w:rPr>
        <w:t>Reference Sensitivity:</w:t>
      </w:r>
    </w:p>
    <w:p w14:paraId="6C3D3B5D" w14:textId="041B4D29" w:rsidR="00797924" w:rsidRDefault="00797924" w:rsidP="00EF42D9">
      <w:pPr>
        <w:spacing w:after="0"/>
        <w:rPr>
          <w:rFonts w:ascii="Arial" w:hAnsi="Arial" w:cs="Arial"/>
        </w:rPr>
      </w:pPr>
    </w:p>
    <w:p w14:paraId="7586DF4B" w14:textId="77777777" w:rsidR="00797924" w:rsidRPr="0015310D" w:rsidRDefault="00797924" w:rsidP="00797924">
      <w:pPr>
        <w:pStyle w:val="Textvorlage"/>
        <w:numPr>
          <w:ilvl w:val="0"/>
          <w:numId w:val="28"/>
        </w:numPr>
        <w:rPr>
          <w:rFonts w:cs="Arial"/>
          <w:b/>
          <w:bCs/>
          <w:sz w:val="22"/>
          <w:lang w:val="en-US"/>
        </w:rPr>
      </w:pPr>
      <w:r w:rsidRPr="0015310D">
        <w:rPr>
          <w:rFonts w:cs="Arial"/>
          <w:b/>
          <w:bCs/>
          <w:sz w:val="22"/>
          <w:lang w:val="en-US"/>
        </w:rPr>
        <w:t>Reference sensitivity values of -99.2, -98.5 and -97.9 should be used for 6, 7 and 8 MHz carrier bandwidth.</w:t>
      </w:r>
    </w:p>
    <w:p w14:paraId="52312FE3" w14:textId="77777777" w:rsidR="00797924" w:rsidRPr="0015310D" w:rsidRDefault="00797924" w:rsidP="00797924">
      <w:pPr>
        <w:pStyle w:val="Textvorlage"/>
        <w:numPr>
          <w:ilvl w:val="0"/>
          <w:numId w:val="28"/>
        </w:numPr>
        <w:rPr>
          <w:rFonts w:cs="Arial"/>
          <w:b/>
          <w:bCs/>
          <w:sz w:val="22"/>
          <w:lang w:val="en-US"/>
        </w:rPr>
      </w:pPr>
      <w:r w:rsidRPr="0015310D">
        <w:rPr>
          <w:rFonts w:cs="Arial"/>
          <w:b/>
          <w:bCs/>
          <w:sz w:val="22"/>
          <w:lang w:val="en-US"/>
        </w:rPr>
        <w:t>In order to ensure compatibility between DTT and 5G Broadcast in the sub700 MHz range and facilitate sharing spectrum between the two services base any analysis on 6, 7 and 8 MHz carrier bandwidth for 5G Broadcast.</w:t>
      </w:r>
    </w:p>
    <w:p w14:paraId="266BC070" w14:textId="5726DA93" w:rsidR="00797924" w:rsidRPr="00797924" w:rsidRDefault="00797924" w:rsidP="00EF42D9">
      <w:pPr>
        <w:spacing w:after="0"/>
        <w:rPr>
          <w:rFonts w:ascii="Arial" w:hAnsi="Arial" w:cs="Arial"/>
          <w:lang w:val="en-US"/>
        </w:rPr>
      </w:pPr>
    </w:p>
    <w:p w14:paraId="089C205C" w14:textId="68920C90" w:rsidR="00797924" w:rsidRDefault="00797924" w:rsidP="00EF42D9">
      <w:pPr>
        <w:spacing w:after="0"/>
        <w:rPr>
          <w:rFonts w:ascii="Arial" w:hAnsi="Arial" w:cs="Arial"/>
        </w:rPr>
      </w:pPr>
    </w:p>
    <w:p w14:paraId="3563C6A9" w14:textId="77777777" w:rsidR="00797924" w:rsidRDefault="00797924" w:rsidP="00EF42D9">
      <w:pPr>
        <w:spacing w:after="0"/>
        <w:rPr>
          <w:rFonts w:ascii="Arial" w:hAnsi="Arial" w:cs="Arial"/>
        </w:rPr>
      </w:pPr>
    </w:p>
    <w:p w14:paraId="35522700" w14:textId="249661B2" w:rsidR="00797924" w:rsidRPr="00797924" w:rsidRDefault="00797924" w:rsidP="00EF42D9">
      <w:pPr>
        <w:spacing w:after="0"/>
        <w:rPr>
          <w:rFonts w:ascii="Arial" w:hAnsi="Arial" w:cs="Arial"/>
          <w:b/>
          <w:bCs/>
          <w:sz w:val="24"/>
          <w:szCs w:val="24"/>
        </w:rPr>
      </w:pPr>
      <w:r w:rsidRPr="00797924">
        <w:rPr>
          <w:rFonts w:ascii="Arial" w:hAnsi="Arial" w:cs="Arial"/>
          <w:b/>
          <w:bCs/>
          <w:sz w:val="24"/>
          <w:szCs w:val="24"/>
        </w:rPr>
        <w:t>ACS:</w:t>
      </w:r>
    </w:p>
    <w:p w14:paraId="382EB3D8" w14:textId="72B63890" w:rsidR="00797924" w:rsidRDefault="00797924" w:rsidP="00EF42D9">
      <w:pPr>
        <w:spacing w:after="0"/>
        <w:rPr>
          <w:rFonts w:ascii="Arial" w:hAnsi="Arial" w:cs="Arial"/>
          <w:b/>
          <w:bCs/>
        </w:rPr>
      </w:pPr>
    </w:p>
    <w:p w14:paraId="2E7AFDE5" w14:textId="77777777" w:rsidR="00797924" w:rsidRPr="00797924" w:rsidRDefault="00797924" w:rsidP="00797924">
      <w:pPr>
        <w:pStyle w:val="Listenabsatz"/>
        <w:numPr>
          <w:ilvl w:val="0"/>
          <w:numId w:val="29"/>
        </w:numPr>
        <w:rPr>
          <w:rFonts w:ascii="Arial" w:hAnsi="Arial" w:cs="Arial"/>
          <w:b/>
          <w:bCs/>
        </w:rPr>
      </w:pPr>
      <w:r w:rsidRPr="00797924">
        <w:rPr>
          <w:rFonts w:ascii="Arial" w:hAnsi="Arial" w:cs="Arial"/>
          <w:b/>
          <w:bCs/>
        </w:rPr>
        <w:t xml:space="preserve">Use </w:t>
      </w:r>
      <w:r w:rsidRPr="00797924">
        <w:rPr>
          <w:rFonts w:ascii="Arial" w:hAnsi="Arial" w:cs="Arial"/>
          <w:b/>
          <w:bCs/>
          <w:iCs/>
          <w:lang w:val="en-US" w:eastAsia="zh-CN"/>
        </w:rPr>
        <w:t>-33 dB with frequency offset at 6, 7, and 8 MHz.</w:t>
      </w:r>
    </w:p>
    <w:p w14:paraId="53A4D702" w14:textId="77777777" w:rsidR="00797924" w:rsidRPr="00797924" w:rsidRDefault="00797924" w:rsidP="00EF42D9">
      <w:pPr>
        <w:spacing w:after="0"/>
        <w:rPr>
          <w:rFonts w:ascii="Arial" w:hAnsi="Arial" w:cs="Arial"/>
          <w:b/>
          <w:bCs/>
        </w:rPr>
      </w:pPr>
    </w:p>
    <w:p w14:paraId="1F3881FD" w14:textId="77777777" w:rsidR="00797924" w:rsidRPr="00797924" w:rsidRDefault="00797924" w:rsidP="00EF42D9">
      <w:pPr>
        <w:spacing w:after="0"/>
        <w:rPr>
          <w:rFonts w:ascii="Arial" w:hAnsi="Arial" w:cs="Arial"/>
        </w:rPr>
      </w:pPr>
    </w:p>
    <w:p w14:paraId="735EDD9F" w14:textId="196906DD" w:rsidR="00797924" w:rsidRDefault="00797924" w:rsidP="00EF42D9">
      <w:pPr>
        <w:spacing w:after="0"/>
        <w:rPr>
          <w:b/>
          <w:bCs/>
        </w:rPr>
      </w:pPr>
    </w:p>
    <w:p w14:paraId="6D39078D" w14:textId="77777777" w:rsidR="00797924" w:rsidRDefault="00797924" w:rsidP="00EF42D9">
      <w:pPr>
        <w:spacing w:after="0"/>
        <w:rPr>
          <w:b/>
          <w:bCs/>
        </w:rPr>
      </w:pPr>
    </w:p>
    <w:p w14:paraId="11D8DF26" w14:textId="3349865B" w:rsidR="007018F3" w:rsidRDefault="007018F3" w:rsidP="007018F3">
      <w:pPr>
        <w:pStyle w:val="berschrift1"/>
      </w:pPr>
      <w:r>
        <w:t>References</w:t>
      </w:r>
    </w:p>
    <w:p w14:paraId="7B14982D" w14:textId="2BB0A224" w:rsidR="00C23D5B" w:rsidRPr="00842416" w:rsidRDefault="00C23D5B" w:rsidP="00B76D38">
      <w:pPr>
        <w:pStyle w:val="B1"/>
        <w:rPr>
          <w:rFonts w:ascii="Arial" w:hAnsi="Arial" w:cs="Arial"/>
        </w:rPr>
      </w:pPr>
      <w:r w:rsidRPr="00842416">
        <w:rPr>
          <w:rFonts w:ascii="Arial" w:hAnsi="Arial" w:cs="Arial"/>
        </w:rPr>
        <w:t>[1]</w:t>
      </w:r>
      <w:r w:rsidRPr="00842416">
        <w:rPr>
          <w:rFonts w:ascii="Arial" w:hAnsi="Arial" w:cs="Arial"/>
        </w:rPr>
        <w:tab/>
        <w:t>R4-2220501, “WF on UE RF for 5G Broadcast”, 3GPP RAN4 Meeting, Toulouse, France, November 14 – 18, 2022</w:t>
      </w:r>
    </w:p>
    <w:p w14:paraId="63305C66" w14:textId="509E2EFD" w:rsidR="007B09EF" w:rsidRDefault="007018F3" w:rsidP="007B09EF">
      <w:pPr>
        <w:pStyle w:val="B1"/>
        <w:rPr>
          <w:rFonts w:ascii="Arial" w:hAnsi="Arial" w:cs="Arial"/>
        </w:rPr>
      </w:pPr>
      <w:r w:rsidRPr="00842416">
        <w:rPr>
          <w:rFonts w:ascii="Arial" w:hAnsi="Arial" w:cs="Arial"/>
        </w:rPr>
        <w:t>[</w:t>
      </w:r>
      <w:r w:rsidR="00C23D5B" w:rsidRPr="00842416">
        <w:rPr>
          <w:rFonts w:ascii="Arial" w:hAnsi="Arial" w:cs="Arial"/>
        </w:rPr>
        <w:t>2</w:t>
      </w:r>
      <w:r w:rsidRPr="00842416">
        <w:rPr>
          <w:rFonts w:ascii="Arial" w:hAnsi="Arial" w:cs="Arial"/>
        </w:rPr>
        <w:t>]</w:t>
      </w:r>
      <w:r w:rsidRPr="00842416">
        <w:rPr>
          <w:rFonts w:ascii="Arial" w:hAnsi="Arial" w:cs="Arial"/>
        </w:rPr>
        <w:tab/>
      </w:r>
      <w:r w:rsidR="00E35F58" w:rsidRPr="00842416">
        <w:rPr>
          <w:rFonts w:ascii="Arial" w:hAnsi="Arial" w:cs="Arial"/>
        </w:rPr>
        <w:t>RP-220518</w:t>
      </w:r>
      <w:r w:rsidR="00377211" w:rsidRPr="00842416">
        <w:rPr>
          <w:rFonts w:ascii="Arial" w:hAnsi="Arial" w:cs="Arial"/>
        </w:rPr>
        <w:t>, “</w:t>
      </w:r>
      <w:r w:rsidR="004823A8" w:rsidRPr="00842416">
        <w:rPr>
          <w:rFonts w:ascii="Arial" w:hAnsi="Arial" w:cs="Arial"/>
        </w:rPr>
        <w:t>Revised WID: New bands and bandwidth allocation for LTE based 5G terrestrial broadcast - part 2</w:t>
      </w:r>
      <w:r w:rsidR="00377211" w:rsidRPr="00842416">
        <w:rPr>
          <w:rFonts w:ascii="Arial" w:hAnsi="Arial" w:cs="Arial"/>
        </w:rPr>
        <w:t>”</w:t>
      </w:r>
      <w:r w:rsidR="00632509" w:rsidRPr="00842416">
        <w:rPr>
          <w:rFonts w:ascii="Arial" w:hAnsi="Arial" w:cs="Arial"/>
        </w:rPr>
        <w:t xml:space="preserve">, </w:t>
      </w:r>
      <w:r w:rsidR="00587DB6" w:rsidRPr="00842416">
        <w:rPr>
          <w:rFonts w:ascii="Arial" w:hAnsi="Arial" w:cs="Arial"/>
        </w:rPr>
        <w:t>EBU, Qualcomm</w:t>
      </w:r>
      <w:r w:rsidR="00B261DD" w:rsidRPr="00842416">
        <w:rPr>
          <w:rFonts w:ascii="Arial" w:hAnsi="Arial" w:cs="Arial"/>
        </w:rPr>
        <w:t xml:space="preserve">., </w:t>
      </w:r>
      <w:r w:rsidR="00C576AE" w:rsidRPr="00842416">
        <w:rPr>
          <w:rFonts w:ascii="Arial" w:hAnsi="Arial" w:cs="Arial"/>
        </w:rPr>
        <w:t>3GPP TSG RAN Meeting #9</w:t>
      </w:r>
      <w:r w:rsidR="004A7555" w:rsidRPr="00842416">
        <w:rPr>
          <w:rFonts w:ascii="Arial" w:hAnsi="Arial" w:cs="Arial"/>
        </w:rPr>
        <w:t>5e</w:t>
      </w:r>
      <w:r w:rsidR="00C576AE" w:rsidRPr="00842416">
        <w:rPr>
          <w:rFonts w:ascii="Arial" w:hAnsi="Arial" w:cs="Arial"/>
        </w:rPr>
        <w:t xml:space="preserve">, </w:t>
      </w:r>
      <w:r w:rsidR="00175FA0" w:rsidRPr="00842416">
        <w:rPr>
          <w:rFonts w:ascii="Arial" w:hAnsi="Arial" w:cs="Arial"/>
        </w:rPr>
        <w:t>Electronic Meeting, March 17 - 23, 2022</w:t>
      </w:r>
    </w:p>
    <w:p w14:paraId="5F7D7F11" w14:textId="00EF3684" w:rsidR="0015310D" w:rsidRDefault="0015310D" w:rsidP="007B09EF">
      <w:pPr>
        <w:pStyle w:val="B1"/>
        <w:rPr>
          <w:rFonts w:ascii="Arial" w:hAnsi="Arial" w:cs="Arial"/>
        </w:rPr>
      </w:pPr>
      <w:r>
        <w:rPr>
          <w:rFonts w:ascii="Arial" w:hAnsi="Arial" w:cs="Arial"/>
        </w:rPr>
        <w:t xml:space="preserve">[3] EBU Technical Report Tech3348, </w:t>
      </w:r>
      <w:hyperlink r:id="rId14" w:history="1">
        <w:r w:rsidRPr="00B43C03">
          <w:rPr>
            <w:rStyle w:val="Hyperlink"/>
            <w:rFonts w:ascii="Arial" w:hAnsi="Arial" w:cs="Arial"/>
          </w:rPr>
          <w:t>https://tech.ebu.ch/docs/tech/tech3348.pdf</w:t>
        </w:r>
      </w:hyperlink>
      <w:r>
        <w:rPr>
          <w:rFonts w:ascii="Arial" w:hAnsi="Arial" w:cs="Arial"/>
        </w:rPr>
        <w:t xml:space="preserve"> </w:t>
      </w:r>
    </w:p>
    <w:p w14:paraId="740B12AF" w14:textId="401A3861" w:rsidR="00641B49" w:rsidRDefault="00641B49" w:rsidP="007B09EF">
      <w:pPr>
        <w:pStyle w:val="B1"/>
        <w:rPr>
          <w:rFonts w:ascii="Arial" w:hAnsi="Arial" w:cs="Arial"/>
        </w:rPr>
      </w:pPr>
      <w:r>
        <w:rPr>
          <w:rFonts w:ascii="Arial" w:hAnsi="Arial" w:cs="Arial"/>
        </w:rPr>
        <w:t xml:space="preserve">[4] </w:t>
      </w:r>
      <w:r w:rsidRPr="0015310D">
        <w:rPr>
          <w:rFonts w:ascii="Arial" w:hAnsi="Arial" w:cs="Arial"/>
        </w:rPr>
        <w:t>ETSI EN 302 296 “Digital Terrestrial TV Transmitters; Harmonised Standard for access to radio spectrum”</w:t>
      </w:r>
      <w:r>
        <w:rPr>
          <w:rFonts w:ascii="Arial" w:hAnsi="Arial" w:cs="Arial"/>
        </w:rPr>
        <w:t xml:space="preserve">, </w:t>
      </w:r>
      <w:hyperlink r:id="rId15" w:history="1">
        <w:r w:rsidRPr="00B43C03">
          <w:rPr>
            <w:rStyle w:val="Hyperlink"/>
            <w:rFonts w:ascii="Arial" w:hAnsi="Arial" w:cs="Arial"/>
          </w:rPr>
          <w:t>https://www.etsi.org/deliver/etsi_en/302200_302299/302296/02.02.01_60/en_302296v020201p.pdf</w:t>
        </w:r>
      </w:hyperlink>
      <w:r>
        <w:rPr>
          <w:rFonts w:ascii="Arial" w:hAnsi="Arial" w:cs="Arial"/>
        </w:rPr>
        <w:t xml:space="preserve"> </w:t>
      </w:r>
    </w:p>
    <w:p w14:paraId="48F1B562" w14:textId="041A2991" w:rsidR="00E33AAE" w:rsidRDefault="00E33AAE" w:rsidP="007B09EF">
      <w:pPr>
        <w:pStyle w:val="B1"/>
        <w:rPr>
          <w:rFonts w:ascii="Arial" w:hAnsi="Arial" w:cs="Arial"/>
        </w:rPr>
      </w:pPr>
      <w:r>
        <w:rPr>
          <w:rFonts w:ascii="Arial" w:hAnsi="Arial" w:cs="Arial"/>
        </w:rPr>
        <w:t xml:space="preserve">[5] </w:t>
      </w:r>
      <w:r w:rsidRPr="0015310D">
        <w:rPr>
          <w:rFonts w:ascii="Arial" w:hAnsi="Arial" w:cs="Arial"/>
        </w:rPr>
        <w:t>ETSI EN 303 340 “Digital Terrestrial TV Broadcast Receivers; Harmonised Standard for access to radio spectrum”</w:t>
      </w:r>
      <w:r>
        <w:rPr>
          <w:rFonts w:ascii="Arial" w:hAnsi="Arial" w:cs="Arial"/>
        </w:rPr>
        <w:t xml:space="preserve">, </w:t>
      </w:r>
      <w:hyperlink r:id="rId16" w:history="1">
        <w:r w:rsidRPr="00B43C03">
          <w:rPr>
            <w:rStyle w:val="Hyperlink"/>
            <w:rFonts w:ascii="Arial" w:hAnsi="Arial" w:cs="Arial"/>
          </w:rPr>
          <w:t>https://www.etsi.org/deliver/etsi_en/303300_303399/303340/01.02.01_60/en_303340v010201p.pdf</w:t>
        </w:r>
      </w:hyperlink>
      <w:r>
        <w:rPr>
          <w:rFonts w:ascii="Arial" w:hAnsi="Arial" w:cs="Arial"/>
        </w:rPr>
        <w:t xml:space="preserve"> </w:t>
      </w:r>
    </w:p>
    <w:p w14:paraId="7AB9446D" w14:textId="510DBBDE" w:rsidR="002971A0" w:rsidRDefault="002971A0" w:rsidP="007B09EF">
      <w:pPr>
        <w:pStyle w:val="B1"/>
        <w:rPr>
          <w:rFonts w:ascii="Arial" w:hAnsi="Arial" w:cs="Arial"/>
        </w:rPr>
      </w:pPr>
      <w:r>
        <w:rPr>
          <w:rFonts w:ascii="Arial" w:hAnsi="Arial" w:cs="Arial"/>
        </w:rPr>
        <w:t>[6]</w:t>
      </w:r>
      <w:r>
        <w:rPr>
          <w:rFonts w:ascii="Arial" w:hAnsi="Arial" w:cs="Arial"/>
        </w:rPr>
        <w:tab/>
      </w:r>
      <w:r w:rsidRPr="002971A0">
        <w:rPr>
          <w:rFonts w:ascii="Arial" w:hAnsi="Arial" w:cs="Arial"/>
        </w:rPr>
        <w:t>3GPP TR 38.860 V17.0.0 (2021-09)</w:t>
      </w:r>
      <w:r>
        <w:rPr>
          <w:rFonts w:ascii="Arial" w:hAnsi="Arial" w:cs="Arial"/>
        </w:rPr>
        <w:t xml:space="preserve">, </w:t>
      </w:r>
      <w:hyperlink r:id="rId17" w:history="1">
        <w:r w:rsidRPr="002564BA">
          <w:rPr>
            <w:rStyle w:val="Hyperlink"/>
            <w:rFonts w:ascii="Arial" w:hAnsi="Arial" w:cs="Arial"/>
          </w:rPr>
          <w:t>https://portal.3gpp.org/desktopmodules/Specifications/SpecificationDetails.aspx?specificationId=3893</w:t>
        </w:r>
      </w:hyperlink>
      <w:r>
        <w:rPr>
          <w:rFonts w:ascii="Arial" w:hAnsi="Arial" w:cs="Arial"/>
        </w:rPr>
        <w:t xml:space="preserve"> </w:t>
      </w:r>
    </w:p>
    <w:p w14:paraId="20ED7A25" w14:textId="77777777" w:rsidR="00641B49" w:rsidRPr="00842416" w:rsidRDefault="00641B49" w:rsidP="007B09EF">
      <w:pPr>
        <w:pStyle w:val="B1"/>
        <w:rPr>
          <w:rStyle w:val="Hyperlink"/>
          <w:rFonts w:ascii="Arial" w:hAnsi="Arial" w:cs="Arial"/>
          <w:color w:val="auto"/>
          <w:u w:val="none"/>
        </w:rPr>
      </w:pPr>
    </w:p>
    <w:p w14:paraId="30839A15" w14:textId="77777777" w:rsidR="00E33AAE" w:rsidRDefault="00E33AAE" w:rsidP="008E5B7B">
      <w:pPr>
        <w:pStyle w:val="B1"/>
        <w:rPr>
          <w:bCs/>
        </w:rPr>
        <w:sectPr w:rsidR="00E33AAE">
          <w:pgSz w:w="11898" w:h="16827"/>
          <w:pgMar w:top="1416" w:right="1133" w:bottom="1133" w:left="1133" w:header="850" w:footer="340" w:gutter="0"/>
          <w:cols w:space="720"/>
        </w:sectPr>
      </w:pPr>
    </w:p>
    <w:p w14:paraId="0745FC68" w14:textId="59403F8A" w:rsidR="009C3810" w:rsidRPr="00E33AAE" w:rsidRDefault="00E33AAE" w:rsidP="00E33AAE">
      <w:pPr>
        <w:rPr>
          <w:rFonts w:ascii="Arial" w:hAnsi="Arial" w:cs="Arial"/>
          <w:b/>
          <w:bCs/>
          <w:sz w:val="36"/>
          <w:szCs w:val="36"/>
        </w:rPr>
      </w:pPr>
      <w:r w:rsidRPr="00E33AAE">
        <w:rPr>
          <w:rFonts w:ascii="Arial" w:hAnsi="Arial" w:cs="Arial"/>
          <w:b/>
          <w:bCs/>
          <w:sz w:val="36"/>
          <w:szCs w:val="36"/>
        </w:rPr>
        <w:lastRenderedPageBreak/>
        <w:t>Annex A</w:t>
      </w:r>
    </w:p>
    <w:p w14:paraId="10D27251" w14:textId="2DD913E1" w:rsidR="00E33AAE" w:rsidRPr="00E33AAE" w:rsidRDefault="00E33AAE" w:rsidP="00E33AAE">
      <w:pPr>
        <w:rPr>
          <w:rFonts w:ascii="Arial" w:hAnsi="Arial" w:cs="Arial"/>
          <w:b/>
          <w:bCs/>
          <w:sz w:val="28"/>
          <w:szCs w:val="28"/>
        </w:rPr>
      </w:pPr>
      <w:r w:rsidRPr="00E33AAE">
        <w:rPr>
          <w:rFonts w:ascii="Arial" w:hAnsi="Arial" w:cs="Arial"/>
          <w:b/>
          <w:bCs/>
          <w:sz w:val="28"/>
          <w:szCs w:val="28"/>
        </w:rPr>
        <w:t>Impact of ACLR and ACS on the adjacent channel protection ratio</w:t>
      </w:r>
    </w:p>
    <w:p w14:paraId="1DA58E18" w14:textId="734903AF" w:rsidR="008C46D0" w:rsidRDefault="00E33AAE" w:rsidP="00E33AAE">
      <w:pPr>
        <w:jc w:val="both"/>
        <w:rPr>
          <w:rFonts w:ascii="Arial" w:hAnsi="Arial" w:cs="Arial"/>
          <w:lang w:val="en-US"/>
        </w:rPr>
      </w:pPr>
      <w:r w:rsidRPr="00E33AAE">
        <w:rPr>
          <w:rFonts w:ascii="Arial" w:hAnsi="Arial" w:cs="Arial"/>
          <w:lang w:val="en-US"/>
        </w:rPr>
        <w:t xml:space="preserve">This section shows the relationship between ACS, ACLR, co-channel protection ratio and adjacent channel protection ratio. It also shows the results of applying this relationship to derive the adjacent channel protection ratio for a set of ACS and ACLR values corresponding to the two options considered in the way forward on this matter. </w:t>
      </w:r>
    </w:p>
    <w:p w14:paraId="5DD64299" w14:textId="3185216D" w:rsidR="00E33AAE" w:rsidRPr="008C46D0" w:rsidRDefault="00E33AAE" w:rsidP="00E33AAE">
      <w:pPr>
        <w:jc w:val="both"/>
        <w:rPr>
          <w:rFonts w:ascii="Arial" w:hAnsi="Arial" w:cs="Arial"/>
        </w:rPr>
      </w:pPr>
      <w:r w:rsidRPr="008C46D0">
        <w:rPr>
          <w:rFonts w:ascii="Arial" w:hAnsi="Arial" w:cs="Arial"/>
          <w:b/>
          <w:bCs/>
          <w:sz w:val="24"/>
          <w:szCs w:val="24"/>
          <w:lang w:val="en-US"/>
        </w:rPr>
        <w:t xml:space="preserve">Relationship between the parameters affecting </w:t>
      </w:r>
      <m:oMath>
        <m:sSub>
          <m:sSubPr>
            <m:ctrlPr>
              <w:rPr>
                <w:rFonts w:ascii="Cambria Math" w:hAnsi="Cambria Math" w:cs="Arial"/>
                <w:b/>
                <w:bCs/>
                <w:szCs w:val="24"/>
                <w:lang w:val="en-US"/>
              </w:rPr>
            </m:ctrlPr>
          </m:sSubPr>
          <m:e>
            <m:r>
              <m:rPr>
                <m:sty m:val="bi"/>
              </m:rPr>
              <w:rPr>
                <w:rFonts w:ascii="Cambria Math" w:hAnsi="Cambria Math" w:cs="Arial"/>
                <w:sz w:val="24"/>
                <w:szCs w:val="24"/>
                <w:lang w:val="en-US"/>
              </w:rPr>
              <m:t>PR</m:t>
            </m:r>
            <m:d>
              <m:dPr>
                <m:ctrlPr>
                  <w:rPr>
                    <w:rFonts w:ascii="Cambria Math" w:hAnsi="Cambria Math" w:cs="Arial"/>
                    <w:b/>
                    <w:bCs/>
                    <w:szCs w:val="24"/>
                    <w:lang w:val="en-US"/>
                  </w:rPr>
                </m:ctrlPr>
              </m:dPr>
              <m:e>
                <m:r>
                  <m:rPr>
                    <m:sty m:val="b"/>
                  </m:rPr>
                  <w:rPr>
                    <w:rFonts w:ascii="Cambria Math" w:hAnsi="Cambria Math" w:cs="Arial"/>
                    <w:sz w:val="24"/>
                    <w:szCs w:val="24"/>
                    <w:lang w:val="en-US"/>
                  </w:rPr>
                  <m:t>∆</m:t>
                </m:r>
                <m:r>
                  <m:rPr>
                    <m:sty m:val="bi"/>
                  </m:rPr>
                  <w:rPr>
                    <w:rFonts w:ascii="Cambria Math" w:hAnsi="Cambria Math" w:cs="Arial"/>
                    <w:sz w:val="24"/>
                    <w:szCs w:val="24"/>
                    <w:lang w:val="en-US"/>
                  </w:rPr>
                  <m:t>f</m:t>
                </m:r>
              </m:e>
            </m:d>
          </m:e>
          <m:sub>
            <m:r>
              <m:rPr>
                <m:sty m:val="bi"/>
              </m:rPr>
              <w:rPr>
                <w:rFonts w:ascii="Cambria Math" w:hAnsi="Cambria Math" w:cs="Arial"/>
                <w:sz w:val="24"/>
                <w:szCs w:val="24"/>
                <w:lang w:val="en-US"/>
              </w:rPr>
              <m:t>dB</m:t>
            </m:r>
          </m:sub>
        </m:sSub>
      </m:oMath>
    </w:p>
    <w:p w14:paraId="5181AFDA" w14:textId="77777777" w:rsidR="008C46D0" w:rsidRPr="008C46D0" w:rsidRDefault="008C46D0" w:rsidP="008C46D0">
      <w:pPr>
        <w:pStyle w:val="Textvorlage"/>
        <w:rPr>
          <w:rFonts w:cs="Arial"/>
          <w:sz w:val="20"/>
          <w:szCs w:val="20"/>
          <w:lang w:val="en-US"/>
        </w:rPr>
      </w:pPr>
      <w:r w:rsidRPr="008C46D0">
        <w:rPr>
          <w:rFonts w:cs="Arial"/>
          <w:sz w:val="20"/>
          <w:szCs w:val="20"/>
          <w:lang w:val="en-US"/>
        </w:rPr>
        <w:t xml:space="preserve">The adjacent channel Protection ratio </w:t>
      </w:r>
      <m:oMath>
        <m:sSub>
          <m:sSubPr>
            <m:ctrlPr>
              <w:rPr>
                <w:rFonts w:ascii="Cambria Math" w:hAnsi="Cambria Math" w:cs="Arial"/>
                <w:i/>
                <w:sz w:val="20"/>
                <w:szCs w:val="20"/>
                <w:lang w:val="en-US"/>
              </w:rPr>
            </m:ctrlPr>
          </m:sSubPr>
          <m:e>
            <m:r>
              <w:rPr>
                <w:rFonts w:ascii="Cambria Math" w:hAnsi="Cambria Math" w:cs="Arial"/>
                <w:sz w:val="20"/>
                <w:szCs w:val="20"/>
                <w:lang w:val="en-US"/>
              </w:rPr>
              <m:t>PR</m:t>
            </m:r>
            <m:d>
              <m:dPr>
                <m:ctrlPr>
                  <w:rPr>
                    <w:rFonts w:ascii="Cambria Math" w:hAnsi="Cambria Math" w:cs="Arial"/>
                    <w:i/>
                    <w:sz w:val="20"/>
                    <w:szCs w:val="20"/>
                    <w:lang w:val="en-US"/>
                  </w:rPr>
                </m:ctrlPr>
              </m:dPr>
              <m:e>
                <m:r>
                  <w:rPr>
                    <w:rFonts w:ascii="Cambria Math" w:hAnsi="Cambria Math" w:cs="Arial"/>
                    <w:sz w:val="20"/>
                    <w:szCs w:val="20"/>
                    <w:lang w:val="en-US"/>
                  </w:rPr>
                  <m:t>∆f</m:t>
                </m:r>
              </m:e>
            </m:d>
          </m:e>
          <m:sub>
            <m:r>
              <w:rPr>
                <w:rFonts w:ascii="Cambria Math" w:hAnsi="Cambria Math" w:cs="Arial"/>
                <w:sz w:val="20"/>
                <w:szCs w:val="20"/>
                <w:lang w:val="en-US"/>
              </w:rPr>
              <m:t>dB</m:t>
            </m:r>
          </m:sub>
        </m:sSub>
      </m:oMath>
      <w:r w:rsidRPr="008C46D0">
        <w:rPr>
          <w:rFonts w:eastAsiaTheme="minorEastAsia" w:cs="Arial"/>
          <w:sz w:val="20"/>
          <w:szCs w:val="20"/>
          <w:lang w:val="en-US"/>
        </w:rPr>
        <w:t xml:space="preserve"> </w:t>
      </w:r>
      <w:r w:rsidRPr="008C46D0">
        <w:rPr>
          <w:rFonts w:cs="Arial"/>
          <w:sz w:val="20"/>
          <w:szCs w:val="20"/>
          <w:lang w:val="en-US"/>
        </w:rPr>
        <w:t>depends on the following parameters:</w:t>
      </w:r>
    </w:p>
    <w:p w14:paraId="77443268" w14:textId="6009B55D" w:rsidR="008C46D0" w:rsidRPr="008C46D0" w:rsidRDefault="008C46D0" w:rsidP="008C46D0">
      <w:pPr>
        <w:pStyle w:val="Textvorlage"/>
        <w:numPr>
          <w:ilvl w:val="0"/>
          <w:numId w:val="25"/>
        </w:numPr>
        <w:rPr>
          <w:rFonts w:cs="Arial"/>
          <w:sz w:val="20"/>
          <w:szCs w:val="20"/>
          <w:lang w:val="en-US"/>
        </w:rPr>
      </w:pPr>
      <w:r w:rsidRPr="008C46D0">
        <w:rPr>
          <w:rFonts w:cs="Arial"/>
          <w:sz w:val="20"/>
          <w:szCs w:val="20"/>
          <w:lang w:val="en-US"/>
        </w:rPr>
        <w:t>The level of Out-Of-Band (OOB) emission of the interfering signal that falls in the channel of the wanted signal. This is represented by the ACLR (Adjacent channel Leakage Ratio)</w:t>
      </w:r>
      <w:r>
        <w:rPr>
          <w:rStyle w:val="Funotenzeichen"/>
          <w:rFonts w:cs="Arial"/>
          <w:szCs w:val="20"/>
          <w:lang w:val="en-US"/>
        </w:rPr>
        <w:footnoteReference w:id="1"/>
      </w:r>
      <w:r>
        <w:rPr>
          <w:rFonts w:cs="Arial"/>
          <w:sz w:val="20"/>
          <w:szCs w:val="20"/>
          <w:lang w:val="en-US"/>
        </w:rPr>
        <w:t xml:space="preserve"> </w:t>
      </w:r>
      <w:r w:rsidRPr="008C46D0">
        <w:rPr>
          <w:rFonts w:cs="Arial"/>
          <w:sz w:val="20"/>
          <w:szCs w:val="20"/>
          <w:lang w:val="en-US"/>
        </w:rPr>
        <w:t>of the interfering transmitter. The higher the ACLR is, the lower the OOB will be and the lower the Adjacent Channel protection ratio will be.</w:t>
      </w:r>
    </w:p>
    <w:p w14:paraId="0E4EB56C" w14:textId="2B965C88" w:rsidR="008C46D0" w:rsidRPr="008C46D0" w:rsidRDefault="008C46D0" w:rsidP="008C46D0">
      <w:pPr>
        <w:pStyle w:val="Textvorlage"/>
        <w:numPr>
          <w:ilvl w:val="0"/>
          <w:numId w:val="25"/>
        </w:numPr>
        <w:rPr>
          <w:rFonts w:cs="Arial"/>
          <w:sz w:val="20"/>
          <w:szCs w:val="20"/>
          <w:lang w:val="en-US"/>
        </w:rPr>
      </w:pPr>
      <w:r w:rsidRPr="008C46D0">
        <w:rPr>
          <w:rFonts w:cs="Arial"/>
          <w:sz w:val="20"/>
          <w:szCs w:val="20"/>
          <w:lang w:val="en-US"/>
        </w:rPr>
        <w:t>The filtering capability of the 5G-broadcast EU to attenuate the level of the adjacent channel interference that enters the receiving circuitry. This is represented by the ACS (Adjacent Channel Selectivity)</w:t>
      </w:r>
      <w:r>
        <w:rPr>
          <w:rStyle w:val="Funotenzeichen"/>
          <w:rFonts w:cs="Arial"/>
          <w:szCs w:val="20"/>
          <w:lang w:val="en-US"/>
        </w:rPr>
        <w:footnoteReference w:id="2"/>
      </w:r>
      <w:r w:rsidRPr="008C46D0">
        <w:rPr>
          <w:rFonts w:cs="Arial"/>
          <w:sz w:val="20"/>
          <w:szCs w:val="20"/>
          <w:lang w:val="en-US"/>
        </w:rPr>
        <w:t xml:space="preserve"> of the 5G-Broadcast UE. The higher the ACS is, the lower the adjacent channel protection ratio will be. </w:t>
      </w:r>
    </w:p>
    <w:p w14:paraId="535D3778" w14:textId="3EA81126" w:rsidR="00E33AAE" w:rsidRPr="008C46D0" w:rsidRDefault="008C46D0" w:rsidP="008C46D0">
      <w:pPr>
        <w:pStyle w:val="Listenabsatz"/>
        <w:numPr>
          <w:ilvl w:val="0"/>
          <w:numId w:val="25"/>
        </w:numPr>
        <w:jc w:val="both"/>
        <w:rPr>
          <w:rFonts w:ascii="Arial" w:hAnsi="Arial" w:cs="Arial"/>
          <w:lang w:val="en-US"/>
        </w:rPr>
      </w:pPr>
      <w:r w:rsidRPr="008C46D0">
        <w:rPr>
          <w:rFonts w:ascii="Arial" w:hAnsi="Arial" w:cs="Arial"/>
          <w:lang w:val="en-US"/>
        </w:rPr>
        <w:t xml:space="preserve">The co-channel C/I or co-channel protection ratio of the wanted system, noted in the following as </w:t>
      </w:r>
      <m:oMath>
        <m:sSub>
          <m:sSubPr>
            <m:ctrlPr>
              <w:rPr>
                <w:rFonts w:ascii="Cambria Math" w:hAnsi="Cambria Math" w:cs="Arial"/>
                <w:i/>
                <w:lang w:val="en-US"/>
              </w:rPr>
            </m:ctrlPr>
          </m:sSubPr>
          <m:e>
            <m:r>
              <w:rPr>
                <w:rFonts w:ascii="Cambria Math" w:hAnsi="Cambria Math" w:cs="Arial"/>
                <w:lang w:val="en-US"/>
              </w:rPr>
              <m:t>PR</m:t>
            </m:r>
          </m:e>
          <m:sub>
            <m:r>
              <w:rPr>
                <w:rFonts w:ascii="Cambria Math" w:hAnsi="Cambria Math" w:cs="Arial"/>
                <w:lang w:val="en-US"/>
              </w:rPr>
              <m:t>0</m:t>
            </m:r>
          </m:sub>
        </m:sSub>
      </m:oMath>
      <w:r w:rsidRPr="008C46D0">
        <w:rPr>
          <w:rFonts w:ascii="Arial" w:hAnsi="Arial" w:cs="Arial"/>
          <w:lang w:val="en-US"/>
        </w:rPr>
        <w:t>. The OOB emission that falls in the wanted channel of the receiver and the adjacent channel interference that has been attenuated by the ACS, both act as co-channel interferer and therefore their combined effect depends on the co-channel C/I or co-channel protection ratio of the wanted system. The higher the co-channel protection ratio is (corresponding to the use of a less robust modulation scheme), the higher the required adjacent channel protection ratio will be.</w:t>
      </w:r>
    </w:p>
    <w:p w14:paraId="50A6A1CA" w14:textId="77777777" w:rsidR="008C46D0" w:rsidRPr="008C46D0" w:rsidRDefault="008C46D0" w:rsidP="008C46D0">
      <w:pPr>
        <w:jc w:val="both"/>
        <w:rPr>
          <w:rFonts w:ascii="Arial" w:hAnsi="Arial" w:cs="Arial"/>
          <w:bCs/>
        </w:rPr>
      </w:pPr>
    </w:p>
    <w:p w14:paraId="76BCFBFC" w14:textId="77777777" w:rsidR="008C46D0" w:rsidRPr="008C46D0" w:rsidRDefault="008C46D0" w:rsidP="008C46D0">
      <w:pPr>
        <w:pStyle w:val="Textvorlage"/>
        <w:rPr>
          <w:rFonts w:cs="Arial"/>
          <w:sz w:val="20"/>
          <w:szCs w:val="20"/>
          <w:lang w:val="en-US"/>
        </w:rPr>
      </w:pPr>
      <w:r w:rsidRPr="008C46D0">
        <w:rPr>
          <w:rFonts w:cs="Arial"/>
          <w:sz w:val="20"/>
          <w:szCs w:val="20"/>
          <w:lang w:val="en-US"/>
        </w:rPr>
        <w:t xml:space="preserve">If C is the power of the wanted signal and I is the sum of the leaked Adjacent channel interference </w:t>
      </w:r>
      <m:oMath>
        <m:d>
          <m:dPr>
            <m:ctrlPr>
              <w:rPr>
                <w:rFonts w:ascii="Cambria Math" w:hAnsi="Cambria Math" w:cs="Arial"/>
                <w:i/>
                <w:sz w:val="20"/>
                <w:szCs w:val="20"/>
                <w:lang w:val="en-US"/>
              </w:rPr>
            </m:ctrlPr>
          </m:dPr>
          <m:e>
            <m:f>
              <m:fPr>
                <m:ctrlPr>
                  <w:rPr>
                    <w:rFonts w:ascii="Cambria Math" w:hAnsi="Cambria Math" w:cs="Arial"/>
                    <w:i/>
                    <w:sz w:val="20"/>
                    <w:szCs w:val="20"/>
                    <w:lang w:val="en-US"/>
                  </w:rPr>
                </m:ctrlPr>
              </m:fPr>
              <m:num>
                <m:sSub>
                  <m:sSubPr>
                    <m:ctrlPr>
                      <w:rPr>
                        <w:rFonts w:ascii="Cambria Math" w:hAnsi="Cambria Math" w:cs="Arial"/>
                        <w:i/>
                        <w:sz w:val="20"/>
                        <w:szCs w:val="20"/>
                        <w:lang w:val="en-US"/>
                      </w:rPr>
                    </m:ctrlPr>
                  </m:sSubPr>
                  <m:e>
                    <m:r>
                      <w:rPr>
                        <w:rFonts w:ascii="Cambria Math" w:hAnsi="Cambria Math" w:cs="Arial"/>
                        <w:sz w:val="20"/>
                        <w:szCs w:val="20"/>
                        <w:lang w:val="en-US"/>
                      </w:rPr>
                      <m:t>I</m:t>
                    </m:r>
                  </m:e>
                  <m:sub>
                    <m:r>
                      <w:rPr>
                        <w:rFonts w:ascii="Cambria Math" w:hAnsi="Cambria Math" w:cs="Arial"/>
                        <w:sz w:val="20"/>
                        <w:szCs w:val="20"/>
                        <w:lang w:val="en-US"/>
                      </w:rPr>
                      <m:t>adj</m:t>
                    </m:r>
                  </m:sub>
                </m:sSub>
              </m:num>
              <m:den>
                <m:r>
                  <w:rPr>
                    <w:rFonts w:ascii="Cambria Math" w:hAnsi="Cambria Math" w:cs="Arial"/>
                    <w:sz w:val="20"/>
                    <w:szCs w:val="20"/>
                    <w:lang w:val="en-US"/>
                  </w:rPr>
                  <m:t>ACLR</m:t>
                </m:r>
              </m:den>
            </m:f>
          </m:e>
        </m:d>
      </m:oMath>
      <w:r w:rsidRPr="008C46D0">
        <w:rPr>
          <w:rFonts w:cs="Arial"/>
          <w:sz w:val="20"/>
          <w:szCs w:val="20"/>
          <w:lang w:val="en-US"/>
        </w:rPr>
        <w:t xml:space="preserve"> and the attenuated adjacent channel interference </w:t>
      </w:r>
      <m:oMath>
        <m:d>
          <m:dPr>
            <m:ctrlPr>
              <w:rPr>
                <w:rFonts w:ascii="Cambria Math" w:hAnsi="Cambria Math" w:cs="Arial"/>
                <w:i/>
                <w:sz w:val="20"/>
                <w:szCs w:val="20"/>
                <w:lang w:val="en-US"/>
              </w:rPr>
            </m:ctrlPr>
          </m:dPr>
          <m:e>
            <m:f>
              <m:fPr>
                <m:ctrlPr>
                  <w:rPr>
                    <w:rFonts w:ascii="Cambria Math" w:hAnsi="Cambria Math" w:cs="Arial"/>
                    <w:i/>
                    <w:sz w:val="20"/>
                    <w:szCs w:val="20"/>
                    <w:lang w:val="en-US"/>
                  </w:rPr>
                </m:ctrlPr>
              </m:fPr>
              <m:num>
                <m:sSub>
                  <m:sSubPr>
                    <m:ctrlPr>
                      <w:rPr>
                        <w:rFonts w:ascii="Cambria Math" w:hAnsi="Cambria Math" w:cs="Arial"/>
                        <w:i/>
                        <w:sz w:val="20"/>
                        <w:szCs w:val="20"/>
                        <w:lang w:val="en-US"/>
                      </w:rPr>
                    </m:ctrlPr>
                  </m:sSubPr>
                  <m:e>
                    <m:r>
                      <w:rPr>
                        <w:rFonts w:ascii="Cambria Math" w:hAnsi="Cambria Math" w:cs="Arial"/>
                        <w:sz w:val="20"/>
                        <w:szCs w:val="20"/>
                        <w:lang w:val="en-US"/>
                      </w:rPr>
                      <m:t>I</m:t>
                    </m:r>
                  </m:e>
                  <m:sub>
                    <m:r>
                      <w:rPr>
                        <w:rFonts w:ascii="Cambria Math" w:hAnsi="Cambria Math" w:cs="Arial"/>
                        <w:sz w:val="20"/>
                        <w:szCs w:val="20"/>
                        <w:lang w:val="en-US"/>
                      </w:rPr>
                      <m:t>adj</m:t>
                    </m:r>
                  </m:sub>
                </m:sSub>
              </m:num>
              <m:den>
                <m:r>
                  <w:rPr>
                    <w:rFonts w:ascii="Cambria Math" w:hAnsi="Cambria Math" w:cs="Arial"/>
                    <w:sz w:val="20"/>
                    <w:szCs w:val="20"/>
                    <w:lang w:val="en-US"/>
                  </w:rPr>
                  <m:t>ACS</m:t>
                </m:r>
                <m:d>
                  <m:dPr>
                    <m:ctrlPr>
                      <w:rPr>
                        <w:rFonts w:ascii="Cambria Math" w:hAnsi="Cambria Math" w:cs="Arial"/>
                        <w:i/>
                        <w:sz w:val="20"/>
                        <w:szCs w:val="20"/>
                        <w:lang w:val="en-US"/>
                      </w:rPr>
                    </m:ctrlPr>
                  </m:dPr>
                  <m:e>
                    <m:r>
                      <w:rPr>
                        <w:rFonts w:ascii="Cambria Math" w:hAnsi="Cambria Math" w:cs="Arial"/>
                        <w:sz w:val="20"/>
                        <w:szCs w:val="20"/>
                        <w:lang w:val="en-US"/>
                      </w:rPr>
                      <m:t>∆f</m:t>
                    </m:r>
                  </m:e>
                </m:d>
              </m:den>
            </m:f>
          </m:e>
        </m:d>
      </m:oMath>
      <w:r w:rsidRPr="008C46D0">
        <w:rPr>
          <w:rFonts w:cs="Arial"/>
          <w:sz w:val="20"/>
          <w:szCs w:val="20"/>
          <w:lang w:val="en-US"/>
        </w:rPr>
        <w:t>, the condition for good reception is</w:t>
      </w:r>
    </w:p>
    <w:p w14:paraId="0B369653" w14:textId="77777777" w:rsidR="008C46D0" w:rsidRPr="008C46D0" w:rsidRDefault="008C46D0" w:rsidP="008C46D0">
      <w:pPr>
        <w:pStyle w:val="Textvorlage"/>
        <w:rPr>
          <w:sz w:val="20"/>
          <w:szCs w:val="20"/>
          <w:lang w:val="fr-CH"/>
        </w:rPr>
      </w:pPr>
      <w:r w:rsidRPr="008C46D0">
        <w:rPr>
          <w:sz w:val="20"/>
          <w:szCs w:val="20"/>
          <w:lang w:val="en-US"/>
        </w:rPr>
        <w:t xml:space="preserve">In the linear domain:  </w:t>
      </w:r>
    </w:p>
    <w:p w14:paraId="4831A1DA" w14:textId="77777777" w:rsidR="008C46D0" w:rsidRPr="000C06F9" w:rsidRDefault="00000000" w:rsidP="008C46D0">
      <w:pPr>
        <w:pStyle w:val="Textvorlage"/>
        <w:rPr>
          <w:sz w:val="22"/>
          <w:lang w:val="fr-CH"/>
        </w:rPr>
      </w:pPr>
      <m:oMathPara>
        <m:oMathParaPr>
          <m:jc m:val="left"/>
        </m:oMathParaPr>
        <m:oMath>
          <m:f>
            <m:fPr>
              <m:ctrlPr>
                <w:rPr>
                  <w:rFonts w:ascii="Cambria Math" w:hAnsi="Cambria Math"/>
                  <w:i/>
                  <w:sz w:val="22"/>
                  <w:lang w:val="en-US"/>
                </w:rPr>
              </m:ctrlPr>
            </m:fPr>
            <m:num>
              <m:r>
                <w:rPr>
                  <w:rFonts w:ascii="Cambria Math" w:hAnsi="Cambria Math"/>
                  <w:sz w:val="22"/>
                  <w:lang w:val="en-US"/>
                </w:rPr>
                <m:t>C</m:t>
              </m:r>
            </m:num>
            <m:den>
              <m:r>
                <w:rPr>
                  <w:rFonts w:ascii="Cambria Math" w:hAnsi="Cambria Math"/>
                  <w:sz w:val="22"/>
                  <w:lang w:val="en-US"/>
                </w:rPr>
                <m:t>I</m:t>
              </m:r>
            </m:den>
          </m:f>
          <m:r>
            <w:rPr>
              <w:rFonts w:ascii="Cambria Math" w:hAnsi="Cambria Math"/>
              <w:sz w:val="22"/>
              <w:lang w:val="fr-CH"/>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oMath>
      </m:oMathPara>
    </w:p>
    <w:p w14:paraId="331B0EC6" w14:textId="77777777" w:rsidR="008C46D0" w:rsidRPr="000C06F9" w:rsidRDefault="008C46D0" w:rsidP="008C46D0">
      <w:pPr>
        <w:pStyle w:val="Textvorlage"/>
        <w:rPr>
          <w:sz w:val="22"/>
          <w:lang w:val="fr-CH"/>
        </w:rPr>
      </w:pPr>
    </w:p>
    <w:p w14:paraId="30128EF5" w14:textId="77777777" w:rsidR="008C46D0" w:rsidRPr="000C06F9" w:rsidRDefault="00000000" w:rsidP="008C46D0">
      <w:pPr>
        <w:pStyle w:val="Textvorlage"/>
        <w:rPr>
          <w:sz w:val="22"/>
          <w:lang w:val="fr-CH"/>
        </w:rPr>
      </w:pPr>
      <m:oMathPara>
        <m:oMathParaPr>
          <m:jc m:val="left"/>
        </m:oMathParaPr>
        <m:oMath>
          <m:f>
            <m:fPr>
              <m:ctrlPr>
                <w:rPr>
                  <w:rFonts w:ascii="Cambria Math" w:hAnsi="Cambria Math"/>
                  <w:i/>
                  <w:sz w:val="22"/>
                  <w:lang w:val="en-US"/>
                </w:rPr>
              </m:ctrlPr>
            </m:fPr>
            <m:num>
              <m:r>
                <w:rPr>
                  <w:rFonts w:ascii="Cambria Math" w:hAnsi="Cambria Math"/>
                  <w:sz w:val="22"/>
                  <w:lang w:val="en-US"/>
                </w:rPr>
                <m:t>C</m:t>
              </m:r>
            </m:num>
            <m:den>
              <m:f>
                <m:fP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I</m:t>
                      </m:r>
                    </m:e>
                    <m:sub>
                      <m:r>
                        <w:rPr>
                          <w:rFonts w:ascii="Cambria Math" w:hAnsi="Cambria Math"/>
                          <w:sz w:val="22"/>
                          <w:lang w:val="en-US"/>
                        </w:rPr>
                        <m:t>adj</m:t>
                      </m:r>
                    </m:sub>
                  </m:sSub>
                </m:num>
                <m:den>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den>
              </m:f>
              <m: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I</m:t>
                      </m:r>
                    </m:e>
                    <m:sub>
                      <m:r>
                        <w:rPr>
                          <w:rFonts w:ascii="Cambria Math" w:hAnsi="Cambria Math"/>
                          <w:sz w:val="22"/>
                          <w:lang w:val="en-US"/>
                        </w:rPr>
                        <m:t>adj</m:t>
                      </m:r>
                    </m:sub>
                  </m:sSub>
                </m:num>
                <m:den>
                  <m:r>
                    <w:rPr>
                      <w:rFonts w:ascii="Cambria Math" w:hAnsi="Cambria Math"/>
                      <w:sz w:val="22"/>
                      <w:lang w:val="en-US"/>
                    </w:rPr>
                    <m:t>ACLR</m:t>
                  </m:r>
                </m:den>
              </m:f>
            </m:den>
          </m:f>
          <m:r>
            <w:rPr>
              <w:rFonts w:ascii="Cambria Math" w:hAnsi="Cambria Math"/>
              <w:sz w:val="22"/>
              <w:lang w:val="fr-CH"/>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oMath>
      </m:oMathPara>
    </w:p>
    <w:p w14:paraId="53031C5A" w14:textId="77777777" w:rsidR="008C46D0" w:rsidRPr="000C06F9" w:rsidRDefault="008C46D0" w:rsidP="008C46D0">
      <w:pPr>
        <w:pStyle w:val="Textvorlage"/>
        <w:rPr>
          <w:sz w:val="22"/>
          <w:lang w:val="fr-CH"/>
        </w:rPr>
      </w:pPr>
    </w:p>
    <w:p w14:paraId="3963903F" w14:textId="77777777" w:rsidR="008C46D0" w:rsidRPr="000C06F9" w:rsidRDefault="00000000" w:rsidP="008C46D0">
      <w:pPr>
        <w:pStyle w:val="Textvorlage"/>
        <w:rPr>
          <w:sz w:val="22"/>
          <w:lang w:val="fr-CH"/>
        </w:rPr>
      </w:pPr>
      <m:oMathPara>
        <m:oMathParaPr>
          <m:jc m:val="left"/>
        </m:oMathParaPr>
        <m:oMath>
          <m:f>
            <m:fPr>
              <m:ctrlPr>
                <w:rPr>
                  <w:rFonts w:ascii="Cambria Math" w:hAnsi="Cambria Math"/>
                  <w:i/>
                  <w:sz w:val="22"/>
                  <w:lang w:val="en-US"/>
                </w:rPr>
              </m:ctrlPr>
            </m:fPr>
            <m:num>
              <m:f>
                <m:fPr>
                  <m:ctrlPr>
                    <w:rPr>
                      <w:rFonts w:ascii="Cambria Math" w:hAnsi="Cambria Math"/>
                      <w:i/>
                      <w:sz w:val="22"/>
                      <w:lang w:val="en-US"/>
                    </w:rPr>
                  </m:ctrlPr>
                </m:fPr>
                <m:num>
                  <m:r>
                    <w:rPr>
                      <w:rFonts w:ascii="Cambria Math" w:hAnsi="Cambria Math"/>
                      <w:sz w:val="22"/>
                      <w:lang w:val="en-US"/>
                    </w:rPr>
                    <m:t>C</m:t>
                  </m:r>
                </m:num>
                <m:den>
                  <m:sSub>
                    <m:sSubPr>
                      <m:ctrlPr>
                        <w:rPr>
                          <w:rFonts w:ascii="Cambria Math" w:hAnsi="Cambria Math"/>
                          <w:i/>
                          <w:sz w:val="22"/>
                          <w:lang w:val="en-US"/>
                        </w:rPr>
                      </m:ctrlPr>
                    </m:sSubPr>
                    <m:e>
                      <m:r>
                        <w:rPr>
                          <w:rFonts w:ascii="Cambria Math" w:hAnsi="Cambria Math"/>
                          <w:sz w:val="22"/>
                          <w:lang w:val="en-US"/>
                        </w:rPr>
                        <m:t>I</m:t>
                      </m:r>
                    </m:e>
                    <m:sub>
                      <m:r>
                        <w:rPr>
                          <w:rFonts w:ascii="Cambria Math" w:hAnsi="Cambria Math"/>
                          <w:sz w:val="22"/>
                          <w:lang w:val="en-US"/>
                        </w:rPr>
                        <m:t>adj</m:t>
                      </m:r>
                    </m:sub>
                  </m:sSub>
                </m:den>
              </m:f>
            </m:num>
            <m:den>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ACLR</m:t>
                  </m:r>
                </m:den>
              </m:f>
            </m:den>
          </m:f>
          <m:r>
            <w:rPr>
              <w:rFonts w:ascii="Cambria Math" w:hAnsi="Cambria Math"/>
              <w:sz w:val="22"/>
              <w:lang w:val="fr-CH"/>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oMath>
      </m:oMathPara>
    </w:p>
    <w:p w14:paraId="3BA19BC6" w14:textId="77777777" w:rsidR="008C46D0" w:rsidRPr="000C06F9" w:rsidRDefault="008C46D0" w:rsidP="008C46D0">
      <w:pPr>
        <w:pStyle w:val="Textvorlage"/>
        <w:rPr>
          <w:sz w:val="22"/>
          <w:lang w:val="fr-CH"/>
        </w:rPr>
      </w:pPr>
    </w:p>
    <w:p w14:paraId="41E1E16F" w14:textId="77777777" w:rsidR="008C46D0" w:rsidRPr="000C06F9" w:rsidRDefault="00000000" w:rsidP="008C46D0">
      <w:pPr>
        <w:pStyle w:val="Textvorlage"/>
        <w:rPr>
          <w:sz w:val="22"/>
          <w:lang w:val="fr-CH"/>
        </w:rPr>
      </w:pPr>
      <m:oMathPara>
        <m:oMathParaPr>
          <m:jc m:val="left"/>
        </m:oMathParaPr>
        <m:oMath>
          <m:f>
            <m:fPr>
              <m:ctrlPr>
                <w:rPr>
                  <w:rFonts w:ascii="Cambria Math" w:hAnsi="Cambria Math"/>
                  <w:i/>
                  <w:sz w:val="22"/>
                  <w:lang w:val="en-US"/>
                </w:rPr>
              </m:ctrlPr>
            </m:fPr>
            <m:num>
              <m:r>
                <w:rPr>
                  <w:rFonts w:ascii="Cambria Math" w:hAnsi="Cambria Math"/>
                  <w:sz w:val="22"/>
                  <w:lang w:val="en-US"/>
                </w:rPr>
                <m:t>PR(∆f)</m:t>
              </m:r>
            </m:num>
            <m:den>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ACLR</m:t>
                  </m:r>
                </m:den>
              </m:f>
            </m:den>
          </m:f>
          <m:r>
            <w:rPr>
              <w:rFonts w:ascii="Cambria Math" w:hAnsi="Cambria Math"/>
              <w:sz w:val="22"/>
              <w:lang w:val="fr-CH"/>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oMath>
      </m:oMathPara>
    </w:p>
    <w:p w14:paraId="11922563" w14:textId="77777777" w:rsidR="008C46D0" w:rsidRPr="000C06F9" w:rsidRDefault="008C46D0" w:rsidP="008C46D0">
      <w:pPr>
        <w:pStyle w:val="Textvorlage"/>
        <w:rPr>
          <w:sz w:val="22"/>
          <w:lang w:val="fr-CH"/>
        </w:rPr>
      </w:pPr>
    </w:p>
    <w:p w14:paraId="2EB0F413" w14:textId="77777777" w:rsidR="008C46D0" w:rsidRPr="000C06F9" w:rsidRDefault="008C46D0" w:rsidP="008C46D0">
      <w:pPr>
        <w:pStyle w:val="Textvorlage"/>
        <w:rPr>
          <w:sz w:val="22"/>
          <w:lang w:val="fr-CH"/>
        </w:rPr>
      </w:pPr>
      <m:oMathPara>
        <m:oMathParaPr>
          <m:jc m:val="left"/>
        </m:oMathParaPr>
        <m:oMath>
          <m:r>
            <w:rPr>
              <w:rFonts w:ascii="Cambria Math" w:hAnsi="Cambria Math"/>
              <w:sz w:val="22"/>
              <w:lang w:val="en-US"/>
            </w:rPr>
            <m:t>PR(∆f)</m:t>
          </m:r>
          <m:r>
            <w:rPr>
              <w:rFonts w:ascii="Cambria Math" w:hAnsi="Cambria Math"/>
              <w:sz w:val="22"/>
              <w:lang w:val="fr-CH"/>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d>
            <m:dPr>
              <m:ctrlPr>
                <w:rPr>
                  <w:rFonts w:ascii="Cambria Math" w:hAnsi="Cambria Math"/>
                  <w:i/>
                  <w:sz w:val="22"/>
                  <w:lang w:val="en-US"/>
                </w:rPr>
              </m:ctrlPr>
            </m:dPr>
            <m:e>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ACLR</m:t>
                  </m:r>
                </m:den>
              </m:f>
            </m:e>
          </m:d>
        </m:oMath>
      </m:oMathPara>
    </w:p>
    <w:p w14:paraId="55903DB7" w14:textId="77777777" w:rsidR="008C46D0" w:rsidRPr="000C06F9" w:rsidRDefault="008C46D0" w:rsidP="008C46D0">
      <w:pPr>
        <w:pStyle w:val="Textvorlage"/>
        <w:rPr>
          <w:sz w:val="22"/>
          <w:lang w:val="fr-CH"/>
        </w:rPr>
      </w:pPr>
    </w:p>
    <w:p w14:paraId="199C73E5" w14:textId="77777777" w:rsidR="008C46D0" w:rsidRPr="008C46D0" w:rsidRDefault="008C46D0" w:rsidP="008C46D0">
      <w:pPr>
        <w:pStyle w:val="Textvorlage"/>
        <w:rPr>
          <w:sz w:val="20"/>
          <w:szCs w:val="20"/>
          <w:lang w:val="en-US"/>
        </w:rPr>
      </w:pPr>
      <w:r w:rsidRPr="008C46D0">
        <w:rPr>
          <w:sz w:val="20"/>
          <w:szCs w:val="20"/>
          <w:lang w:val="en-US"/>
        </w:rPr>
        <w:t>In the logarithmic domain:</w:t>
      </w:r>
    </w:p>
    <w:p w14:paraId="2216C693" w14:textId="77777777" w:rsidR="008C46D0" w:rsidRPr="000C06F9" w:rsidRDefault="00000000" w:rsidP="008C46D0">
      <w:pPr>
        <w:pStyle w:val="Textvorlage"/>
        <w:rPr>
          <w:sz w:val="22"/>
          <w:lang w:val="en-US"/>
        </w:rPr>
      </w:pPr>
      <m:oMath>
        <m:sSub>
          <m:sSubPr>
            <m:ctrlPr>
              <w:rPr>
                <w:rFonts w:ascii="Cambria Math" w:hAnsi="Cambria Math"/>
                <w:i/>
                <w:sz w:val="22"/>
                <w:lang w:val="en-US"/>
              </w:rPr>
            </m:ctrlPr>
          </m:sSubPr>
          <m:e>
            <m:r>
              <w:rPr>
                <w:rFonts w:ascii="Cambria Math" w:hAnsi="Cambria Math"/>
                <w:sz w:val="22"/>
                <w:lang w:val="en-US"/>
              </w:rPr>
              <m:t>PR</m:t>
            </m:r>
            <m:d>
              <m:dPr>
                <m:ctrlPr>
                  <w:rPr>
                    <w:rFonts w:ascii="Cambria Math" w:hAnsi="Cambria Math"/>
                    <w:i/>
                    <w:sz w:val="22"/>
                    <w:lang w:val="en-US"/>
                  </w:rPr>
                </m:ctrlPr>
              </m:dPr>
              <m:e>
                <m:r>
                  <w:rPr>
                    <w:rFonts w:ascii="Cambria Math" w:hAnsi="Cambria Math"/>
                    <w:sz w:val="22"/>
                    <w:lang w:val="en-US"/>
                  </w:rPr>
                  <m:t>∆f</m:t>
                </m:r>
              </m:e>
            </m:d>
          </m:e>
          <m:sub>
            <m:r>
              <w:rPr>
                <w:rFonts w:ascii="Cambria Math" w:hAnsi="Cambria Math"/>
                <w:sz w:val="22"/>
                <w:lang w:val="en-US"/>
              </w:rPr>
              <m:t>dB</m:t>
            </m:r>
          </m:sub>
        </m:sSub>
        <m:r>
          <w:rPr>
            <w:rFonts w:ascii="Cambria Math" w:hAnsi="Cambria Math"/>
            <w:sz w:val="22"/>
            <w:lang w:val="en-US"/>
          </w:rPr>
          <m:t>=</m:t>
        </m:r>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0dB</m:t>
            </m:r>
          </m:sub>
        </m:sSub>
        <m:r>
          <w:rPr>
            <w:rFonts w:ascii="Cambria Math" w:hAnsi="Cambria Math"/>
            <w:sz w:val="22"/>
            <w:lang w:val="en-US"/>
          </w:rPr>
          <m:t xml:space="preserve">+10 </m:t>
        </m:r>
        <m:r>
          <m:rPr>
            <m:sty m:val="p"/>
          </m:rPr>
          <w:rPr>
            <w:rFonts w:ascii="Cambria Math" w:hAnsi="Cambria Math"/>
            <w:sz w:val="22"/>
            <w:lang w:val="en-US"/>
          </w:rPr>
          <m:t>log</m:t>
        </m:r>
        <m:d>
          <m:dPr>
            <m:begChr m:val="["/>
            <m:endChr m:val="]"/>
            <m:ctrlPr>
              <w:rPr>
                <w:rFonts w:ascii="Cambria Math" w:hAnsi="Cambria Math"/>
                <w:iCs/>
                <w:sz w:val="22"/>
                <w:lang w:val="en-US"/>
              </w:rPr>
            </m:ctrlPr>
          </m:dPr>
          <m:e>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e>
                      <m:sub>
                        <m:r>
                          <w:rPr>
                            <w:rFonts w:ascii="Cambria Math" w:hAnsi="Cambria Math"/>
                            <w:sz w:val="22"/>
                            <w:lang w:val="en-US"/>
                          </w:rPr>
                          <m:t>dB</m:t>
                        </m:r>
                      </m:sub>
                    </m:sSub>
                  </m:num>
                  <m:den>
                    <m:r>
                      <w:rPr>
                        <w:rFonts w:ascii="Cambria Math" w:hAnsi="Cambria Math"/>
                        <w:sz w:val="22"/>
                        <w:lang w:val="en-US"/>
                      </w:rPr>
                      <m:t>10</m:t>
                    </m:r>
                  </m:den>
                </m:f>
              </m:sup>
            </m:sSup>
            <m:r>
              <w:rPr>
                <w:rFonts w:ascii="Cambria Math" w:hAnsi="Cambria Math"/>
                <w:sz w:val="22"/>
                <w:lang w:val="en-US"/>
              </w:rPr>
              <m:t>+</m:t>
            </m:r>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ACLR</m:t>
                        </m:r>
                      </m:e>
                      <m:sub>
                        <m:r>
                          <w:rPr>
                            <w:rFonts w:ascii="Cambria Math" w:hAnsi="Cambria Math"/>
                            <w:sz w:val="22"/>
                            <w:lang w:val="en-US"/>
                          </w:rPr>
                          <m:t>dB</m:t>
                        </m:r>
                      </m:sub>
                    </m:sSub>
                  </m:num>
                  <m:den>
                    <m:r>
                      <w:rPr>
                        <w:rFonts w:ascii="Cambria Math" w:hAnsi="Cambria Math"/>
                        <w:sz w:val="22"/>
                        <w:lang w:val="en-US"/>
                      </w:rPr>
                      <m:t>10</m:t>
                    </m:r>
                  </m:den>
                </m:f>
              </m:sup>
            </m:sSup>
          </m:e>
        </m:d>
      </m:oMath>
      <w:r w:rsidR="008C46D0" w:rsidRPr="000C06F9">
        <w:rPr>
          <w:rFonts w:eastAsiaTheme="minorEastAsia"/>
          <w:iCs/>
          <w:sz w:val="22"/>
          <w:lang w:val="en-US"/>
        </w:rPr>
        <w:tab/>
      </w:r>
      <w:r w:rsidR="008C46D0" w:rsidRPr="000C06F9">
        <w:rPr>
          <w:rFonts w:eastAsiaTheme="minorEastAsia"/>
          <w:iCs/>
          <w:sz w:val="22"/>
          <w:lang w:val="en-US"/>
        </w:rPr>
        <w:tab/>
      </w:r>
      <w:r w:rsidR="008C46D0" w:rsidRPr="000C06F9">
        <w:rPr>
          <w:rFonts w:eastAsiaTheme="minorEastAsia"/>
          <w:iCs/>
          <w:sz w:val="22"/>
          <w:lang w:val="en-US"/>
        </w:rPr>
        <w:tab/>
      </w:r>
      <w:r w:rsidR="008C46D0" w:rsidRPr="008C46D0">
        <w:rPr>
          <w:rFonts w:eastAsiaTheme="minorEastAsia"/>
          <w:iCs/>
          <w:sz w:val="20"/>
          <w:szCs w:val="20"/>
          <w:lang w:val="en-US"/>
        </w:rPr>
        <w:t>(Eq.1)</w:t>
      </w:r>
    </w:p>
    <w:p w14:paraId="5ECCB996" w14:textId="77777777" w:rsidR="008C46D0" w:rsidRPr="000C06F9" w:rsidRDefault="008C46D0" w:rsidP="008C46D0">
      <w:pPr>
        <w:pStyle w:val="Textvorlage"/>
        <w:rPr>
          <w:sz w:val="22"/>
          <w:lang w:val="en-US"/>
        </w:rPr>
      </w:pPr>
    </w:p>
    <w:p w14:paraId="51688027" w14:textId="77777777" w:rsidR="008C46D0" w:rsidRPr="008C46D0" w:rsidRDefault="008C46D0" w:rsidP="008C46D0">
      <w:pPr>
        <w:pStyle w:val="Textvorlage"/>
        <w:rPr>
          <w:sz w:val="20"/>
          <w:szCs w:val="20"/>
          <w:lang w:val="en-US"/>
        </w:rPr>
      </w:pPr>
      <w:r w:rsidRPr="008C46D0">
        <w:rPr>
          <w:sz w:val="20"/>
          <w:szCs w:val="20"/>
          <w:lang w:val="en-US"/>
        </w:rPr>
        <w:t>The same relation allows to derive the ACS value from the three other parameters, as follows:</w:t>
      </w:r>
    </w:p>
    <w:p w14:paraId="31092D36" w14:textId="77777777" w:rsidR="008C46D0" w:rsidRPr="008C46D0" w:rsidRDefault="008C46D0" w:rsidP="008C46D0">
      <w:pPr>
        <w:pStyle w:val="Textvorlage"/>
        <w:rPr>
          <w:sz w:val="20"/>
          <w:szCs w:val="20"/>
          <w:lang w:val="en-US"/>
        </w:rPr>
      </w:pPr>
      <w:r w:rsidRPr="008C46D0">
        <w:rPr>
          <w:sz w:val="20"/>
          <w:szCs w:val="20"/>
          <w:lang w:val="en-US"/>
        </w:rPr>
        <w:t>In the linear domain</w:t>
      </w:r>
    </w:p>
    <w:p w14:paraId="481850AD" w14:textId="77777777" w:rsidR="008C46D0" w:rsidRPr="000C06F9" w:rsidRDefault="008C46D0" w:rsidP="008C46D0">
      <w:pPr>
        <w:pStyle w:val="Textvorlage"/>
        <w:rPr>
          <w:sz w:val="22"/>
          <w:lang w:val="en-US"/>
        </w:rPr>
      </w:pPr>
    </w:p>
    <w:p w14:paraId="67DBD171" w14:textId="77777777" w:rsidR="008C46D0" w:rsidRPr="000C06F9" w:rsidRDefault="00000000" w:rsidP="008C46D0">
      <w:pPr>
        <w:pStyle w:val="Textvorlage"/>
        <w:rPr>
          <w:rFonts w:eastAsiaTheme="minorEastAsia"/>
          <w:sz w:val="22"/>
          <w:lang w:val="en-US"/>
        </w:rPr>
      </w:pPr>
      <m:oMathPara>
        <m:oMathParaPr>
          <m:jc m:val="left"/>
        </m:oMathParaPr>
        <m:oMath>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PR(∆f)</m:t>
              </m:r>
            </m:num>
            <m:den>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ACLR</m:t>
              </m:r>
            </m:den>
          </m:f>
        </m:oMath>
      </m:oMathPara>
    </w:p>
    <w:p w14:paraId="76FEB8A9" w14:textId="77777777" w:rsidR="008C46D0" w:rsidRPr="000C06F9" w:rsidRDefault="008C46D0" w:rsidP="008C46D0">
      <w:pPr>
        <w:pStyle w:val="Textvorlage"/>
        <w:rPr>
          <w:sz w:val="22"/>
          <w:lang w:val="fr-CH"/>
        </w:rPr>
      </w:pPr>
    </w:p>
    <w:p w14:paraId="24FF18B8" w14:textId="77777777" w:rsidR="008C46D0" w:rsidRPr="000C06F9" w:rsidRDefault="008C46D0" w:rsidP="008C46D0">
      <w:pPr>
        <w:pStyle w:val="Textvorlage"/>
        <w:rPr>
          <w:rFonts w:eastAsiaTheme="minorEastAsia"/>
          <w:sz w:val="22"/>
          <w:lang w:val="en-US"/>
        </w:rPr>
      </w:pPr>
      <m:oMathPara>
        <m:oMathParaPr>
          <m:jc m:val="left"/>
        </m:oMathParaPr>
        <m:oMath>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f>
                <m:fPr>
                  <m:ctrlPr>
                    <w:rPr>
                      <w:rFonts w:ascii="Cambria Math" w:hAnsi="Cambria Math"/>
                      <w:i/>
                      <w:sz w:val="22"/>
                      <w:lang w:val="en-US"/>
                    </w:rPr>
                  </m:ctrlPr>
                </m:fPr>
                <m:num>
                  <m:r>
                    <w:rPr>
                      <w:rFonts w:ascii="Cambria Math" w:hAnsi="Cambria Math"/>
                      <w:sz w:val="22"/>
                      <w:lang w:val="en-US"/>
                    </w:rPr>
                    <m:t>PR(∆f)</m:t>
                  </m:r>
                </m:num>
                <m:den>
                  <m:sSub>
                    <m:sSubPr>
                      <m:ctrlPr>
                        <w:rPr>
                          <w:rFonts w:ascii="Cambria Math" w:hAnsi="Cambria Math"/>
                          <w:i/>
                          <w:sz w:val="22"/>
                          <w:lang w:val="en-US"/>
                        </w:rPr>
                      </m:ctrlPr>
                    </m:sSubPr>
                    <m:e>
                      <m:r>
                        <w:rPr>
                          <w:rFonts w:ascii="Cambria Math" w:hAnsi="Cambria Math"/>
                          <w:sz w:val="22"/>
                          <w:lang w:val="en-US"/>
                        </w:rPr>
                        <m:t>PR</m:t>
                      </m:r>
                    </m:e>
                    <m:sub>
                      <m:r>
                        <w:rPr>
                          <w:rFonts w:ascii="Cambria Math" w:hAnsi="Cambria Math"/>
                          <w:sz w:val="22"/>
                          <w:lang w:val="en-US"/>
                        </w:rPr>
                        <m:t>0</m:t>
                      </m:r>
                    </m:sub>
                  </m:sSub>
                </m:den>
              </m:f>
              <m:r>
                <w:rPr>
                  <w:rFonts w:ascii="Cambria Math" w:hAnsi="Cambria Math"/>
                  <w:sz w:val="22"/>
                  <w:lang w:val="en-US"/>
                </w:rPr>
                <m:t>-</m:t>
              </m:r>
              <m:f>
                <m:fPr>
                  <m:ctrlPr>
                    <w:rPr>
                      <w:rFonts w:ascii="Cambria Math" w:hAnsi="Cambria Math"/>
                      <w:i/>
                      <w:sz w:val="22"/>
                      <w:lang w:val="en-US"/>
                    </w:rPr>
                  </m:ctrlPr>
                </m:fPr>
                <m:num>
                  <m:r>
                    <w:rPr>
                      <w:rFonts w:ascii="Cambria Math" w:hAnsi="Cambria Math"/>
                      <w:sz w:val="22"/>
                      <w:lang w:val="en-US"/>
                    </w:rPr>
                    <m:t>1</m:t>
                  </m:r>
                </m:num>
                <m:den>
                  <m:r>
                    <w:rPr>
                      <w:rFonts w:ascii="Cambria Math" w:hAnsi="Cambria Math"/>
                      <w:sz w:val="22"/>
                      <w:lang w:val="en-US"/>
                    </w:rPr>
                    <m:t>ACLR</m:t>
                  </m:r>
                </m:den>
              </m:f>
            </m:den>
          </m:f>
        </m:oMath>
      </m:oMathPara>
    </w:p>
    <w:p w14:paraId="6963FEEB" w14:textId="77777777" w:rsidR="008C46D0" w:rsidRPr="000C06F9" w:rsidRDefault="008C46D0" w:rsidP="008C46D0">
      <w:pPr>
        <w:pStyle w:val="Textvorlage"/>
        <w:rPr>
          <w:sz w:val="22"/>
          <w:lang w:val="fr-CH"/>
        </w:rPr>
      </w:pPr>
    </w:p>
    <w:p w14:paraId="3C37606D" w14:textId="77777777" w:rsidR="008C46D0" w:rsidRPr="008C46D0" w:rsidRDefault="008C46D0" w:rsidP="008C46D0">
      <w:pPr>
        <w:pStyle w:val="Textvorlage"/>
        <w:rPr>
          <w:sz w:val="20"/>
          <w:szCs w:val="20"/>
          <w:lang w:val="en-US"/>
        </w:rPr>
      </w:pPr>
      <w:r w:rsidRPr="008C46D0">
        <w:rPr>
          <w:sz w:val="20"/>
          <w:szCs w:val="20"/>
          <w:lang w:val="en-US"/>
        </w:rPr>
        <w:t>In the logarithmic domain:</w:t>
      </w:r>
    </w:p>
    <w:p w14:paraId="337B1462" w14:textId="77777777" w:rsidR="008C46D0" w:rsidRPr="000C06F9" w:rsidRDefault="008C46D0" w:rsidP="008C46D0">
      <w:pPr>
        <w:pStyle w:val="Textvorlage"/>
        <w:rPr>
          <w:sz w:val="22"/>
          <w:lang w:val="en-US"/>
        </w:rPr>
      </w:pPr>
    </w:p>
    <w:p w14:paraId="13C9C4D4" w14:textId="77777777" w:rsidR="008C46D0" w:rsidRPr="000C06F9" w:rsidRDefault="00000000" w:rsidP="008C46D0">
      <w:pPr>
        <w:pStyle w:val="Textvorlage"/>
        <w:rPr>
          <w:sz w:val="22"/>
          <w:lang w:val="en-US"/>
        </w:rPr>
      </w:pPr>
      <m:oMath>
        <m:sSub>
          <m:sSubPr>
            <m:ctrlPr>
              <w:rPr>
                <w:rFonts w:ascii="Cambria Math" w:hAnsi="Cambria Math"/>
                <w:i/>
                <w:sz w:val="22"/>
                <w:lang w:val="en-US"/>
              </w:rPr>
            </m:ctrlPr>
          </m:sSubPr>
          <m:e>
            <m:r>
              <w:rPr>
                <w:rFonts w:ascii="Cambria Math" w:hAnsi="Cambria Math"/>
                <w:sz w:val="22"/>
                <w:lang w:val="en-US"/>
              </w:rPr>
              <m:t>ACS</m:t>
            </m:r>
            <m:d>
              <m:dPr>
                <m:ctrlPr>
                  <w:rPr>
                    <w:rFonts w:ascii="Cambria Math" w:hAnsi="Cambria Math"/>
                    <w:i/>
                    <w:sz w:val="22"/>
                    <w:lang w:val="en-US"/>
                  </w:rPr>
                </m:ctrlPr>
              </m:dPr>
              <m:e>
                <m:r>
                  <w:rPr>
                    <w:rFonts w:ascii="Cambria Math" w:hAnsi="Cambria Math"/>
                    <w:sz w:val="22"/>
                    <w:lang w:val="en-US"/>
                  </w:rPr>
                  <m:t>∆f</m:t>
                </m:r>
              </m:e>
            </m:d>
          </m:e>
          <m:sub>
            <m:r>
              <w:rPr>
                <w:rFonts w:ascii="Cambria Math" w:hAnsi="Cambria Math"/>
                <w:sz w:val="22"/>
                <w:lang w:val="en-US"/>
              </w:rPr>
              <m:t>dB</m:t>
            </m:r>
          </m:sub>
        </m:sSub>
        <m:r>
          <w:rPr>
            <w:rFonts w:ascii="Cambria Math" w:hAnsi="Cambria Math"/>
            <w:sz w:val="22"/>
            <w:lang w:val="en-US"/>
          </w:rPr>
          <m:t>=-10</m:t>
        </m:r>
        <m:func>
          <m:funcPr>
            <m:ctrlPr>
              <w:rPr>
                <w:rFonts w:ascii="Cambria Math" w:hAnsi="Cambria Math"/>
                <w:sz w:val="22"/>
                <w:lang w:val="en-US"/>
              </w:rPr>
            </m:ctrlPr>
          </m:funcPr>
          <m:fName>
            <m:r>
              <m:rPr>
                <m:sty m:val="p"/>
              </m:rPr>
              <w:rPr>
                <w:rFonts w:ascii="Cambria Math" w:hAnsi="Cambria Math"/>
                <w:sz w:val="22"/>
                <w:lang w:val="en-US"/>
              </w:rPr>
              <m:t>log</m:t>
            </m:r>
          </m:fName>
          <m:e>
            <m:d>
              <m:dPr>
                <m:begChr m:val="["/>
                <m:endChr m:val="]"/>
                <m:ctrlPr>
                  <w:rPr>
                    <w:rFonts w:ascii="Cambria Math" w:hAnsi="Cambria Math"/>
                    <w:sz w:val="22"/>
                    <w:lang w:val="en-US"/>
                  </w:rPr>
                </m:ctrlPr>
              </m:dPr>
              <m:e>
                <m:sSup>
                  <m:sSupPr>
                    <m:ctrlPr>
                      <w:rPr>
                        <w:rFonts w:ascii="Cambria Math" w:hAnsi="Cambria Math"/>
                        <w:i/>
                        <w:sz w:val="22"/>
                        <w:lang w:val="en-US"/>
                      </w:rPr>
                    </m:ctrlPr>
                  </m:sSupPr>
                  <m:e>
                    <m:r>
                      <w:rPr>
                        <w:rFonts w:ascii="Cambria Math" w:hAnsi="Cambria Math"/>
                        <w:sz w:val="22"/>
                        <w:lang w:val="en-US"/>
                      </w:rPr>
                      <m:t>10</m:t>
                    </m:r>
                  </m:e>
                  <m:sup>
                    <m:f>
                      <m:fPr>
                        <m:ctrlPr>
                          <w:rPr>
                            <w:rFonts w:ascii="Cambria Math" w:hAnsi="Cambria Math"/>
                            <w:i/>
                            <w:sz w:val="22"/>
                            <w:lang w:val="en-US"/>
                          </w:rPr>
                        </m:ctrlPr>
                      </m:fPr>
                      <m:num>
                        <m:sSub>
                          <m:sSubPr>
                            <m:ctrlPr>
                              <w:rPr>
                                <w:rFonts w:ascii="Cambria Math" w:hAnsi="Cambria Math"/>
                                <w:i/>
                                <w:sz w:val="22"/>
                                <w:lang w:val="en-US"/>
                              </w:rPr>
                            </m:ctrlPr>
                          </m:sSubPr>
                          <m:e>
                            <m:sSub>
                              <m:sSubPr>
                                <m:ctrlPr>
                                  <w:rPr>
                                    <w:rFonts w:ascii="Cambria Math" w:hAnsi="Cambria Math"/>
                                    <w:i/>
                                    <w:sz w:val="22"/>
                                    <w:lang w:val="en-US"/>
                                  </w:rPr>
                                </m:ctrlPr>
                              </m:sSubPr>
                              <m:e>
                                <m:r>
                                  <w:rPr>
                                    <w:rFonts w:ascii="Cambria Math" w:hAnsi="Cambria Math"/>
                                    <w:sz w:val="22"/>
                                    <w:lang w:val="en-US"/>
                                  </w:rPr>
                                  <m:t>PR</m:t>
                                </m:r>
                                <m:d>
                                  <m:dPr>
                                    <m:ctrlPr>
                                      <w:rPr>
                                        <w:rFonts w:ascii="Cambria Math" w:hAnsi="Cambria Math"/>
                                        <w:i/>
                                        <w:sz w:val="22"/>
                                        <w:lang w:val="en-US"/>
                                      </w:rPr>
                                    </m:ctrlPr>
                                  </m:dPr>
                                  <m:e>
                                    <m:r>
                                      <w:rPr>
                                        <w:rFonts w:ascii="Cambria Math" w:hAnsi="Cambria Math"/>
                                        <w:sz w:val="22"/>
                                        <w:lang w:val="en-US"/>
                                      </w:rPr>
                                      <m:t>∆f</m:t>
                                    </m:r>
                                  </m:e>
                                </m:d>
                              </m:e>
                              <m:sub>
                                <m:r>
                                  <w:rPr>
                                    <w:rFonts w:ascii="Cambria Math" w:hAnsi="Cambria Math"/>
                                    <w:sz w:val="22"/>
                                    <w:lang w:val="en-US"/>
                                  </w:rPr>
                                  <m:t>dB</m:t>
                                </m:r>
                              </m:sub>
                            </m:sSub>
                            <m:r>
                              <w:rPr>
                                <w:rFonts w:ascii="Cambria Math" w:hAnsi="Cambria Math"/>
                                <w:sz w:val="22"/>
                                <w:lang w:val="en-US"/>
                              </w:rPr>
                              <m:t>-PR</m:t>
                            </m:r>
                          </m:e>
                          <m:sub>
                            <m:r>
                              <w:rPr>
                                <w:rFonts w:ascii="Cambria Math" w:hAnsi="Cambria Math"/>
                                <w:sz w:val="22"/>
                                <w:lang w:val="en-US"/>
                              </w:rPr>
                              <m:t>0dB</m:t>
                            </m:r>
                          </m:sub>
                        </m:sSub>
                      </m:num>
                      <m:den>
                        <m:r>
                          <w:rPr>
                            <w:rFonts w:ascii="Cambria Math" w:hAnsi="Cambria Math"/>
                            <w:sz w:val="22"/>
                            <w:lang w:val="en-US"/>
                          </w:rPr>
                          <m:t>10</m:t>
                        </m:r>
                      </m:den>
                    </m:f>
                  </m:sup>
                </m:sSup>
                <m:r>
                  <w:rPr>
                    <w:rFonts w:ascii="Cambria Math" w:hAnsi="Cambria Math"/>
                    <w:sz w:val="22"/>
                    <w:lang w:val="en-US"/>
                  </w:rPr>
                  <m:t>-</m:t>
                </m:r>
                <m:sSup>
                  <m:sSupPr>
                    <m:ctrlPr>
                      <w:rPr>
                        <w:rFonts w:ascii="Cambria Math" w:hAnsi="Cambria Math"/>
                        <w:i/>
                        <w:sz w:val="22"/>
                        <w:lang w:val="en-US"/>
                      </w:rPr>
                    </m:ctrlPr>
                  </m:sSupPr>
                  <m:e>
                    <m:r>
                      <w:rPr>
                        <w:rFonts w:ascii="Cambria Math" w:hAnsi="Cambria Math"/>
                        <w:sz w:val="22"/>
                        <w:lang w:val="en-US"/>
                      </w:rPr>
                      <m:t>10</m:t>
                    </m:r>
                  </m:e>
                  <m:sup>
                    <m:r>
                      <w:rPr>
                        <w:rFonts w:ascii="Cambria Math" w:hAnsi="Cambria Math"/>
                        <w:sz w:val="22"/>
                        <w:lang w:val="en-US"/>
                      </w:rPr>
                      <m:t>-</m:t>
                    </m:r>
                    <m:f>
                      <m:fPr>
                        <m:ctrlPr>
                          <w:rPr>
                            <w:rFonts w:ascii="Cambria Math" w:hAnsi="Cambria Math"/>
                            <w:i/>
                            <w:sz w:val="22"/>
                            <w:lang w:val="en-US"/>
                          </w:rPr>
                        </m:ctrlPr>
                      </m:fPr>
                      <m:num>
                        <m:sSub>
                          <m:sSubPr>
                            <m:ctrlPr>
                              <w:rPr>
                                <w:rFonts w:ascii="Cambria Math" w:hAnsi="Cambria Math"/>
                                <w:i/>
                                <w:sz w:val="22"/>
                                <w:lang w:val="en-US"/>
                              </w:rPr>
                            </m:ctrlPr>
                          </m:sSubPr>
                          <m:e>
                            <m:r>
                              <w:rPr>
                                <w:rFonts w:ascii="Cambria Math" w:hAnsi="Cambria Math"/>
                                <w:sz w:val="22"/>
                                <w:lang w:val="en-US"/>
                              </w:rPr>
                              <m:t>ACLR</m:t>
                            </m:r>
                          </m:e>
                          <m:sub>
                            <m:r>
                              <w:rPr>
                                <w:rFonts w:ascii="Cambria Math" w:hAnsi="Cambria Math"/>
                                <w:sz w:val="22"/>
                                <w:lang w:val="en-US"/>
                              </w:rPr>
                              <m:t>dB</m:t>
                            </m:r>
                          </m:sub>
                        </m:sSub>
                      </m:num>
                      <m:den>
                        <m:r>
                          <w:rPr>
                            <w:rFonts w:ascii="Cambria Math" w:hAnsi="Cambria Math"/>
                            <w:sz w:val="22"/>
                            <w:lang w:val="en-US"/>
                          </w:rPr>
                          <m:t>10</m:t>
                        </m:r>
                      </m:den>
                    </m:f>
                  </m:sup>
                </m:sSup>
              </m:e>
            </m:d>
          </m:e>
        </m:func>
      </m:oMath>
      <w:r w:rsidR="008C46D0" w:rsidRPr="000C06F9">
        <w:rPr>
          <w:rFonts w:eastAsiaTheme="minorEastAsia"/>
          <w:sz w:val="22"/>
          <w:lang w:val="en-US"/>
        </w:rPr>
        <w:tab/>
      </w:r>
      <w:r w:rsidR="008C46D0" w:rsidRPr="000C06F9">
        <w:rPr>
          <w:rFonts w:eastAsiaTheme="minorEastAsia"/>
          <w:sz w:val="22"/>
          <w:lang w:val="en-US"/>
        </w:rPr>
        <w:tab/>
      </w:r>
      <w:r w:rsidR="008C46D0" w:rsidRPr="000C06F9">
        <w:rPr>
          <w:rFonts w:eastAsiaTheme="minorEastAsia"/>
          <w:sz w:val="22"/>
          <w:lang w:val="en-US"/>
        </w:rPr>
        <w:tab/>
      </w:r>
      <w:r w:rsidR="008C46D0" w:rsidRPr="008C46D0">
        <w:rPr>
          <w:rFonts w:eastAsiaTheme="minorEastAsia"/>
          <w:sz w:val="20"/>
          <w:szCs w:val="20"/>
          <w:lang w:val="en-US"/>
        </w:rPr>
        <w:t>(Eq.2)</w:t>
      </w:r>
    </w:p>
    <w:p w14:paraId="3E90A898" w14:textId="77777777" w:rsidR="008C46D0" w:rsidRPr="000C06F9" w:rsidRDefault="008C46D0" w:rsidP="008C46D0">
      <w:pPr>
        <w:pStyle w:val="Textvorlage"/>
        <w:rPr>
          <w:sz w:val="22"/>
          <w:lang w:val="en-US"/>
        </w:rPr>
      </w:pPr>
    </w:p>
    <w:p w14:paraId="4EA0B62B" w14:textId="77777777" w:rsidR="008C46D0" w:rsidRPr="008C46D0" w:rsidRDefault="008C46D0" w:rsidP="008C46D0">
      <w:pPr>
        <w:pStyle w:val="Textvorlage"/>
        <w:rPr>
          <w:sz w:val="20"/>
          <w:szCs w:val="20"/>
          <w:lang w:val="en-US"/>
        </w:rPr>
      </w:pPr>
      <w:r w:rsidRPr="008C46D0">
        <w:rPr>
          <w:sz w:val="20"/>
          <w:szCs w:val="20"/>
          <w:lang w:val="en-US"/>
        </w:rPr>
        <w:t>Note: This equation is used in Recommendation ITU-R BT.1368-13 - in Attachment 3 to Annex 2 (p. 68)</w:t>
      </w:r>
    </w:p>
    <w:p w14:paraId="4E4A7B7E" w14:textId="1A706705" w:rsidR="00E33AAE" w:rsidRPr="008C46D0" w:rsidRDefault="00E33AAE" w:rsidP="00E33AAE">
      <w:pPr>
        <w:rPr>
          <w:rFonts w:ascii="Arial" w:hAnsi="Arial" w:cs="Arial"/>
          <w:lang w:val="en-US"/>
        </w:rPr>
      </w:pPr>
    </w:p>
    <w:p w14:paraId="652CE0EA" w14:textId="05BD5065" w:rsidR="00E33AAE" w:rsidRPr="00E33AAE" w:rsidRDefault="00E33AAE" w:rsidP="00E33AAE">
      <w:pPr>
        <w:rPr>
          <w:rFonts w:ascii="Arial" w:hAnsi="Arial" w:cs="Arial"/>
        </w:rPr>
      </w:pPr>
    </w:p>
    <w:p w14:paraId="4AC1EEEF" w14:textId="1E9C8640" w:rsidR="00E33AAE" w:rsidRDefault="00ED7302" w:rsidP="00E33AAE">
      <w:pPr>
        <w:rPr>
          <w:rFonts w:ascii="Arial" w:hAnsi="Arial" w:cs="Arial"/>
          <w:b/>
          <w:bCs/>
          <w:sz w:val="24"/>
          <w:szCs w:val="24"/>
        </w:rPr>
      </w:pPr>
      <w:r w:rsidRPr="00ED7302">
        <w:rPr>
          <w:rFonts w:ascii="Arial" w:hAnsi="Arial" w:cs="Arial"/>
          <w:b/>
          <w:bCs/>
          <w:sz w:val="24"/>
          <w:szCs w:val="24"/>
        </w:rPr>
        <w:t>Derivation of adjacent channel protection ratio for specified ACS and ACLR</w:t>
      </w:r>
    </w:p>
    <w:p w14:paraId="75D6F919" w14:textId="4899A2F4" w:rsidR="00ED7302" w:rsidRDefault="00ED7302" w:rsidP="00ED7302">
      <w:pPr>
        <w:jc w:val="both"/>
        <w:rPr>
          <w:rFonts w:ascii="Arial" w:hAnsi="Arial" w:cs="Arial"/>
          <w:lang w:val="en-US"/>
        </w:rPr>
      </w:pPr>
      <w:r w:rsidRPr="00ED7302">
        <w:rPr>
          <w:rFonts w:ascii="Arial" w:hAnsi="Arial" w:cs="Arial"/>
          <w:lang w:val="en-US"/>
        </w:rPr>
        <w:t xml:space="preserve">Using Eq.1 above, Table </w:t>
      </w:r>
      <w:r>
        <w:rPr>
          <w:rFonts w:ascii="Arial" w:hAnsi="Arial" w:cs="Arial"/>
          <w:lang w:val="en-US"/>
        </w:rPr>
        <w:t>A1</w:t>
      </w:r>
      <w:r w:rsidRPr="00ED7302">
        <w:rPr>
          <w:rFonts w:ascii="Arial" w:hAnsi="Arial" w:cs="Arial"/>
          <w:lang w:val="en-US"/>
        </w:rPr>
        <w:t xml:space="preserve"> shows the results in terms of adjacent channel protection ratio values that result from using ACS of 33 dB and ACLR of 42 dB or more. The calculation is made for a range of co-channel protection ratios.</w:t>
      </w:r>
    </w:p>
    <w:p w14:paraId="172389AE" w14:textId="49658F22" w:rsidR="00ED7302" w:rsidRDefault="00ED7302" w:rsidP="00ED7302">
      <w:pPr>
        <w:jc w:val="both"/>
        <w:rPr>
          <w:rFonts w:ascii="Arial" w:hAnsi="Arial" w:cs="Arial"/>
          <w:lang w:val="en-US"/>
        </w:rPr>
      </w:pPr>
    </w:p>
    <w:p w14:paraId="42AC900E" w14:textId="1BC9E2B7" w:rsidR="00ED7302" w:rsidRPr="000C06F9" w:rsidRDefault="00ED7302" w:rsidP="00ED7302">
      <w:pPr>
        <w:pStyle w:val="Textvorlage"/>
        <w:jc w:val="left"/>
        <w:rPr>
          <w:b/>
          <w:bCs/>
          <w:sz w:val="22"/>
          <w:lang w:val="en-US"/>
        </w:rPr>
      </w:pPr>
      <w:r w:rsidRPr="000C06F9">
        <w:rPr>
          <w:b/>
          <w:bCs/>
          <w:sz w:val="22"/>
          <w:lang w:val="en-US"/>
        </w:rPr>
        <w:lastRenderedPageBreak/>
        <w:t xml:space="preserve">Table </w:t>
      </w:r>
      <w:r>
        <w:rPr>
          <w:b/>
          <w:bCs/>
          <w:sz w:val="22"/>
          <w:lang w:val="en-US"/>
        </w:rPr>
        <w:t>A1:</w:t>
      </w:r>
      <w:r>
        <w:rPr>
          <w:b/>
          <w:bCs/>
          <w:sz w:val="22"/>
          <w:lang w:val="en-US"/>
        </w:rPr>
        <w:tab/>
      </w:r>
      <w:r w:rsidRPr="000C06F9">
        <w:rPr>
          <w:b/>
          <w:bCs/>
          <w:sz w:val="22"/>
          <w:lang w:val="en-US"/>
        </w:rPr>
        <w:t xml:space="preserve">Required adjacent channel protection ratio for ACS = 33 dB and ACLR of 42 </w:t>
      </w:r>
      <w:r>
        <w:rPr>
          <w:b/>
          <w:bCs/>
          <w:sz w:val="22"/>
          <w:lang w:val="en-US"/>
        </w:rPr>
        <w:tab/>
      </w:r>
      <w:r>
        <w:rPr>
          <w:b/>
          <w:bCs/>
          <w:sz w:val="22"/>
          <w:lang w:val="en-US"/>
        </w:rPr>
        <w:tab/>
      </w:r>
      <w:r w:rsidRPr="000C06F9">
        <w:rPr>
          <w:b/>
          <w:bCs/>
          <w:sz w:val="22"/>
          <w:lang w:val="en-US"/>
        </w:rPr>
        <w:t>dB or</w:t>
      </w:r>
      <w:r>
        <w:rPr>
          <w:b/>
          <w:bCs/>
          <w:sz w:val="22"/>
          <w:lang w:val="en-US"/>
        </w:rPr>
        <w:t xml:space="preserve"> </w:t>
      </w:r>
      <w:r w:rsidRPr="000C06F9">
        <w:rPr>
          <w:b/>
          <w:bCs/>
          <w:sz w:val="22"/>
          <w:lang w:val="en-US"/>
        </w:rPr>
        <w:t>more</w:t>
      </w:r>
    </w:p>
    <w:tbl>
      <w:tblPr>
        <w:tblW w:w="6553" w:type="dxa"/>
        <w:jc w:val="center"/>
        <w:tblCellMar>
          <w:left w:w="70" w:type="dxa"/>
          <w:right w:w="70" w:type="dxa"/>
        </w:tblCellMar>
        <w:tblLook w:val="04A0" w:firstRow="1" w:lastRow="0" w:firstColumn="1" w:lastColumn="0" w:noHBand="0" w:noVBand="1"/>
      </w:tblPr>
      <w:tblGrid>
        <w:gridCol w:w="1180"/>
        <w:gridCol w:w="1380"/>
        <w:gridCol w:w="1331"/>
        <w:gridCol w:w="1331"/>
        <w:gridCol w:w="1331"/>
      </w:tblGrid>
      <w:tr w:rsidR="00ED7302" w:rsidRPr="00485A3A" w14:paraId="550E2DB9"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711F4D6A"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ACS (dB)</w:t>
            </w:r>
          </w:p>
        </w:tc>
        <w:tc>
          <w:tcPr>
            <w:tcW w:w="1380" w:type="dxa"/>
            <w:tcBorders>
              <w:top w:val="nil"/>
              <w:left w:val="nil"/>
              <w:bottom w:val="nil"/>
              <w:right w:val="nil"/>
            </w:tcBorders>
            <w:shd w:val="clear" w:color="auto" w:fill="auto"/>
            <w:noWrap/>
            <w:vAlign w:val="bottom"/>
            <w:hideMark/>
          </w:tcPr>
          <w:p w14:paraId="58E9BDA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w:t>
            </w:r>
          </w:p>
        </w:tc>
        <w:tc>
          <w:tcPr>
            <w:tcW w:w="1331" w:type="dxa"/>
            <w:tcBorders>
              <w:top w:val="nil"/>
              <w:left w:val="nil"/>
              <w:bottom w:val="nil"/>
              <w:right w:val="nil"/>
            </w:tcBorders>
            <w:shd w:val="clear" w:color="auto" w:fill="auto"/>
            <w:noWrap/>
            <w:vAlign w:val="bottom"/>
            <w:hideMark/>
          </w:tcPr>
          <w:p w14:paraId="1A1DFACD"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w:t>
            </w:r>
          </w:p>
        </w:tc>
        <w:tc>
          <w:tcPr>
            <w:tcW w:w="1331" w:type="dxa"/>
            <w:tcBorders>
              <w:top w:val="nil"/>
              <w:left w:val="nil"/>
              <w:bottom w:val="nil"/>
              <w:right w:val="nil"/>
            </w:tcBorders>
            <w:shd w:val="clear" w:color="auto" w:fill="auto"/>
            <w:noWrap/>
            <w:vAlign w:val="bottom"/>
            <w:hideMark/>
          </w:tcPr>
          <w:p w14:paraId="0B2B4E5C"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w:t>
            </w:r>
          </w:p>
        </w:tc>
        <w:tc>
          <w:tcPr>
            <w:tcW w:w="1331" w:type="dxa"/>
            <w:tcBorders>
              <w:top w:val="nil"/>
              <w:left w:val="nil"/>
              <w:bottom w:val="nil"/>
              <w:right w:val="nil"/>
            </w:tcBorders>
            <w:shd w:val="clear" w:color="auto" w:fill="auto"/>
            <w:noWrap/>
            <w:vAlign w:val="bottom"/>
            <w:hideMark/>
          </w:tcPr>
          <w:p w14:paraId="1769E8A1"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w:t>
            </w:r>
          </w:p>
        </w:tc>
      </w:tr>
      <w:tr w:rsidR="00ED7302" w:rsidRPr="00485A3A" w14:paraId="3E7557F9"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1BFCE5C1"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ACLR (dB)</w:t>
            </w:r>
          </w:p>
        </w:tc>
        <w:tc>
          <w:tcPr>
            <w:tcW w:w="1380" w:type="dxa"/>
            <w:tcBorders>
              <w:top w:val="nil"/>
              <w:left w:val="nil"/>
              <w:bottom w:val="nil"/>
              <w:right w:val="nil"/>
            </w:tcBorders>
            <w:shd w:val="clear" w:color="auto" w:fill="auto"/>
            <w:noWrap/>
            <w:vAlign w:val="bottom"/>
            <w:hideMark/>
          </w:tcPr>
          <w:p w14:paraId="5006E4E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42</w:t>
            </w:r>
          </w:p>
        </w:tc>
        <w:tc>
          <w:tcPr>
            <w:tcW w:w="1331" w:type="dxa"/>
            <w:tcBorders>
              <w:top w:val="nil"/>
              <w:left w:val="nil"/>
              <w:bottom w:val="nil"/>
              <w:right w:val="nil"/>
            </w:tcBorders>
            <w:shd w:val="clear" w:color="auto" w:fill="auto"/>
            <w:noWrap/>
            <w:vAlign w:val="bottom"/>
            <w:hideMark/>
          </w:tcPr>
          <w:p w14:paraId="3387FF7B"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55</w:t>
            </w:r>
          </w:p>
        </w:tc>
        <w:tc>
          <w:tcPr>
            <w:tcW w:w="1331" w:type="dxa"/>
            <w:tcBorders>
              <w:top w:val="nil"/>
              <w:left w:val="nil"/>
              <w:bottom w:val="nil"/>
              <w:right w:val="nil"/>
            </w:tcBorders>
            <w:shd w:val="clear" w:color="auto" w:fill="auto"/>
            <w:noWrap/>
            <w:vAlign w:val="bottom"/>
            <w:hideMark/>
          </w:tcPr>
          <w:p w14:paraId="0360E6CE"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51</w:t>
            </w:r>
          </w:p>
        </w:tc>
        <w:tc>
          <w:tcPr>
            <w:tcW w:w="1331" w:type="dxa"/>
            <w:tcBorders>
              <w:top w:val="nil"/>
              <w:left w:val="nil"/>
              <w:bottom w:val="nil"/>
              <w:right w:val="nil"/>
            </w:tcBorders>
            <w:shd w:val="clear" w:color="auto" w:fill="auto"/>
            <w:noWrap/>
            <w:vAlign w:val="bottom"/>
            <w:hideMark/>
          </w:tcPr>
          <w:p w14:paraId="37832D80"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61</w:t>
            </w:r>
          </w:p>
        </w:tc>
      </w:tr>
      <w:tr w:rsidR="00ED7302" w:rsidRPr="00485A3A" w14:paraId="7177262C"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36BCC872"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PR0 (dB)</w:t>
            </w:r>
          </w:p>
        </w:tc>
        <w:tc>
          <w:tcPr>
            <w:tcW w:w="1380" w:type="dxa"/>
            <w:tcBorders>
              <w:top w:val="nil"/>
              <w:left w:val="nil"/>
              <w:bottom w:val="nil"/>
              <w:right w:val="nil"/>
            </w:tcBorders>
            <w:shd w:val="clear" w:color="auto" w:fill="auto"/>
            <w:noWrap/>
            <w:vAlign w:val="bottom"/>
            <w:hideMark/>
          </w:tcPr>
          <w:p w14:paraId="036280DB"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PR(</w:t>
            </w:r>
            <w:proofErr w:type="spellStart"/>
            <w:r w:rsidRPr="00485A3A">
              <w:rPr>
                <w:rFonts w:ascii="Calibri" w:hAnsi="Calibri" w:cs="Calibri"/>
                <w:color w:val="000000"/>
                <w:lang w:val="fr-CH" w:eastAsia="fr-CH"/>
              </w:rPr>
              <w:t>Δf</w:t>
            </w:r>
            <w:proofErr w:type="spellEnd"/>
            <w:r w:rsidRPr="00485A3A">
              <w:rPr>
                <w:rFonts w:ascii="Calibri" w:hAnsi="Calibri" w:cs="Calibri"/>
                <w:color w:val="000000"/>
                <w:lang w:val="fr-CH" w:eastAsia="fr-CH"/>
              </w:rPr>
              <w:t>=8MHz)</w:t>
            </w:r>
          </w:p>
        </w:tc>
        <w:tc>
          <w:tcPr>
            <w:tcW w:w="1331" w:type="dxa"/>
            <w:tcBorders>
              <w:top w:val="nil"/>
              <w:left w:val="nil"/>
              <w:bottom w:val="nil"/>
              <w:right w:val="nil"/>
            </w:tcBorders>
            <w:shd w:val="clear" w:color="auto" w:fill="auto"/>
            <w:noWrap/>
            <w:vAlign w:val="bottom"/>
            <w:hideMark/>
          </w:tcPr>
          <w:p w14:paraId="74F5F0F3"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PR(</w:t>
            </w:r>
            <w:proofErr w:type="spellStart"/>
            <w:r w:rsidRPr="00485A3A">
              <w:rPr>
                <w:rFonts w:ascii="Calibri" w:hAnsi="Calibri" w:cs="Calibri"/>
                <w:color w:val="000000"/>
                <w:lang w:val="fr-CH" w:eastAsia="fr-CH"/>
              </w:rPr>
              <w:t>Δf</w:t>
            </w:r>
            <w:proofErr w:type="spellEnd"/>
            <w:r w:rsidRPr="00485A3A">
              <w:rPr>
                <w:rFonts w:ascii="Calibri" w:hAnsi="Calibri" w:cs="Calibri"/>
                <w:color w:val="000000"/>
                <w:lang w:val="fr-CH" w:eastAsia="fr-CH"/>
              </w:rPr>
              <w:t>=8MHz)</w:t>
            </w:r>
          </w:p>
        </w:tc>
        <w:tc>
          <w:tcPr>
            <w:tcW w:w="1331" w:type="dxa"/>
            <w:tcBorders>
              <w:top w:val="nil"/>
              <w:left w:val="nil"/>
              <w:bottom w:val="nil"/>
              <w:right w:val="nil"/>
            </w:tcBorders>
            <w:shd w:val="clear" w:color="auto" w:fill="auto"/>
            <w:noWrap/>
            <w:vAlign w:val="bottom"/>
            <w:hideMark/>
          </w:tcPr>
          <w:p w14:paraId="1A299E9A"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PR(</w:t>
            </w:r>
            <w:proofErr w:type="spellStart"/>
            <w:r w:rsidRPr="00485A3A">
              <w:rPr>
                <w:rFonts w:ascii="Calibri" w:hAnsi="Calibri" w:cs="Calibri"/>
                <w:color w:val="000000"/>
                <w:lang w:val="fr-CH" w:eastAsia="fr-CH"/>
              </w:rPr>
              <w:t>Δf</w:t>
            </w:r>
            <w:proofErr w:type="spellEnd"/>
            <w:r w:rsidRPr="00485A3A">
              <w:rPr>
                <w:rFonts w:ascii="Calibri" w:hAnsi="Calibri" w:cs="Calibri"/>
                <w:color w:val="000000"/>
                <w:lang w:val="fr-CH" w:eastAsia="fr-CH"/>
              </w:rPr>
              <w:t>=8MHz)</w:t>
            </w:r>
          </w:p>
        </w:tc>
        <w:tc>
          <w:tcPr>
            <w:tcW w:w="1331" w:type="dxa"/>
            <w:tcBorders>
              <w:top w:val="nil"/>
              <w:left w:val="nil"/>
              <w:bottom w:val="nil"/>
              <w:right w:val="nil"/>
            </w:tcBorders>
            <w:shd w:val="clear" w:color="auto" w:fill="auto"/>
            <w:noWrap/>
            <w:vAlign w:val="bottom"/>
            <w:hideMark/>
          </w:tcPr>
          <w:p w14:paraId="49B64B64" w14:textId="77777777" w:rsidR="00ED7302" w:rsidRPr="00485A3A" w:rsidRDefault="00ED7302" w:rsidP="00F303C2">
            <w:pPr>
              <w:spacing w:after="0"/>
              <w:rPr>
                <w:rFonts w:ascii="Calibri" w:hAnsi="Calibri" w:cs="Calibri"/>
                <w:color w:val="000000"/>
                <w:lang w:val="fr-CH" w:eastAsia="fr-CH"/>
              </w:rPr>
            </w:pPr>
            <w:r w:rsidRPr="00485A3A">
              <w:rPr>
                <w:rFonts w:ascii="Calibri" w:hAnsi="Calibri" w:cs="Calibri"/>
                <w:color w:val="000000"/>
                <w:lang w:val="fr-CH" w:eastAsia="fr-CH"/>
              </w:rPr>
              <w:t>PR(</w:t>
            </w:r>
            <w:proofErr w:type="spellStart"/>
            <w:r w:rsidRPr="00485A3A">
              <w:rPr>
                <w:rFonts w:ascii="Calibri" w:hAnsi="Calibri" w:cs="Calibri"/>
                <w:color w:val="000000"/>
                <w:lang w:val="fr-CH" w:eastAsia="fr-CH"/>
              </w:rPr>
              <w:t>Δf</w:t>
            </w:r>
            <w:proofErr w:type="spellEnd"/>
            <w:r w:rsidRPr="00485A3A">
              <w:rPr>
                <w:rFonts w:ascii="Calibri" w:hAnsi="Calibri" w:cs="Calibri"/>
                <w:color w:val="000000"/>
                <w:lang w:val="fr-CH" w:eastAsia="fr-CH"/>
              </w:rPr>
              <w:t>=8MHz)</w:t>
            </w:r>
          </w:p>
        </w:tc>
      </w:tr>
      <w:tr w:rsidR="00ED7302" w:rsidRPr="00485A3A" w14:paraId="2D7C000D"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30066F1"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0</w:t>
            </w:r>
          </w:p>
        </w:tc>
        <w:tc>
          <w:tcPr>
            <w:tcW w:w="1380" w:type="dxa"/>
            <w:tcBorders>
              <w:top w:val="nil"/>
              <w:left w:val="nil"/>
              <w:bottom w:val="nil"/>
              <w:right w:val="nil"/>
            </w:tcBorders>
            <w:shd w:val="clear" w:color="auto" w:fill="auto"/>
            <w:noWrap/>
            <w:vAlign w:val="bottom"/>
            <w:hideMark/>
          </w:tcPr>
          <w:p w14:paraId="4179CFE4"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-32.5</w:t>
            </w:r>
          </w:p>
        </w:tc>
        <w:tc>
          <w:tcPr>
            <w:tcW w:w="1331" w:type="dxa"/>
            <w:tcBorders>
              <w:top w:val="nil"/>
              <w:left w:val="nil"/>
              <w:bottom w:val="nil"/>
              <w:right w:val="nil"/>
            </w:tcBorders>
            <w:shd w:val="clear" w:color="auto" w:fill="auto"/>
            <w:noWrap/>
            <w:vAlign w:val="bottom"/>
            <w:hideMark/>
          </w:tcPr>
          <w:p w14:paraId="79293B56"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-33.0</w:t>
            </w:r>
          </w:p>
        </w:tc>
        <w:tc>
          <w:tcPr>
            <w:tcW w:w="1331" w:type="dxa"/>
            <w:tcBorders>
              <w:top w:val="nil"/>
              <w:left w:val="nil"/>
              <w:bottom w:val="nil"/>
              <w:right w:val="nil"/>
            </w:tcBorders>
            <w:shd w:val="clear" w:color="auto" w:fill="auto"/>
            <w:noWrap/>
          </w:tcPr>
          <w:p w14:paraId="3DD65D76" w14:textId="77777777" w:rsidR="00ED7302" w:rsidRPr="00485A3A" w:rsidRDefault="00ED7302" w:rsidP="00F303C2">
            <w:pPr>
              <w:spacing w:after="0"/>
              <w:jc w:val="right"/>
              <w:rPr>
                <w:rFonts w:ascii="Calibri" w:hAnsi="Calibri" w:cs="Calibri"/>
                <w:color w:val="000000"/>
                <w:lang w:val="fr-CH" w:eastAsia="fr-CH"/>
              </w:rPr>
            </w:pPr>
            <w:r w:rsidRPr="006827CB">
              <w:t>-32.9</w:t>
            </w:r>
          </w:p>
        </w:tc>
        <w:tc>
          <w:tcPr>
            <w:tcW w:w="1331" w:type="dxa"/>
            <w:tcBorders>
              <w:top w:val="nil"/>
              <w:left w:val="nil"/>
              <w:bottom w:val="nil"/>
              <w:right w:val="nil"/>
            </w:tcBorders>
            <w:shd w:val="clear" w:color="auto" w:fill="auto"/>
            <w:noWrap/>
            <w:vAlign w:val="bottom"/>
            <w:hideMark/>
          </w:tcPr>
          <w:p w14:paraId="63CC3E39"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-33.0</w:t>
            </w:r>
          </w:p>
        </w:tc>
      </w:tr>
      <w:tr w:rsidR="00ED7302" w:rsidRPr="00485A3A" w14:paraId="327E1C3F"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91AC96B"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w:t>
            </w:r>
          </w:p>
        </w:tc>
        <w:tc>
          <w:tcPr>
            <w:tcW w:w="1380" w:type="dxa"/>
            <w:tcBorders>
              <w:top w:val="nil"/>
              <w:left w:val="nil"/>
              <w:bottom w:val="nil"/>
              <w:right w:val="nil"/>
            </w:tcBorders>
            <w:shd w:val="clear" w:color="auto" w:fill="auto"/>
            <w:noWrap/>
            <w:vAlign w:val="bottom"/>
            <w:hideMark/>
          </w:tcPr>
          <w:p w14:paraId="63ADC76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-31.5</w:t>
            </w:r>
          </w:p>
        </w:tc>
        <w:tc>
          <w:tcPr>
            <w:tcW w:w="1331" w:type="dxa"/>
            <w:tcBorders>
              <w:top w:val="nil"/>
              <w:left w:val="nil"/>
              <w:bottom w:val="nil"/>
              <w:right w:val="nil"/>
            </w:tcBorders>
            <w:shd w:val="clear" w:color="auto" w:fill="auto"/>
            <w:noWrap/>
            <w:vAlign w:val="bottom"/>
            <w:hideMark/>
          </w:tcPr>
          <w:p w14:paraId="1CC81A88"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-32.0</w:t>
            </w:r>
          </w:p>
        </w:tc>
        <w:tc>
          <w:tcPr>
            <w:tcW w:w="1331" w:type="dxa"/>
            <w:tcBorders>
              <w:top w:val="nil"/>
              <w:left w:val="nil"/>
              <w:bottom w:val="nil"/>
              <w:right w:val="nil"/>
            </w:tcBorders>
            <w:shd w:val="clear" w:color="auto" w:fill="auto"/>
            <w:noWrap/>
          </w:tcPr>
          <w:p w14:paraId="43AE91E6" w14:textId="77777777" w:rsidR="00ED7302" w:rsidRPr="00485A3A" w:rsidRDefault="00ED7302" w:rsidP="00F303C2">
            <w:pPr>
              <w:spacing w:after="0"/>
              <w:jc w:val="right"/>
              <w:rPr>
                <w:rFonts w:ascii="Calibri" w:hAnsi="Calibri" w:cs="Calibri"/>
                <w:color w:val="000000"/>
                <w:lang w:val="fr-CH" w:eastAsia="fr-CH"/>
              </w:rPr>
            </w:pPr>
            <w:r w:rsidRPr="006827CB">
              <w:t>-31.9</w:t>
            </w:r>
          </w:p>
        </w:tc>
        <w:tc>
          <w:tcPr>
            <w:tcW w:w="1331" w:type="dxa"/>
            <w:tcBorders>
              <w:top w:val="nil"/>
              <w:left w:val="nil"/>
              <w:bottom w:val="nil"/>
              <w:right w:val="nil"/>
            </w:tcBorders>
            <w:shd w:val="clear" w:color="auto" w:fill="auto"/>
            <w:noWrap/>
            <w:vAlign w:val="bottom"/>
            <w:hideMark/>
          </w:tcPr>
          <w:p w14:paraId="1B1FEAC4"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-32.0</w:t>
            </w:r>
          </w:p>
        </w:tc>
      </w:tr>
      <w:tr w:rsidR="00ED7302" w:rsidRPr="00485A3A" w14:paraId="00863CEB"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2B0E7BD3"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w:t>
            </w:r>
          </w:p>
        </w:tc>
        <w:tc>
          <w:tcPr>
            <w:tcW w:w="1380" w:type="dxa"/>
            <w:tcBorders>
              <w:top w:val="nil"/>
              <w:left w:val="nil"/>
              <w:bottom w:val="nil"/>
              <w:right w:val="nil"/>
            </w:tcBorders>
            <w:shd w:val="clear" w:color="auto" w:fill="auto"/>
            <w:noWrap/>
            <w:vAlign w:val="bottom"/>
            <w:hideMark/>
          </w:tcPr>
          <w:p w14:paraId="65B10672"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-30.5</w:t>
            </w:r>
          </w:p>
        </w:tc>
        <w:tc>
          <w:tcPr>
            <w:tcW w:w="1331" w:type="dxa"/>
            <w:tcBorders>
              <w:top w:val="nil"/>
              <w:left w:val="nil"/>
              <w:bottom w:val="nil"/>
              <w:right w:val="nil"/>
            </w:tcBorders>
            <w:shd w:val="clear" w:color="auto" w:fill="auto"/>
            <w:noWrap/>
            <w:vAlign w:val="bottom"/>
            <w:hideMark/>
          </w:tcPr>
          <w:p w14:paraId="5351377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-31.0</w:t>
            </w:r>
          </w:p>
        </w:tc>
        <w:tc>
          <w:tcPr>
            <w:tcW w:w="1331" w:type="dxa"/>
            <w:tcBorders>
              <w:top w:val="nil"/>
              <w:left w:val="nil"/>
              <w:bottom w:val="nil"/>
              <w:right w:val="nil"/>
            </w:tcBorders>
            <w:shd w:val="clear" w:color="auto" w:fill="auto"/>
            <w:noWrap/>
          </w:tcPr>
          <w:p w14:paraId="6DCA2B05" w14:textId="77777777" w:rsidR="00ED7302" w:rsidRPr="00485A3A" w:rsidRDefault="00ED7302" w:rsidP="00F303C2">
            <w:pPr>
              <w:spacing w:after="0"/>
              <w:jc w:val="right"/>
              <w:rPr>
                <w:rFonts w:ascii="Calibri" w:hAnsi="Calibri" w:cs="Calibri"/>
                <w:color w:val="000000"/>
                <w:lang w:val="fr-CH" w:eastAsia="fr-CH"/>
              </w:rPr>
            </w:pPr>
            <w:r w:rsidRPr="006827CB">
              <w:t>-30.9</w:t>
            </w:r>
          </w:p>
        </w:tc>
        <w:tc>
          <w:tcPr>
            <w:tcW w:w="1331" w:type="dxa"/>
            <w:tcBorders>
              <w:top w:val="nil"/>
              <w:left w:val="nil"/>
              <w:bottom w:val="nil"/>
              <w:right w:val="nil"/>
            </w:tcBorders>
            <w:shd w:val="clear" w:color="auto" w:fill="auto"/>
            <w:noWrap/>
            <w:vAlign w:val="bottom"/>
            <w:hideMark/>
          </w:tcPr>
          <w:p w14:paraId="7FE147A3"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-31.0</w:t>
            </w:r>
          </w:p>
        </w:tc>
      </w:tr>
      <w:tr w:rsidR="00ED7302" w:rsidRPr="00485A3A" w14:paraId="743E95D6"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38DBAADC"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w:t>
            </w:r>
          </w:p>
        </w:tc>
        <w:tc>
          <w:tcPr>
            <w:tcW w:w="1380" w:type="dxa"/>
            <w:tcBorders>
              <w:top w:val="nil"/>
              <w:left w:val="nil"/>
              <w:bottom w:val="nil"/>
              <w:right w:val="nil"/>
            </w:tcBorders>
            <w:shd w:val="clear" w:color="auto" w:fill="auto"/>
            <w:noWrap/>
            <w:vAlign w:val="bottom"/>
            <w:hideMark/>
          </w:tcPr>
          <w:p w14:paraId="5E368932"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-29.5</w:t>
            </w:r>
          </w:p>
        </w:tc>
        <w:tc>
          <w:tcPr>
            <w:tcW w:w="1331" w:type="dxa"/>
            <w:tcBorders>
              <w:top w:val="nil"/>
              <w:left w:val="nil"/>
              <w:bottom w:val="nil"/>
              <w:right w:val="nil"/>
            </w:tcBorders>
            <w:shd w:val="clear" w:color="auto" w:fill="auto"/>
            <w:noWrap/>
            <w:vAlign w:val="bottom"/>
            <w:hideMark/>
          </w:tcPr>
          <w:p w14:paraId="6D3A2F3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-30.0</w:t>
            </w:r>
          </w:p>
        </w:tc>
        <w:tc>
          <w:tcPr>
            <w:tcW w:w="1331" w:type="dxa"/>
            <w:tcBorders>
              <w:top w:val="nil"/>
              <w:left w:val="nil"/>
              <w:bottom w:val="nil"/>
              <w:right w:val="nil"/>
            </w:tcBorders>
            <w:shd w:val="clear" w:color="auto" w:fill="auto"/>
            <w:noWrap/>
          </w:tcPr>
          <w:p w14:paraId="6C32019B" w14:textId="77777777" w:rsidR="00ED7302" w:rsidRPr="00485A3A" w:rsidRDefault="00ED7302" w:rsidP="00F303C2">
            <w:pPr>
              <w:spacing w:after="0"/>
              <w:jc w:val="right"/>
              <w:rPr>
                <w:rFonts w:ascii="Calibri" w:hAnsi="Calibri" w:cs="Calibri"/>
                <w:color w:val="000000"/>
                <w:lang w:val="fr-CH" w:eastAsia="fr-CH"/>
              </w:rPr>
            </w:pPr>
            <w:r w:rsidRPr="006827CB">
              <w:t>-29.9</w:t>
            </w:r>
          </w:p>
        </w:tc>
        <w:tc>
          <w:tcPr>
            <w:tcW w:w="1331" w:type="dxa"/>
            <w:tcBorders>
              <w:top w:val="nil"/>
              <w:left w:val="nil"/>
              <w:bottom w:val="nil"/>
              <w:right w:val="nil"/>
            </w:tcBorders>
            <w:shd w:val="clear" w:color="auto" w:fill="auto"/>
            <w:noWrap/>
            <w:vAlign w:val="bottom"/>
            <w:hideMark/>
          </w:tcPr>
          <w:p w14:paraId="5574932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-30.0</w:t>
            </w:r>
          </w:p>
        </w:tc>
      </w:tr>
      <w:tr w:rsidR="00ED7302" w:rsidRPr="00485A3A" w14:paraId="0D499AC5"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20071BF2"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4</w:t>
            </w:r>
          </w:p>
        </w:tc>
        <w:tc>
          <w:tcPr>
            <w:tcW w:w="1380" w:type="dxa"/>
            <w:tcBorders>
              <w:top w:val="nil"/>
              <w:left w:val="nil"/>
              <w:bottom w:val="nil"/>
              <w:right w:val="nil"/>
            </w:tcBorders>
            <w:shd w:val="clear" w:color="auto" w:fill="auto"/>
            <w:noWrap/>
            <w:vAlign w:val="bottom"/>
            <w:hideMark/>
          </w:tcPr>
          <w:p w14:paraId="4BC7C74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-28.5</w:t>
            </w:r>
          </w:p>
        </w:tc>
        <w:tc>
          <w:tcPr>
            <w:tcW w:w="1331" w:type="dxa"/>
            <w:tcBorders>
              <w:top w:val="nil"/>
              <w:left w:val="nil"/>
              <w:bottom w:val="nil"/>
              <w:right w:val="nil"/>
            </w:tcBorders>
            <w:shd w:val="clear" w:color="auto" w:fill="auto"/>
            <w:noWrap/>
            <w:vAlign w:val="bottom"/>
            <w:hideMark/>
          </w:tcPr>
          <w:p w14:paraId="4A353A73"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-29.0</w:t>
            </w:r>
          </w:p>
        </w:tc>
        <w:tc>
          <w:tcPr>
            <w:tcW w:w="1331" w:type="dxa"/>
            <w:tcBorders>
              <w:top w:val="nil"/>
              <w:left w:val="nil"/>
              <w:bottom w:val="nil"/>
              <w:right w:val="nil"/>
            </w:tcBorders>
            <w:shd w:val="clear" w:color="auto" w:fill="auto"/>
            <w:noWrap/>
          </w:tcPr>
          <w:p w14:paraId="77101C13" w14:textId="77777777" w:rsidR="00ED7302" w:rsidRPr="00485A3A" w:rsidRDefault="00ED7302" w:rsidP="00F303C2">
            <w:pPr>
              <w:spacing w:after="0"/>
              <w:jc w:val="right"/>
              <w:rPr>
                <w:rFonts w:ascii="Calibri" w:hAnsi="Calibri" w:cs="Calibri"/>
                <w:color w:val="000000"/>
                <w:lang w:val="fr-CH" w:eastAsia="fr-CH"/>
              </w:rPr>
            </w:pPr>
            <w:r w:rsidRPr="006827CB">
              <w:t>-28.9</w:t>
            </w:r>
          </w:p>
        </w:tc>
        <w:tc>
          <w:tcPr>
            <w:tcW w:w="1331" w:type="dxa"/>
            <w:tcBorders>
              <w:top w:val="nil"/>
              <w:left w:val="nil"/>
              <w:bottom w:val="nil"/>
              <w:right w:val="nil"/>
            </w:tcBorders>
            <w:shd w:val="clear" w:color="auto" w:fill="auto"/>
            <w:noWrap/>
            <w:vAlign w:val="bottom"/>
            <w:hideMark/>
          </w:tcPr>
          <w:p w14:paraId="4011FDFD"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-29.0</w:t>
            </w:r>
          </w:p>
        </w:tc>
      </w:tr>
      <w:tr w:rsidR="00ED7302" w:rsidRPr="00485A3A" w14:paraId="30AFA1CC"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5BC3327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5</w:t>
            </w:r>
          </w:p>
        </w:tc>
        <w:tc>
          <w:tcPr>
            <w:tcW w:w="1380" w:type="dxa"/>
            <w:tcBorders>
              <w:top w:val="nil"/>
              <w:left w:val="nil"/>
              <w:bottom w:val="nil"/>
              <w:right w:val="nil"/>
            </w:tcBorders>
            <w:shd w:val="clear" w:color="auto" w:fill="auto"/>
            <w:noWrap/>
            <w:vAlign w:val="bottom"/>
            <w:hideMark/>
          </w:tcPr>
          <w:p w14:paraId="6A73A9DD"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-27.5</w:t>
            </w:r>
          </w:p>
        </w:tc>
        <w:tc>
          <w:tcPr>
            <w:tcW w:w="1331" w:type="dxa"/>
            <w:tcBorders>
              <w:top w:val="nil"/>
              <w:left w:val="nil"/>
              <w:bottom w:val="nil"/>
              <w:right w:val="nil"/>
            </w:tcBorders>
            <w:shd w:val="clear" w:color="auto" w:fill="auto"/>
            <w:noWrap/>
            <w:vAlign w:val="bottom"/>
            <w:hideMark/>
          </w:tcPr>
          <w:p w14:paraId="72486AAF"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-28.0</w:t>
            </w:r>
          </w:p>
        </w:tc>
        <w:tc>
          <w:tcPr>
            <w:tcW w:w="1331" w:type="dxa"/>
            <w:tcBorders>
              <w:top w:val="nil"/>
              <w:left w:val="nil"/>
              <w:bottom w:val="nil"/>
              <w:right w:val="nil"/>
            </w:tcBorders>
            <w:shd w:val="clear" w:color="auto" w:fill="auto"/>
            <w:noWrap/>
          </w:tcPr>
          <w:p w14:paraId="5F31AEE3" w14:textId="77777777" w:rsidR="00ED7302" w:rsidRPr="00485A3A" w:rsidRDefault="00ED7302" w:rsidP="00F303C2">
            <w:pPr>
              <w:spacing w:after="0"/>
              <w:jc w:val="right"/>
              <w:rPr>
                <w:rFonts w:ascii="Calibri" w:hAnsi="Calibri" w:cs="Calibri"/>
                <w:color w:val="000000"/>
                <w:lang w:val="fr-CH" w:eastAsia="fr-CH"/>
              </w:rPr>
            </w:pPr>
            <w:r w:rsidRPr="006827CB">
              <w:t>-27.9</w:t>
            </w:r>
          </w:p>
        </w:tc>
        <w:tc>
          <w:tcPr>
            <w:tcW w:w="1331" w:type="dxa"/>
            <w:tcBorders>
              <w:top w:val="nil"/>
              <w:left w:val="nil"/>
              <w:bottom w:val="nil"/>
              <w:right w:val="nil"/>
            </w:tcBorders>
            <w:shd w:val="clear" w:color="auto" w:fill="auto"/>
            <w:noWrap/>
            <w:vAlign w:val="bottom"/>
            <w:hideMark/>
          </w:tcPr>
          <w:p w14:paraId="100F2949"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-28.0</w:t>
            </w:r>
          </w:p>
        </w:tc>
      </w:tr>
      <w:tr w:rsidR="00ED7302" w:rsidRPr="00485A3A" w14:paraId="7EDC7629"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5CDEE580"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6</w:t>
            </w:r>
          </w:p>
        </w:tc>
        <w:tc>
          <w:tcPr>
            <w:tcW w:w="1380" w:type="dxa"/>
            <w:tcBorders>
              <w:top w:val="nil"/>
              <w:left w:val="nil"/>
              <w:bottom w:val="nil"/>
              <w:right w:val="nil"/>
            </w:tcBorders>
            <w:shd w:val="clear" w:color="auto" w:fill="auto"/>
            <w:noWrap/>
            <w:vAlign w:val="bottom"/>
            <w:hideMark/>
          </w:tcPr>
          <w:p w14:paraId="6E1749E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-26.5</w:t>
            </w:r>
          </w:p>
        </w:tc>
        <w:tc>
          <w:tcPr>
            <w:tcW w:w="1331" w:type="dxa"/>
            <w:tcBorders>
              <w:top w:val="nil"/>
              <w:left w:val="nil"/>
              <w:bottom w:val="nil"/>
              <w:right w:val="nil"/>
            </w:tcBorders>
            <w:shd w:val="clear" w:color="auto" w:fill="auto"/>
            <w:noWrap/>
            <w:vAlign w:val="bottom"/>
            <w:hideMark/>
          </w:tcPr>
          <w:p w14:paraId="0E7AD3B3"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-27.0</w:t>
            </w:r>
          </w:p>
        </w:tc>
        <w:tc>
          <w:tcPr>
            <w:tcW w:w="1331" w:type="dxa"/>
            <w:tcBorders>
              <w:top w:val="nil"/>
              <w:left w:val="nil"/>
              <w:bottom w:val="nil"/>
              <w:right w:val="nil"/>
            </w:tcBorders>
            <w:shd w:val="clear" w:color="auto" w:fill="auto"/>
            <w:noWrap/>
          </w:tcPr>
          <w:p w14:paraId="19183719" w14:textId="77777777" w:rsidR="00ED7302" w:rsidRPr="00485A3A" w:rsidRDefault="00ED7302" w:rsidP="00F303C2">
            <w:pPr>
              <w:spacing w:after="0"/>
              <w:jc w:val="right"/>
              <w:rPr>
                <w:rFonts w:ascii="Calibri" w:hAnsi="Calibri" w:cs="Calibri"/>
                <w:color w:val="000000"/>
                <w:lang w:val="fr-CH" w:eastAsia="fr-CH"/>
              </w:rPr>
            </w:pPr>
            <w:r w:rsidRPr="006827CB">
              <w:t>-26.9</w:t>
            </w:r>
          </w:p>
        </w:tc>
        <w:tc>
          <w:tcPr>
            <w:tcW w:w="1331" w:type="dxa"/>
            <w:tcBorders>
              <w:top w:val="nil"/>
              <w:left w:val="nil"/>
              <w:bottom w:val="nil"/>
              <w:right w:val="nil"/>
            </w:tcBorders>
            <w:shd w:val="clear" w:color="auto" w:fill="auto"/>
            <w:noWrap/>
            <w:vAlign w:val="bottom"/>
            <w:hideMark/>
          </w:tcPr>
          <w:p w14:paraId="51066EFB"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-27.0</w:t>
            </w:r>
          </w:p>
        </w:tc>
      </w:tr>
      <w:tr w:rsidR="00ED7302" w:rsidRPr="00485A3A" w14:paraId="3BF020AD"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6AAE0112"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7</w:t>
            </w:r>
          </w:p>
        </w:tc>
        <w:tc>
          <w:tcPr>
            <w:tcW w:w="1380" w:type="dxa"/>
            <w:tcBorders>
              <w:top w:val="nil"/>
              <w:left w:val="nil"/>
              <w:bottom w:val="nil"/>
              <w:right w:val="nil"/>
            </w:tcBorders>
            <w:shd w:val="clear" w:color="auto" w:fill="auto"/>
            <w:noWrap/>
            <w:vAlign w:val="bottom"/>
            <w:hideMark/>
          </w:tcPr>
          <w:p w14:paraId="306C0B3F"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-25.5</w:t>
            </w:r>
          </w:p>
        </w:tc>
        <w:tc>
          <w:tcPr>
            <w:tcW w:w="1331" w:type="dxa"/>
            <w:tcBorders>
              <w:top w:val="nil"/>
              <w:left w:val="nil"/>
              <w:bottom w:val="nil"/>
              <w:right w:val="nil"/>
            </w:tcBorders>
            <w:shd w:val="clear" w:color="auto" w:fill="auto"/>
            <w:noWrap/>
            <w:vAlign w:val="bottom"/>
            <w:hideMark/>
          </w:tcPr>
          <w:p w14:paraId="3BF8457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-26.0</w:t>
            </w:r>
          </w:p>
        </w:tc>
        <w:tc>
          <w:tcPr>
            <w:tcW w:w="1331" w:type="dxa"/>
            <w:tcBorders>
              <w:top w:val="nil"/>
              <w:left w:val="nil"/>
              <w:bottom w:val="nil"/>
              <w:right w:val="nil"/>
            </w:tcBorders>
            <w:shd w:val="clear" w:color="auto" w:fill="auto"/>
            <w:noWrap/>
          </w:tcPr>
          <w:p w14:paraId="3E8D5D9D" w14:textId="77777777" w:rsidR="00ED7302" w:rsidRPr="00485A3A" w:rsidRDefault="00ED7302" w:rsidP="00F303C2">
            <w:pPr>
              <w:spacing w:after="0"/>
              <w:jc w:val="right"/>
              <w:rPr>
                <w:rFonts w:ascii="Calibri" w:hAnsi="Calibri" w:cs="Calibri"/>
                <w:color w:val="000000"/>
                <w:lang w:val="fr-CH" w:eastAsia="fr-CH"/>
              </w:rPr>
            </w:pPr>
            <w:r w:rsidRPr="006827CB">
              <w:t>-25.9</w:t>
            </w:r>
          </w:p>
        </w:tc>
        <w:tc>
          <w:tcPr>
            <w:tcW w:w="1331" w:type="dxa"/>
            <w:tcBorders>
              <w:top w:val="nil"/>
              <w:left w:val="nil"/>
              <w:bottom w:val="nil"/>
              <w:right w:val="nil"/>
            </w:tcBorders>
            <w:shd w:val="clear" w:color="auto" w:fill="auto"/>
            <w:noWrap/>
            <w:vAlign w:val="bottom"/>
            <w:hideMark/>
          </w:tcPr>
          <w:p w14:paraId="504D2E2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-26.0</w:t>
            </w:r>
          </w:p>
        </w:tc>
      </w:tr>
      <w:tr w:rsidR="00ED7302" w:rsidRPr="00485A3A" w14:paraId="46AE3D66"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622618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8</w:t>
            </w:r>
          </w:p>
        </w:tc>
        <w:tc>
          <w:tcPr>
            <w:tcW w:w="1380" w:type="dxa"/>
            <w:tcBorders>
              <w:top w:val="nil"/>
              <w:left w:val="nil"/>
              <w:bottom w:val="nil"/>
              <w:right w:val="nil"/>
            </w:tcBorders>
            <w:shd w:val="clear" w:color="auto" w:fill="auto"/>
            <w:noWrap/>
            <w:vAlign w:val="bottom"/>
            <w:hideMark/>
          </w:tcPr>
          <w:p w14:paraId="7003E888"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-24.5</w:t>
            </w:r>
          </w:p>
        </w:tc>
        <w:tc>
          <w:tcPr>
            <w:tcW w:w="1331" w:type="dxa"/>
            <w:tcBorders>
              <w:top w:val="nil"/>
              <w:left w:val="nil"/>
              <w:bottom w:val="nil"/>
              <w:right w:val="nil"/>
            </w:tcBorders>
            <w:shd w:val="clear" w:color="auto" w:fill="auto"/>
            <w:noWrap/>
            <w:vAlign w:val="bottom"/>
            <w:hideMark/>
          </w:tcPr>
          <w:p w14:paraId="60FC929B"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-25.0</w:t>
            </w:r>
          </w:p>
        </w:tc>
        <w:tc>
          <w:tcPr>
            <w:tcW w:w="1331" w:type="dxa"/>
            <w:tcBorders>
              <w:top w:val="nil"/>
              <w:left w:val="nil"/>
              <w:bottom w:val="nil"/>
              <w:right w:val="nil"/>
            </w:tcBorders>
            <w:shd w:val="clear" w:color="auto" w:fill="auto"/>
            <w:noWrap/>
          </w:tcPr>
          <w:p w14:paraId="54911F0C" w14:textId="77777777" w:rsidR="00ED7302" w:rsidRPr="00485A3A" w:rsidRDefault="00ED7302" w:rsidP="00F303C2">
            <w:pPr>
              <w:spacing w:after="0"/>
              <w:jc w:val="right"/>
              <w:rPr>
                <w:rFonts w:ascii="Calibri" w:hAnsi="Calibri" w:cs="Calibri"/>
                <w:color w:val="000000"/>
                <w:lang w:val="fr-CH" w:eastAsia="fr-CH"/>
              </w:rPr>
            </w:pPr>
            <w:r w:rsidRPr="006827CB">
              <w:t>-24.9</w:t>
            </w:r>
          </w:p>
        </w:tc>
        <w:tc>
          <w:tcPr>
            <w:tcW w:w="1331" w:type="dxa"/>
            <w:tcBorders>
              <w:top w:val="nil"/>
              <w:left w:val="nil"/>
              <w:bottom w:val="nil"/>
              <w:right w:val="nil"/>
            </w:tcBorders>
            <w:shd w:val="clear" w:color="auto" w:fill="auto"/>
            <w:noWrap/>
            <w:vAlign w:val="bottom"/>
            <w:hideMark/>
          </w:tcPr>
          <w:p w14:paraId="5E60E7EC"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-25.0</w:t>
            </w:r>
          </w:p>
        </w:tc>
      </w:tr>
      <w:tr w:rsidR="00ED7302" w:rsidRPr="00485A3A" w14:paraId="484F8FE6"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257644C7"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9</w:t>
            </w:r>
          </w:p>
        </w:tc>
        <w:tc>
          <w:tcPr>
            <w:tcW w:w="1380" w:type="dxa"/>
            <w:tcBorders>
              <w:top w:val="nil"/>
              <w:left w:val="nil"/>
              <w:bottom w:val="nil"/>
              <w:right w:val="nil"/>
            </w:tcBorders>
            <w:shd w:val="clear" w:color="auto" w:fill="auto"/>
            <w:noWrap/>
            <w:vAlign w:val="bottom"/>
            <w:hideMark/>
          </w:tcPr>
          <w:p w14:paraId="45394E26"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-23.5</w:t>
            </w:r>
          </w:p>
        </w:tc>
        <w:tc>
          <w:tcPr>
            <w:tcW w:w="1331" w:type="dxa"/>
            <w:tcBorders>
              <w:top w:val="nil"/>
              <w:left w:val="nil"/>
              <w:bottom w:val="nil"/>
              <w:right w:val="nil"/>
            </w:tcBorders>
            <w:shd w:val="clear" w:color="auto" w:fill="auto"/>
            <w:noWrap/>
            <w:vAlign w:val="bottom"/>
            <w:hideMark/>
          </w:tcPr>
          <w:p w14:paraId="4277E91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-24.0</w:t>
            </w:r>
          </w:p>
        </w:tc>
        <w:tc>
          <w:tcPr>
            <w:tcW w:w="1331" w:type="dxa"/>
            <w:tcBorders>
              <w:top w:val="nil"/>
              <w:left w:val="nil"/>
              <w:bottom w:val="nil"/>
              <w:right w:val="nil"/>
            </w:tcBorders>
            <w:shd w:val="clear" w:color="auto" w:fill="auto"/>
            <w:noWrap/>
          </w:tcPr>
          <w:p w14:paraId="0D34DBD0"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-23.9</w:t>
            </w:r>
          </w:p>
        </w:tc>
        <w:tc>
          <w:tcPr>
            <w:tcW w:w="1331" w:type="dxa"/>
            <w:tcBorders>
              <w:top w:val="nil"/>
              <w:left w:val="nil"/>
              <w:bottom w:val="nil"/>
              <w:right w:val="nil"/>
            </w:tcBorders>
            <w:shd w:val="clear" w:color="auto" w:fill="auto"/>
            <w:noWrap/>
            <w:vAlign w:val="bottom"/>
            <w:hideMark/>
          </w:tcPr>
          <w:p w14:paraId="3FE17B9A"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-24.0</w:t>
            </w:r>
          </w:p>
        </w:tc>
      </w:tr>
      <w:tr w:rsidR="00ED7302" w:rsidRPr="00485A3A" w14:paraId="59788D4E"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2F5032F0"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10</w:t>
            </w:r>
          </w:p>
        </w:tc>
        <w:tc>
          <w:tcPr>
            <w:tcW w:w="1380" w:type="dxa"/>
            <w:tcBorders>
              <w:top w:val="nil"/>
              <w:left w:val="nil"/>
              <w:bottom w:val="nil"/>
              <w:right w:val="nil"/>
            </w:tcBorders>
            <w:shd w:val="clear" w:color="auto" w:fill="auto"/>
            <w:noWrap/>
            <w:vAlign w:val="bottom"/>
            <w:hideMark/>
          </w:tcPr>
          <w:p w14:paraId="32BEE67F"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-22.5</w:t>
            </w:r>
          </w:p>
        </w:tc>
        <w:tc>
          <w:tcPr>
            <w:tcW w:w="1331" w:type="dxa"/>
            <w:tcBorders>
              <w:top w:val="nil"/>
              <w:left w:val="nil"/>
              <w:bottom w:val="nil"/>
              <w:right w:val="nil"/>
            </w:tcBorders>
            <w:shd w:val="clear" w:color="auto" w:fill="auto"/>
            <w:noWrap/>
            <w:vAlign w:val="bottom"/>
            <w:hideMark/>
          </w:tcPr>
          <w:p w14:paraId="609D70A6"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-23.0</w:t>
            </w:r>
          </w:p>
        </w:tc>
        <w:tc>
          <w:tcPr>
            <w:tcW w:w="1331" w:type="dxa"/>
            <w:tcBorders>
              <w:top w:val="nil"/>
              <w:left w:val="nil"/>
              <w:bottom w:val="nil"/>
              <w:right w:val="nil"/>
            </w:tcBorders>
            <w:shd w:val="clear" w:color="auto" w:fill="auto"/>
            <w:noWrap/>
          </w:tcPr>
          <w:p w14:paraId="12F77A55"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-22.9</w:t>
            </w:r>
          </w:p>
        </w:tc>
        <w:tc>
          <w:tcPr>
            <w:tcW w:w="1331" w:type="dxa"/>
            <w:tcBorders>
              <w:top w:val="nil"/>
              <w:left w:val="nil"/>
              <w:bottom w:val="nil"/>
              <w:right w:val="nil"/>
            </w:tcBorders>
            <w:shd w:val="clear" w:color="auto" w:fill="auto"/>
            <w:noWrap/>
            <w:vAlign w:val="bottom"/>
            <w:hideMark/>
          </w:tcPr>
          <w:p w14:paraId="3B1CC32E"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-23.0</w:t>
            </w:r>
          </w:p>
        </w:tc>
      </w:tr>
      <w:tr w:rsidR="00ED7302" w:rsidRPr="00485A3A" w14:paraId="2CAC902E"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0D1E220"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11</w:t>
            </w:r>
          </w:p>
        </w:tc>
        <w:tc>
          <w:tcPr>
            <w:tcW w:w="1380" w:type="dxa"/>
            <w:tcBorders>
              <w:top w:val="nil"/>
              <w:left w:val="nil"/>
              <w:bottom w:val="nil"/>
              <w:right w:val="nil"/>
            </w:tcBorders>
            <w:shd w:val="clear" w:color="auto" w:fill="auto"/>
            <w:noWrap/>
            <w:vAlign w:val="bottom"/>
            <w:hideMark/>
          </w:tcPr>
          <w:p w14:paraId="0EDC919C"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-21.5</w:t>
            </w:r>
          </w:p>
        </w:tc>
        <w:tc>
          <w:tcPr>
            <w:tcW w:w="1331" w:type="dxa"/>
            <w:tcBorders>
              <w:top w:val="nil"/>
              <w:left w:val="nil"/>
              <w:bottom w:val="nil"/>
              <w:right w:val="nil"/>
            </w:tcBorders>
            <w:shd w:val="clear" w:color="auto" w:fill="auto"/>
            <w:noWrap/>
            <w:vAlign w:val="bottom"/>
            <w:hideMark/>
          </w:tcPr>
          <w:p w14:paraId="3ECAD90D"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-22.0</w:t>
            </w:r>
          </w:p>
        </w:tc>
        <w:tc>
          <w:tcPr>
            <w:tcW w:w="1331" w:type="dxa"/>
            <w:tcBorders>
              <w:top w:val="nil"/>
              <w:left w:val="nil"/>
              <w:bottom w:val="nil"/>
              <w:right w:val="nil"/>
            </w:tcBorders>
            <w:shd w:val="clear" w:color="auto" w:fill="auto"/>
            <w:noWrap/>
          </w:tcPr>
          <w:p w14:paraId="06F5A2BA"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-21.9</w:t>
            </w:r>
          </w:p>
        </w:tc>
        <w:tc>
          <w:tcPr>
            <w:tcW w:w="1331" w:type="dxa"/>
            <w:tcBorders>
              <w:top w:val="nil"/>
              <w:left w:val="nil"/>
              <w:bottom w:val="nil"/>
              <w:right w:val="nil"/>
            </w:tcBorders>
            <w:shd w:val="clear" w:color="auto" w:fill="auto"/>
            <w:noWrap/>
            <w:vAlign w:val="bottom"/>
            <w:hideMark/>
          </w:tcPr>
          <w:p w14:paraId="18707105"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-22.0</w:t>
            </w:r>
          </w:p>
        </w:tc>
      </w:tr>
      <w:tr w:rsidR="00ED7302" w:rsidRPr="00485A3A" w14:paraId="0C5AF085"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7323F380"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12</w:t>
            </w:r>
          </w:p>
        </w:tc>
        <w:tc>
          <w:tcPr>
            <w:tcW w:w="1380" w:type="dxa"/>
            <w:tcBorders>
              <w:top w:val="nil"/>
              <w:left w:val="nil"/>
              <w:bottom w:val="nil"/>
              <w:right w:val="nil"/>
            </w:tcBorders>
            <w:shd w:val="clear" w:color="auto" w:fill="auto"/>
            <w:noWrap/>
            <w:vAlign w:val="bottom"/>
            <w:hideMark/>
          </w:tcPr>
          <w:p w14:paraId="45415795"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-20.5</w:t>
            </w:r>
          </w:p>
        </w:tc>
        <w:tc>
          <w:tcPr>
            <w:tcW w:w="1331" w:type="dxa"/>
            <w:tcBorders>
              <w:top w:val="nil"/>
              <w:left w:val="nil"/>
              <w:bottom w:val="nil"/>
              <w:right w:val="nil"/>
            </w:tcBorders>
            <w:shd w:val="clear" w:color="auto" w:fill="auto"/>
            <w:noWrap/>
            <w:vAlign w:val="bottom"/>
            <w:hideMark/>
          </w:tcPr>
          <w:p w14:paraId="76C9C02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-21.0</w:t>
            </w:r>
          </w:p>
        </w:tc>
        <w:tc>
          <w:tcPr>
            <w:tcW w:w="1331" w:type="dxa"/>
            <w:tcBorders>
              <w:top w:val="nil"/>
              <w:left w:val="nil"/>
              <w:bottom w:val="nil"/>
              <w:right w:val="nil"/>
            </w:tcBorders>
            <w:shd w:val="clear" w:color="auto" w:fill="auto"/>
            <w:noWrap/>
          </w:tcPr>
          <w:p w14:paraId="34DC7307"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-20.9</w:t>
            </w:r>
          </w:p>
        </w:tc>
        <w:tc>
          <w:tcPr>
            <w:tcW w:w="1331" w:type="dxa"/>
            <w:tcBorders>
              <w:top w:val="nil"/>
              <w:left w:val="nil"/>
              <w:bottom w:val="nil"/>
              <w:right w:val="nil"/>
            </w:tcBorders>
            <w:shd w:val="clear" w:color="auto" w:fill="auto"/>
            <w:noWrap/>
            <w:vAlign w:val="bottom"/>
            <w:hideMark/>
          </w:tcPr>
          <w:p w14:paraId="0835A08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-21.0</w:t>
            </w:r>
          </w:p>
        </w:tc>
      </w:tr>
      <w:tr w:rsidR="00ED7302" w:rsidRPr="00485A3A" w14:paraId="0B5075C0"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17C9E3A1"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13</w:t>
            </w:r>
          </w:p>
        </w:tc>
        <w:tc>
          <w:tcPr>
            <w:tcW w:w="1380" w:type="dxa"/>
            <w:tcBorders>
              <w:top w:val="nil"/>
              <w:left w:val="nil"/>
              <w:bottom w:val="nil"/>
              <w:right w:val="nil"/>
            </w:tcBorders>
            <w:shd w:val="clear" w:color="auto" w:fill="auto"/>
            <w:noWrap/>
            <w:vAlign w:val="bottom"/>
            <w:hideMark/>
          </w:tcPr>
          <w:p w14:paraId="372E4BA4"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-19.5</w:t>
            </w:r>
          </w:p>
        </w:tc>
        <w:tc>
          <w:tcPr>
            <w:tcW w:w="1331" w:type="dxa"/>
            <w:tcBorders>
              <w:top w:val="nil"/>
              <w:left w:val="nil"/>
              <w:bottom w:val="nil"/>
              <w:right w:val="nil"/>
            </w:tcBorders>
            <w:shd w:val="clear" w:color="auto" w:fill="auto"/>
            <w:noWrap/>
            <w:vAlign w:val="bottom"/>
            <w:hideMark/>
          </w:tcPr>
          <w:p w14:paraId="0618963E"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-20.0</w:t>
            </w:r>
          </w:p>
        </w:tc>
        <w:tc>
          <w:tcPr>
            <w:tcW w:w="1331" w:type="dxa"/>
            <w:tcBorders>
              <w:top w:val="nil"/>
              <w:left w:val="nil"/>
              <w:bottom w:val="nil"/>
              <w:right w:val="nil"/>
            </w:tcBorders>
            <w:shd w:val="clear" w:color="auto" w:fill="auto"/>
            <w:noWrap/>
          </w:tcPr>
          <w:p w14:paraId="78487CD2"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-19.9</w:t>
            </w:r>
          </w:p>
        </w:tc>
        <w:tc>
          <w:tcPr>
            <w:tcW w:w="1331" w:type="dxa"/>
            <w:tcBorders>
              <w:top w:val="nil"/>
              <w:left w:val="nil"/>
              <w:bottom w:val="nil"/>
              <w:right w:val="nil"/>
            </w:tcBorders>
            <w:shd w:val="clear" w:color="auto" w:fill="auto"/>
            <w:noWrap/>
            <w:vAlign w:val="bottom"/>
            <w:hideMark/>
          </w:tcPr>
          <w:p w14:paraId="0FE97C41"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-20.0</w:t>
            </w:r>
          </w:p>
        </w:tc>
      </w:tr>
      <w:tr w:rsidR="00ED7302" w:rsidRPr="00485A3A" w14:paraId="5F53605A"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28C1F9B4"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14</w:t>
            </w:r>
          </w:p>
        </w:tc>
        <w:tc>
          <w:tcPr>
            <w:tcW w:w="1380" w:type="dxa"/>
            <w:tcBorders>
              <w:top w:val="nil"/>
              <w:left w:val="nil"/>
              <w:bottom w:val="nil"/>
              <w:right w:val="nil"/>
            </w:tcBorders>
            <w:shd w:val="clear" w:color="auto" w:fill="auto"/>
            <w:noWrap/>
            <w:vAlign w:val="bottom"/>
            <w:hideMark/>
          </w:tcPr>
          <w:p w14:paraId="349535A6"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-18.5</w:t>
            </w:r>
          </w:p>
        </w:tc>
        <w:tc>
          <w:tcPr>
            <w:tcW w:w="1331" w:type="dxa"/>
            <w:tcBorders>
              <w:top w:val="nil"/>
              <w:left w:val="nil"/>
              <w:bottom w:val="nil"/>
              <w:right w:val="nil"/>
            </w:tcBorders>
            <w:shd w:val="clear" w:color="auto" w:fill="auto"/>
            <w:noWrap/>
            <w:vAlign w:val="bottom"/>
            <w:hideMark/>
          </w:tcPr>
          <w:p w14:paraId="5B37F12D"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-19.0</w:t>
            </w:r>
          </w:p>
        </w:tc>
        <w:tc>
          <w:tcPr>
            <w:tcW w:w="1331" w:type="dxa"/>
            <w:tcBorders>
              <w:top w:val="nil"/>
              <w:left w:val="nil"/>
              <w:bottom w:val="nil"/>
              <w:right w:val="nil"/>
            </w:tcBorders>
            <w:shd w:val="clear" w:color="auto" w:fill="auto"/>
            <w:noWrap/>
          </w:tcPr>
          <w:p w14:paraId="0C2C3D51"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-18.9</w:t>
            </w:r>
          </w:p>
        </w:tc>
        <w:tc>
          <w:tcPr>
            <w:tcW w:w="1331" w:type="dxa"/>
            <w:tcBorders>
              <w:top w:val="nil"/>
              <w:left w:val="nil"/>
              <w:bottom w:val="nil"/>
              <w:right w:val="nil"/>
            </w:tcBorders>
            <w:shd w:val="clear" w:color="auto" w:fill="auto"/>
            <w:noWrap/>
            <w:vAlign w:val="bottom"/>
            <w:hideMark/>
          </w:tcPr>
          <w:p w14:paraId="18390A78"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-19.0</w:t>
            </w:r>
          </w:p>
        </w:tc>
      </w:tr>
      <w:tr w:rsidR="00ED7302" w:rsidRPr="00485A3A" w14:paraId="37B7B283"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1CA456D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15</w:t>
            </w:r>
          </w:p>
        </w:tc>
        <w:tc>
          <w:tcPr>
            <w:tcW w:w="1380" w:type="dxa"/>
            <w:tcBorders>
              <w:top w:val="nil"/>
              <w:left w:val="nil"/>
              <w:bottom w:val="nil"/>
              <w:right w:val="nil"/>
            </w:tcBorders>
            <w:shd w:val="clear" w:color="auto" w:fill="auto"/>
            <w:noWrap/>
            <w:vAlign w:val="bottom"/>
            <w:hideMark/>
          </w:tcPr>
          <w:p w14:paraId="67A3DFB3"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-17.5</w:t>
            </w:r>
          </w:p>
        </w:tc>
        <w:tc>
          <w:tcPr>
            <w:tcW w:w="1331" w:type="dxa"/>
            <w:tcBorders>
              <w:top w:val="nil"/>
              <w:left w:val="nil"/>
              <w:bottom w:val="nil"/>
              <w:right w:val="nil"/>
            </w:tcBorders>
            <w:shd w:val="clear" w:color="auto" w:fill="auto"/>
            <w:noWrap/>
            <w:vAlign w:val="bottom"/>
            <w:hideMark/>
          </w:tcPr>
          <w:p w14:paraId="14C9CA52"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-18.0</w:t>
            </w:r>
          </w:p>
        </w:tc>
        <w:tc>
          <w:tcPr>
            <w:tcW w:w="1331" w:type="dxa"/>
            <w:tcBorders>
              <w:top w:val="nil"/>
              <w:left w:val="nil"/>
              <w:bottom w:val="nil"/>
              <w:right w:val="nil"/>
            </w:tcBorders>
            <w:shd w:val="clear" w:color="auto" w:fill="auto"/>
            <w:noWrap/>
          </w:tcPr>
          <w:p w14:paraId="1C635BAC"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-17.9</w:t>
            </w:r>
          </w:p>
        </w:tc>
        <w:tc>
          <w:tcPr>
            <w:tcW w:w="1331" w:type="dxa"/>
            <w:tcBorders>
              <w:top w:val="nil"/>
              <w:left w:val="nil"/>
              <w:bottom w:val="nil"/>
              <w:right w:val="nil"/>
            </w:tcBorders>
            <w:shd w:val="clear" w:color="auto" w:fill="auto"/>
            <w:noWrap/>
            <w:vAlign w:val="bottom"/>
            <w:hideMark/>
          </w:tcPr>
          <w:p w14:paraId="2AC08B96"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-18.0</w:t>
            </w:r>
          </w:p>
        </w:tc>
      </w:tr>
      <w:tr w:rsidR="00ED7302" w:rsidRPr="00485A3A" w14:paraId="46B0CBAD"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1D482E33"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16</w:t>
            </w:r>
          </w:p>
        </w:tc>
        <w:tc>
          <w:tcPr>
            <w:tcW w:w="1380" w:type="dxa"/>
            <w:tcBorders>
              <w:top w:val="nil"/>
              <w:left w:val="nil"/>
              <w:bottom w:val="nil"/>
              <w:right w:val="nil"/>
            </w:tcBorders>
            <w:shd w:val="clear" w:color="auto" w:fill="auto"/>
            <w:noWrap/>
            <w:vAlign w:val="bottom"/>
            <w:hideMark/>
          </w:tcPr>
          <w:p w14:paraId="75210F8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-16.5</w:t>
            </w:r>
          </w:p>
        </w:tc>
        <w:tc>
          <w:tcPr>
            <w:tcW w:w="1331" w:type="dxa"/>
            <w:tcBorders>
              <w:top w:val="nil"/>
              <w:left w:val="nil"/>
              <w:bottom w:val="nil"/>
              <w:right w:val="nil"/>
            </w:tcBorders>
            <w:shd w:val="clear" w:color="auto" w:fill="auto"/>
            <w:noWrap/>
            <w:vAlign w:val="bottom"/>
            <w:hideMark/>
          </w:tcPr>
          <w:p w14:paraId="105C8B74"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-17.0</w:t>
            </w:r>
          </w:p>
        </w:tc>
        <w:tc>
          <w:tcPr>
            <w:tcW w:w="1331" w:type="dxa"/>
            <w:tcBorders>
              <w:top w:val="nil"/>
              <w:left w:val="nil"/>
              <w:bottom w:val="nil"/>
              <w:right w:val="nil"/>
            </w:tcBorders>
            <w:shd w:val="clear" w:color="auto" w:fill="auto"/>
            <w:noWrap/>
          </w:tcPr>
          <w:p w14:paraId="495E8E9F"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-16.9</w:t>
            </w:r>
          </w:p>
        </w:tc>
        <w:tc>
          <w:tcPr>
            <w:tcW w:w="1331" w:type="dxa"/>
            <w:tcBorders>
              <w:top w:val="nil"/>
              <w:left w:val="nil"/>
              <w:bottom w:val="nil"/>
              <w:right w:val="nil"/>
            </w:tcBorders>
            <w:shd w:val="clear" w:color="auto" w:fill="auto"/>
            <w:noWrap/>
            <w:vAlign w:val="bottom"/>
            <w:hideMark/>
          </w:tcPr>
          <w:p w14:paraId="4B924D6A"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-17.0</w:t>
            </w:r>
          </w:p>
        </w:tc>
      </w:tr>
      <w:tr w:rsidR="00ED7302" w:rsidRPr="00485A3A" w14:paraId="0FD1BBF8"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7828278"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17</w:t>
            </w:r>
          </w:p>
        </w:tc>
        <w:tc>
          <w:tcPr>
            <w:tcW w:w="1380" w:type="dxa"/>
            <w:tcBorders>
              <w:top w:val="nil"/>
              <w:left w:val="nil"/>
              <w:bottom w:val="nil"/>
              <w:right w:val="nil"/>
            </w:tcBorders>
            <w:shd w:val="clear" w:color="auto" w:fill="auto"/>
            <w:noWrap/>
            <w:vAlign w:val="bottom"/>
            <w:hideMark/>
          </w:tcPr>
          <w:p w14:paraId="34D3E82C"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-15.5</w:t>
            </w:r>
          </w:p>
        </w:tc>
        <w:tc>
          <w:tcPr>
            <w:tcW w:w="1331" w:type="dxa"/>
            <w:tcBorders>
              <w:top w:val="nil"/>
              <w:left w:val="nil"/>
              <w:bottom w:val="nil"/>
              <w:right w:val="nil"/>
            </w:tcBorders>
            <w:shd w:val="clear" w:color="auto" w:fill="auto"/>
            <w:noWrap/>
            <w:vAlign w:val="bottom"/>
            <w:hideMark/>
          </w:tcPr>
          <w:p w14:paraId="407EAAC3"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-16.0</w:t>
            </w:r>
          </w:p>
        </w:tc>
        <w:tc>
          <w:tcPr>
            <w:tcW w:w="1331" w:type="dxa"/>
            <w:tcBorders>
              <w:top w:val="nil"/>
              <w:left w:val="nil"/>
              <w:bottom w:val="nil"/>
              <w:right w:val="nil"/>
            </w:tcBorders>
            <w:shd w:val="clear" w:color="auto" w:fill="auto"/>
            <w:noWrap/>
          </w:tcPr>
          <w:p w14:paraId="5669DF51"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-15.9</w:t>
            </w:r>
          </w:p>
        </w:tc>
        <w:tc>
          <w:tcPr>
            <w:tcW w:w="1331" w:type="dxa"/>
            <w:tcBorders>
              <w:top w:val="nil"/>
              <w:left w:val="nil"/>
              <w:bottom w:val="nil"/>
              <w:right w:val="nil"/>
            </w:tcBorders>
            <w:shd w:val="clear" w:color="auto" w:fill="auto"/>
            <w:noWrap/>
            <w:vAlign w:val="bottom"/>
            <w:hideMark/>
          </w:tcPr>
          <w:p w14:paraId="36A91685"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-16.0</w:t>
            </w:r>
          </w:p>
        </w:tc>
      </w:tr>
      <w:tr w:rsidR="00ED7302" w:rsidRPr="00485A3A" w14:paraId="1B5E1D5A"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7C24CFCA"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18</w:t>
            </w:r>
          </w:p>
        </w:tc>
        <w:tc>
          <w:tcPr>
            <w:tcW w:w="1380" w:type="dxa"/>
            <w:tcBorders>
              <w:top w:val="nil"/>
              <w:left w:val="nil"/>
              <w:bottom w:val="nil"/>
              <w:right w:val="nil"/>
            </w:tcBorders>
            <w:shd w:val="clear" w:color="auto" w:fill="auto"/>
            <w:noWrap/>
            <w:vAlign w:val="bottom"/>
            <w:hideMark/>
          </w:tcPr>
          <w:p w14:paraId="2B446927"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-14.5</w:t>
            </w:r>
          </w:p>
        </w:tc>
        <w:tc>
          <w:tcPr>
            <w:tcW w:w="1331" w:type="dxa"/>
            <w:tcBorders>
              <w:top w:val="nil"/>
              <w:left w:val="nil"/>
              <w:bottom w:val="nil"/>
              <w:right w:val="nil"/>
            </w:tcBorders>
            <w:shd w:val="clear" w:color="auto" w:fill="auto"/>
            <w:noWrap/>
            <w:vAlign w:val="bottom"/>
            <w:hideMark/>
          </w:tcPr>
          <w:p w14:paraId="7A82BEE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-15.0</w:t>
            </w:r>
          </w:p>
        </w:tc>
        <w:tc>
          <w:tcPr>
            <w:tcW w:w="1331" w:type="dxa"/>
            <w:tcBorders>
              <w:top w:val="nil"/>
              <w:left w:val="nil"/>
              <w:bottom w:val="nil"/>
              <w:right w:val="nil"/>
            </w:tcBorders>
            <w:shd w:val="clear" w:color="auto" w:fill="auto"/>
            <w:noWrap/>
          </w:tcPr>
          <w:p w14:paraId="04E1A30C"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-14.9</w:t>
            </w:r>
          </w:p>
        </w:tc>
        <w:tc>
          <w:tcPr>
            <w:tcW w:w="1331" w:type="dxa"/>
            <w:tcBorders>
              <w:top w:val="nil"/>
              <w:left w:val="nil"/>
              <w:bottom w:val="nil"/>
              <w:right w:val="nil"/>
            </w:tcBorders>
            <w:shd w:val="clear" w:color="auto" w:fill="auto"/>
            <w:noWrap/>
            <w:vAlign w:val="bottom"/>
            <w:hideMark/>
          </w:tcPr>
          <w:p w14:paraId="5F38A6A6"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-15.0</w:t>
            </w:r>
          </w:p>
        </w:tc>
      </w:tr>
      <w:tr w:rsidR="00ED7302" w:rsidRPr="00485A3A" w14:paraId="74129954"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498C085"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19</w:t>
            </w:r>
          </w:p>
        </w:tc>
        <w:tc>
          <w:tcPr>
            <w:tcW w:w="1380" w:type="dxa"/>
            <w:tcBorders>
              <w:top w:val="nil"/>
              <w:left w:val="nil"/>
              <w:bottom w:val="nil"/>
              <w:right w:val="nil"/>
            </w:tcBorders>
            <w:shd w:val="clear" w:color="auto" w:fill="auto"/>
            <w:noWrap/>
            <w:vAlign w:val="bottom"/>
            <w:hideMark/>
          </w:tcPr>
          <w:p w14:paraId="731E51FB"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-13.5</w:t>
            </w:r>
          </w:p>
        </w:tc>
        <w:tc>
          <w:tcPr>
            <w:tcW w:w="1331" w:type="dxa"/>
            <w:tcBorders>
              <w:top w:val="nil"/>
              <w:left w:val="nil"/>
              <w:bottom w:val="nil"/>
              <w:right w:val="nil"/>
            </w:tcBorders>
            <w:shd w:val="clear" w:color="auto" w:fill="auto"/>
            <w:noWrap/>
            <w:vAlign w:val="bottom"/>
            <w:hideMark/>
          </w:tcPr>
          <w:p w14:paraId="6D3BF5B4"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-14.0</w:t>
            </w:r>
          </w:p>
        </w:tc>
        <w:tc>
          <w:tcPr>
            <w:tcW w:w="1331" w:type="dxa"/>
            <w:tcBorders>
              <w:top w:val="nil"/>
              <w:left w:val="nil"/>
              <w:bottom w:val="nil"/>
              <w:right w:val="nil"/>
            </w:tcBorders>
            <w:shd w:val="clear" w:color="auto" w:fill="auto"/>
            <w:noWrap/>
          </w:tcPr>
          <w:p w14:paraId="304DED68"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-13.9</w:t>
            </w:r>
          </w:p>
        </w:tc>
        <w:tc>
          <w:tcPr>
            <w:tcW w:w="1331" w:type="dxa"/>
            <w:tcBorders>
              <w:top w:val="nil"/>
              <w:left w:val="nil"/>
              <w:bottom w:val="nil"/>
              <w:right w:val="nil"/>
            </w:tcBorders>
            <w:shd w:val="clear" w:color="auto" w:fill="auto"/>
            <w:noWrap/>
            <w:vAlign w:val="bottom"/>
            <w:hideMark/>
          </w:tcPr>
          <w:p w14:paraId="389981BA"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-14.0</w:t>
            </w:r>
          </w:p>
        </w:tc>
      </w:tr>
      <w:tr w:rsidR="00ED7302" w:rsidRPr="00485A3A" w14:paraId="333025E5" w14:textId="77777777" w:rsidTr="00F303C2">
        <w:trPr>
          <w:trHeight w:val="290"/>
          <w:jc w:val="center"/>
        </w:trPr>
        <w:tc>
          <w:tcPr>
            <w:tcW w:w="1180" w:type="dxa"/>
            <w:tcBorders>
              <w:top w:val="nil"/>
              <w:left w:val="nil"/>
              <w:bottom w:val="nil"/>
              <w:right w:val="nil"/>
            </w:tcBorders>
            <w:shd w:val="clear" w:color="auto" w:fill="auto"/>
            <w:noWrap/>
            <w:vAlign w:val="bottom"/>
            <w:hideMark/>
          </w:tcPr>
          <w:p w14:paraId="089126C7" w14:textId="77777777" w:rsidR="00ED7302" w:rsidRPr="00485A3A" w:rsidRDefault="00ED7302" w:rsidP="00F303C2">
            <w:pPr>
              <w:spacing w:after="0"/>
              <w:jc w:val="right"/>
              <w:rPr>
                <w:rFonts w:ascii="Calibri" w:hAnsi="Calibri" w:cs="Calibri"/>
                <w:color w:val="000000"/>
                <w:lang w:val="fr-CH" w:eastAsia="fr-CH"/>
              </w:rPr>
            </w:pPr>
            <w:r w:rsidRPr="00485A3A">
              <w:rPr>
                <w:rFonts w:ascii="Calibri" w:hAnsi="Calibri" w:cs="Calibri"/>
                <w:color w:val="000000"/>
                <w:lang w:val="fr-CH" w:eastAsia="fr-CH"/>
              </w:rPr>
              <w:t>20</w:t>
            </w:r>
          </w:p>
        </w:tc>
        <w:tc>
          <w:tcPr>
            <w:tcW w:w="1380" w:type="dxa"/>
            <w:tcBorders>
              <w:top w:val="nil"/>
              <w:left w:val="nil"/>
              <w:bottom w:val="nil"/>
              <w:right w:val="nil"/>
            </w:tcBorders>
            <w:shd w:val="clear" w:color="auto" w:fill="auto"/>
            <w:noWrap/>
            <w:vAlign w:val="bottom"/>
            <w:hideMark/>
          </w:tcPr>
          <w:p w14:paraId="43894C20"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-12.5</w:t>
            </w:r>
          </w:p>
        </w:tc>
        <w:tc>
          <w:tcPr>
            <w:tcW w:w="1331" w:type="dxa"/>
            <w:tcBorders>
              <w:top w:val="nil"/>
              <w:left w:val="nil"/>
              <w:bottom w:val="nil"/>
              <w:right w:val="nil"/>
            </w:tcBorders>
            <w:shd w:val="clear" w:color="auto" w:fill="auto"/>
            <w:noWrap/>
            <w:vAlign w:val="bottom"/>
            <w:hideMark/>
          </w:tcPr>
          <w:p w14:paraId="053A4B6F"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-13.0</w:t>
            </w:r>
          </w:p>
        </w:tc>
        <w:tc>
          <w:tcPr>
            <w:tcW w:w="1331" w:type="dxa"/>
            <w:tcBorders>
              <w:top w:val="nil"/>
              <w:left w:val="nil"/>
              <w:bottom w:val="nil"/>
              <w:right w:val="nil"/>
            </w:tcBorders>
            <w:shd w:val="clear" w:color="auto" w:fill="auto"/>
            <w:noWrap/>
          </w:tcPr>
          <w:p w14:paraId="286C92B4" w14:textId="77777777" w:rsidR="00ED7302" w:rsidRPr="009457D9" w:rsidRDefault="00ED7302" w:rsidP="00F303C2">
            <w:pPr>
              <w:spacing w:after="0"/>
              <w:jc w:val="right"/>
              <w:rPr>
                <w:rFonts w:ascii="Calibri" w:hAnsi="Calibri" w:cs="Calibri"/>
                <w:b/>
                <w:bCs/>
                <w:i/>
                <w:iCs/>
                <w:color w:val="000000"/>
                <w:lang w:val="fr-CH" w:eastAsia="fr-CH"/>
              </w:rPr>
            </w:pPr>
            <w:r w:rsidRPr="000C06F9">
              <w:rPr>
                <w:b/>
                <w:bCs/>
              </w:rPr>
              <w:t>-12.9</w:t>
            </w:r>
          </w:p>
        </w:tc>
        <w:tc>
          <w:tcPr>
            <w:tcW w:w="1331" w:type="dxa"/>
            <w:tcBorders>
              <w:top w:val="nil"/>
              <w:left w:val="nil"/>
              <w:bottom w:val="nil"/>
              <w:right w:val="nil"/>
            </w:tcBorders>
            <w:shd w:val="clear" w:color="auto" w:fill="auto"/>
            <w:noWrap/>
            <w:vAlign w:val="bottom"/>
            <w:hideMark/>
          </w:tcPr>
          <w:p w14:paraId="6844D1C3" w14:textId="77777777" w:rsidR="00ED7302" w:rsidRPr="00485A3A" w:rsidRDefault="00ED7302" w:rsidP="00F303C2">
            <w:pPr>
              <w:spacing w:after="0"/>
              <w:jc w:val="right"/>
              <w:rPr>
                <w:rFonts w:ascii="Calibri" w:hAnsi="Calibri" w:cs="Calibri"/>
                <w:b/>
                <w:bCs/>
                <w:i/>
                <w:iCs/>
                <w:color w:val="000000"/>
                <w:lang w:val="fr-CH" w:eastAsia="fr-CH"/>
              </w:rPr>
            </w:pPr>
            <w:r w:rsidRPr="00485A3A">
              <w:rPr>
                <w:rFonts w:ascii="Calibri" w:hAnsi="Calibri" w:cs="Calibri"/>
                <w:b/>
                <w:bCs/>
                <w:i/>
                <w:iCs/>
                <w:color w:val="000000"/>
                <w:lang w:val="fr-CH" w:eastAsia="fr-CH"/>
              </w:rPr>
              <w:t>-13.0</w:t>
            </w:r>
          </w:p>
        </w:tc>
      </w:tr>
    </w:tbl>
    <w:p w14:paraId="5830EAA9" w14:textId="457D0B79" w:rsidR="00ED7302" w:rsidRDefault="00ED7302" w:rsidP="00ED7302">
      <w:pPr>
        <w:jc w:val="both"/>
        <w:rPr>
          <w:rFonts w:ascii="Arial" w:hAnsi="Arial" w:cs="Arial"/>
          <w:lang w:val="en-US"/>
        </w:rPr>
      </w:pPr>
    </w:p>
    <w:p w14:paraId="2FCF177C" w14:textId="5151D72A" w:rsidR="00ED7302" w:rsidRPr="00ED7302" w:rsidRDefault="00ED7302" w:rsidP="00ED7302">
      <w:pPr>
        <w:jc w:val="both"/>
        <w:rPr>
          <w:rFonts w:ascii="Arial" w:hAnsi="Arial" w:cs="Arial"/>
          <w:lang w:val="en-US"/>
        </w:rPr>
      </w:pPr>
      <w:r w:rsidRPr="00ED7302">
        <w:rPr>
          <w:rFonts w:ascii="Arial" w:hAnsi="Arial" w:cs="Arial"/>
          <w:lang w:val="en-US"/>
        </w:rPr>
        <w:t xml:space="preserve">We see from table </w:t>
      </w:r>
      <w:r w:rsidR="002F4B92">
        <w:rPr>
          <w:rFonts w:ascii="Arial" w:hAnsi="Arial" w:cs="Arial"/>
          <w:lang w:val="en-US"/>
        </w:rPr>
        <w:t>A1</w:t>
      </w:r>
      <w:r w:rsidRPr="00ED7302">
        <w:rPr>
          <w:rFonts w:ascii="Arial" w:hAnsi="Arial" w:cs="Arial"/>
          <w:lang w:val="en-US"/>
        </w:rPr>
        <w:t xml:space="preserve"> that using an ACS of 33dB allows meeting the adjacent channel protection ratio of -25dB only for robust variants of MCS, requiring 8dB of co-channel C/I or less. The Italic-bold values in the table are higher than -25 dB</w:t>
      </w:r>
      <w:r w:rsidR="000A1A9D">
        <w:rPr>
          <w:rFonts w:ascii="Arial" w:hAnsi="Arial" w:cs="Arial"/>
          <w:lang w:val="en-US"/>
        </w:rPr>
        <w:t>, therefore exceeding the D</w:t>
      </w:r>
      <w:r w:rsidR="00AA1688">
        <w:rPr>
          <w:rFonts w:ascii="Arial" w:hAnsi="Arial" w:cs="Arial"/>
          <w:lang w:val="en-US"/>
        </w:rPr>
        <w:t>TT</w:t>
      </w:r>
      <w:r w:rsidR="000A1A9D">
        <w:rPr>
          <w:rFonts w:ascii="Arial" w:hAnsi="Arial" w:cs="Arial"/>
          <w:lang w:val="en-US"/>
        </w:rPr>
        <w:t xml:space="preserve"> ETSI requirements</w:t>
      </w:r>
      <w:r w:rsidR="00870C49">
        <w:rPr>
          <w:rFonts w:ascii="Arial" w:hAnsi="Arial" w:cs="Arial"/>
          <w:lang w:val="en-US"/>
        </w:rPr>
        <w:t xml:space="preserve"> in [5]</w:t>
      </w:r>
      <w:r w:rsidRPr="00ED7302">
        <w:rPr>
          <w:rFonts w:ascii="Arial" w:hAnsi="Arial" w:cs="Arial"/>
          <w:lang w:val="en-US"/>
        </w:rPr>
        <w:t xml:space="preserve">. </w:t>
      </w:r>
      <w:r w:rsidR="002F4B92">
        <w:rPr>
          <w:rFonts w:ascii="Arial" w:hAnsi="Arial" w:cs="Arial"/>
          <w:lang w:val="en-US"/>
        </w:rPr>
        <w:t>For</w:t>
      </w:r>
      <w:r w:rsidR="002F4B92" w:rsidRPr="00ED7302">
        <w:rPr>
          <w:rFonts w:ascii="Arial" w:hAnsi="Arial" w:cs="Arial"/>
          <w:lang w:val="en-US"/>
        </w:rPr>
        <w:t xml:space="preserve"> </w:t>
      </w:r>
      <w:r w:rsidRPr="00ED7302">
        <w:rPr>
          <w:rFonts w:ascii="Arial" w:hAnsi="Arial" w:cs="Arial"/>
          <w:lang w:val="en-US"/>
        </w:rPr>
        <w:t>an MCS requiring say 15 dB of co-channel C/I, the required adjacent protection ratio will be -17.5dB. The use of an MCS requiring 20dB of co-channel C/I would require an adjacent protection ratio of -12.5dB</w:t>
      </w:r>
    </w:p>
    <w:p w14:paraId="55F9106F" w14:textId="2FF009BE" w:rsidR="00A07B51" w:rsidRDefault="000330D5" w:rsidP="00ED7302">
      <w:pPr>
        <w:jc w:val="both"/>
        <w:rPr>
          <w:rFonts w:ascii="Arial" w:hAnsi="Arial" w:cs="Arial"/>
          <w:lang w:val="en-US"/>
        </w:rPr>
      </w:pPr>
      <w:r>
        <w:rPr>
          <w:rFonts w:ascii="Arial" w:hAnsi="Arial" w:cs="Arial"/>
          <w:lang w:val="en-US"/>
        </w:rPr>
        <w:t>Let’s consider an</w:t>
      </w:r>
      <w:r w:rsidR="00ED7302" w:rsidRPr="00ED7302">
        <w:rPr>
          <w:rFonts w:ascii="Arial" w:hAnsi="Arial" w:cs="Arial"/>
          <w:lang w:val="en-US"/>
        </w:rPr>
        <w:t xml:space="preserve"> LTE 5G Broadcast </w:t>
      </w:r>
      <w:r w:rsidR="00AA1688">
        <w:rPr>
          <w:rFonts w:ascii="Arial" w:hAnsi="Arial" w:cs="Arial"/>
          <w:lang w:val="en-US"/>
        </w:rPr>
        <w:t>receiver</w:t>
      </w:r>
      <w:r w:rsidR="00AA1688" w:rsidRPr="00ED7302">
        <w:rPr>
          <w:rFonts w:ascii="Arial" w:hAnsi="Arial" w:cs="Arial"/>
          <w:lang w:val="en-US"/>
        </w:rPr>
        <w:t xml:space="preserve"> </w:t>
      </w:r>
      <w:r w:rsidR="00F32E11" w:rsidRPr="00ED7302">
        <w:rPr>
          <w:rFonts w:ascii="Arial" w:hAnsi="Arial" w:cs="Arial"/>
          <w:lang w:val="en-US"/>
        </w:rPr>
        <w:t>us</w:t>
      </w:r>
      <w:r>
        <w:rPr>
          <w:rFonts w:ascii="Arial" w:hAnsi="Arial" w:cs="Arial"/>
          <w:lang w:val="en-US"/>
        </w:rPr>
        <w:t>ing</w:t>
      </w:r>
      <w:r w:rsidR="00F32E11" w:rsidRPr="00ED7302">
        <w:rPr>
          <w:rFonts w:ascii="Arial" w:hAnsi="Arial" w:cs="Arial"/>
          <w:lang w:val="en-US"/>
        </w:rPr>
        <w:t xml:space="preserve"> </w:t>
      </w:r>
      <w:r w:rsidR="00ED7302" w:rsidRPr="00ED7302">
        <w:rPr>
          <w:rFonts w:ascii="Arial" w:hAnsi="Arial" w:cs="Arial"/>
          <w:lang w:val="en-US"/>
        </w:rPr>
        <w:t xml:space="preserve">a 10 MHz filter, </w:t>
      </w:r>
      <w:r w:rsidR="003C3F34">
        <w:rPr>
          <w:rFonts w:ascii="Arial" w:hAnsi="Arial" w:cs="Arial"/>
          <w:lang w:val="en-US"/>
        </w:rPr>
        <w:t>as proposed</w:t>
      </w:r>
      <w:r w:rsidR="003C3F34" w:rsidRPr="00ED7302">
        <w:rPr>
          <w:rFonts w:ascii="Arial" w:hAnsi="Arial" w:cs="Arial"/>
          <w:lang w:val="en-US"/>
        </w:rPr>
        <w:t xml:space="preserve"> </w:t>
      </w:r>
      <w:r w:rsidR="003C3F34">
        <w:rPr>
          <w:rFonts w:ascii="Arial" w:hAnsi="Arial" w:cs="Arial"/>
          <w:lang w:val="en-US"/>
        </w:rPr>
        <w:t>in</w:t>
      </w:r>
      <w:r w:rsidR="003C3F34" w:rsidRPr="00ED7302">
        <w:rPr>
          <w:rFonts w:ascii="Arial" w:hAnsi="Arial" w:cs="Arial"/>
          <w:lang w:val="en-US"/>
        </w:rPr>
        <w:t xml:space="preserve"> </w:t>
      </w:r>
      <w:r w:rsidR="00ED7302" w:rsidRPr="00ED7302">
        <w:rPr>
          <w:rFonts w:ascii="Arial" w:hAnsi="Arial" w:cs="Arial"/>
          <w:lang w:val="en-US"/>
        </w:rPr>
        <w:t xml:space="preserve">Option 2, </w:t>
      </w:r>
      <w:r w:rsidR="00F32E11">
        <w:rPr>
          <w:rFonts w:ascii="Arial" w:hAnsi="Arial" w:cs="Arial"/>
          <w:lang w:val="en-US"/>
        </w:rPr>
        <w:t>an</w:t>
      </w:r>
      <w:r w:rsidR="00980866">
        <w:rPr>
          <w:rFonts w:ascii="Arial" w:hAnsi="Arial" w:cs="Arial"/>
          <w:lang w:val="en-US"/>
        </w:rPr>
        <w:t>d receiv</w:t>
      </w:r>
      <w:r>
        <w:rPr>
          <w:rFonts w:ascii="Arial" w:hAnsi="Arial" w:cs="Arial"/>
          <w:lang w:val="en-US"/>
        </w:rPr>
        <w:t>ing</w:t>
      </w:r>
      <w:r w:rsidR="00980866">
        <w:rPr>
          <w:rFonts w:ascii="Arial" w:hAnsi="Arial" w:cs="Arial"/>
          <w:lang w:val="en-US"/>
        </w:rPr>
        <w:t xml:space="preserve"> a signal </w:t>
      </w:r>
      <w:r w:rsidR="00ED7302" w:rsidRPr="00ED7302">
        <w:rPr>
          <w:rFonts w:ascii="Arial" w:hAnsi="Arial" w:cs="Arial"/>
          <w:lang w:val="en-US"/>
        </w:rPr>
        <w:t>placed in a DTT 8 MHz channel raster immediately adjacent to a DTT signal</w:t>
      </w:r>
      <w:r>
        <w:rPr>
          <w:rFonts w:ascii="Arial" w:hAnsi="Arial" w:cs="Arial"/>
          <w:lang w:val="en-US"/>
        </w:rPr>
        <w:t xml:space="preserve">. </w:t>
      </w:r>
      <w:r w:rsidR="00E265BB">
        <w:rPr>
          <w:rFonts w:ascii="Arial" w:hAnsi="Arial" w:cs="Arial"/>
          <w:lang w:val="en-US"/>
        </w:rPr>
        <w:t xml:space="preserve">In this case </w:t>
      </w:r>
      <w:r w:rsidR="00ED7302" w:rsidRPr="00ED7302">
        <w:rPr>
          <w:rFonts w:ascii="Arial" w:hAnsi="Arial" w:cs="Arial"/>
          <w:lang w:val="en-US"/>
        </w:rPr>
        <w:t xml:space="preserve">the </w:t>
      </w:r>
      <w:r w:rsidR="00466A97">
        <w:rPr>
          <w:rFonts w:ascii="Arial" w:hAnsi="Arial" w:cs="Arial"/>
          <w:lang w:val="en-US"/>
        </w:rPr>
        <w:t>calculat</w:t>
      </w:r>
      <w:r w:rsidR="00E265BB">
        <w:rPr>
          <w:rFonts w:ascii="Arial" w:hAnsi="Arial" w:cs="Arial"/>
          <w:lang w:val="en-US"/>
        </w:rPr>
        <w:t>ion of the</w:t>
      </w:r>
      <w:r w:rsidR="00466A97">
        <w:rPr>
          <w:rFonts w:ascii="Arial" w:hAnsi="Arial" w:cs="Arial"/>
          <w:lang w:val="en-US"/>
        </w:rPr>
        <w:t xml:space="preserve"> </w:t>
      </w:r>
      <w:r w:rsidR="00ED7302" w:rsidRPr="00ED7302">
        <w:rPr>
          <w:rFonts w:ascii="Arial" w:hAnsi="Arial" w:cs="Arial"/>
          <w:lang w:val="en-US"/>
        </w:rPr>
        <w:t>ACLR</w:t>
      </w:r>
      <w:r w:rsidR="00466A97">
        <w:rPr>
          <w:rFonts w:ascii="Arial" w:hAnsi="Arial" w:cs="Arial"/>
          <w:lang w:val="en-US"/>
        </w:rPr>
        <w:t xml:space="preserve"> of the </w:t>
      </w:r>
      <w:r w:rsidR="00D8556E">
        <w:rPr>
          <w:rFonts w:ascii="Arial" w:hAnsi="Arial" w:cs="Arial"/>
          <w:lang w:val="en-US"/>
        </w:rPr>
        <w:t xml:space="preserve">DTT </w:t>
      </w:r>
      <w:r w:rsidR="00466A97">
        <w:rPr>
          <w:rFonts w:ascii="Arial" w:hAnsi="Arial" w:cs="Arial"/>
          <w:lang w:val="en-US"/>
        </w:rPr>
        <w:t>transmitter</w:t>
      </w:r>
      <w:r w:rsidR="00ED7302" w:rsidRPr="00ED7302">
        <w:rPr>
          <w:rFonts w:ascii="Arial" w:hAnsi="Arial" w:cs="Arial"/>
          <w:lang w:val="en-US"/>
        </w:rPr>
        <w:t xml:space="preserve"> will change</w:t>
      </w:r>
      <w:r w:rsidR="00466A97">
        <w:rPr>
          <w:rFonts w:ascii="Arial" w:hAnsi="Arial" w:cs="Arial"/>
          <w:lang w:val="en-US"/>
        </w:rPr>
        <w:t xml:space="preserve">, according to its definition </w:t>
      </w:r>
      <w:r w:rsidR="009A226B">
        <w:rPr>
          <w:rFonts w:ascii="Arial" w:hAnsi="Arial" w:cs="Arial"/>
          <w:lang w:val="en-US"/>
        </w:rPr>
        <w:t xml:space="preserve">(see footnote 1 on page 8) </w:t>
      </w:r>
      <w:r w:rsidR="00D8556E">
        <w:rPr>
          <w:rFonts w:ascii="Arial" w:hAnsi="Arial" w:cs="Arial"/>
          <w:lang w:val="en-US"/>
        </w:rPr>
        <w:t>“</w:t>
      </w:r>
      <w:r w:rsidR="00C21697" w:rsidRPr="00EA0029">
        <w:rPr>
          <w:rFonts w:ascii="Arial" w:hAnsi="Arial" w:cs="Arial"/>
          <w:i/>
          <w:iCs/>
        </w:rPr>
        <w:t xml:space="preserve">According to EN 302 396, the ACLR (Adjacent Channel Leakage Ratio) is defined as the ratio of the wanted mean power of the DVB-T/T2 signal to the </w:t>
      </w:r>
      <w:r w:rsidR="00C21697" w:rsidRPr="00EA0029">
        <w:rPr>
          <w:rFonts w:ascii="Arial" w:hAnsi="Arial" w:cs="Arial"/>
          <w:b/>
          <w:bCs/>
          <w:i/>
          <w:iCs/>
        </w:rPr>
        <w:t>unwanted mean power measured in the receiver bandwidth of a given adjacent victim service</w:t>
      </w:r>
      <w:r w:rsidR="00C21697" w:rsidRPr="00EA0029">
        <w:rPr>
          <w:rFonts w:ascii="Arial" w:hAnsi="Arial" w:cs="Arial"/>
          <w:i/>
          <w:iCs/>
        </w:rPr>
        <w:t>. This is in line with the definition of ACLR in 3GPP ts136101v170600p</w:t>
      </w:r>
      <w:r w:rsidR="007752EA">
        <w:rPr>
          <w:rFonts w:ascii="Arial" w:hAnsi="Arial" w:cs="Arial"/>
        </w:rPr>
        <w:t>”</w:t>
      </w:r>
      <w:r w:rsidR="002A5D72">
        <w:rPr>
          <w:rFonts w:ascii="Arial" w:hAnsi="Arial" w:cs="Arial"/>
        </w:rPr>
        <w:t>.</w:t>
      </w:r>
      <w:r w:rsidR="007752EA">
        <w:rPr>
          <w:rFonts w:ascii="Arial" w:hAnsi="Arial" w:cs="Arial"/>
        </w:rPr>
        <w:t xml:space="preserve"> </w:t>
      </w:r>
      <w:r w:rsidR="002A5D72">
        <w:rPr>
          <w:rFonts w:ascii="Arial" w:hAnsi="Arial" w:cs="Arial"/>
        </w:rPr>
        <w:t>T</w:t>
      </w:r>
      <w:r w:rsidR="007752EA">
        <w:rPr>
          <w:rFonts w:ascii="Arial" w:hAnsi="Arial" w:cs="Arial"/>
        </w:rPr>
        <w:t>he receiver bandwidth</w:t>
      </w:r>
      <w:r w:rsidR="002A5D72">
        <w:rPr>
          <w:rFonts w:ascii="Arial" w:hAnsi="Arial" w:cs="Arial"/>
        </w:rPr>
        <w:t xml:space="preserve"> being in this case 10 MHz</w:t>
      </w:r>
      <w:r w:rsidR="002C56F8">
        <w:rPr>
          <w:rFonts w:ascii="Arial" w:hAnsi="Arial" w:cs="Arial"/>
        </w:rPr>
        <w:t xml:space="preserve"> instead of 8 MHz</w:t>
      </w:r>
      <w:r w:rsidR="00ED7302" w:rsidRPr="00ED7302">
        <w:rPr>
          <w:rFonts w:ascii="Arial" w:hAnsi="Arial" w:cs="Arial"/>
          <w:lang w:val="en-US"/>
        </w:rPr>
        <w:t xml:space="preserve">. </w:t>
      </w:r>
    </w:p>
    <w:p w14:paraId="692DF46D" w14:textId="4304A13D" w:rsidR="00ED7302" w:rsidRPr="00C41F90" w:rsidRDefault="00ED7302" w:rsidP="00ED7302">
      <w:pPr>
        <w:jc w:val="both"/>
        <w:rPr>
          <w:rFonts w:ascii="Arial" w:hAnsi="Arial" w:cs="Arial"/>
          <w:lang w:val="en-US"/>
        </w:rPr>
      </w:pPr>
      <w:r w:rsidRPr="00ED7302">
        <w:rPr>
          <w:rFonts w:ascii="Arial" w:hAnsi="Arial" w:cs="Arial"/>
          <w:lang w:val="en-US"/>
        </w:rPr>
        <w:t xml:space="preserve">To evaluate the change in ACLR, Figure A1 below illustrates this configuration. As it can be seen, the receiver filter will let the energy contained in the first 0.5 MHz of the adjacent channel </w:t>
      </w:r>
      <w:r w:rsidR="001258F1">
        <w:rPr>
          <w:rFonts w:ascii="Arial" w:hAnsi="Arial" w:cs="Arial"/>
          <w:lang w:val="en-US"/>
        </w:rPr>
        <w:t>enter</w:t>
      </w:r>
      <w:r w:rsidRPr="00ED7302">
        <w:rPr>
          <w:rFonts w:ascii="Arial" w:hAnsi="Arial" w:cs="Arial"/>
          <w:lang w:val="en-US"/>
        </w:rPr>
        <w:t xml:space="preserve"> the receiver </w:t>
      </w:r>
      <w:r w:rsidR="000E1B7E">
        <w:rPr>
          <w:rFonts w:ascii="Arial" w:hAnsi="Arial" w:cs="Arial"/>
          <w:lang w:val="en-US"/>
        </w:rPr>
        <w:t xml:space="preserve">bandwidth </w:t>
      </w:r>
      <w:r w:rsidRPr="00ED7302">
        <w:rPr>
          <w:rFonts w:ascii="Arial" w:hAnsi="Arial" w:cs="Arial"/>
          <w:lang w:val="en-US"/>
        </w:rPr>
        <w:t xml:space="preserve">without attenuation. </w:t>
      </w:r>
      <w:r w:rsidR="004F2D4A">
        <w:rPr>
          <w:rFonts w:ascii="Arial" w:hAnsi="Arial" w:cs="Arial"/>
          <w:lang w:val="en-US"/>
        </w:rPr>
        <w:t xml:space="preserve">The new value of ACLR is </w:t>
      </w:r>
      <w:r w:rsidR="00FC57F1">
        <w:rPr>
          <w:rFonts w:ascii="Arial" w:hAnsi="Arial" w:cs="Arial"/>
          <w:lang w:val="en-US"/>
        </w:rPr>
        <w:t>obtained</w:t>
      </w:r>
      <w:r w:rsidRPr="00ED7302">
        <w:rPr>
          <w:rFonts w:ascii="Arial" w:hAnsi="Arial" w:cs="Arial"/>
          <w:lang w:val="en-US"/>
        </w:rPr>
        <w:t xml:space="preserve"> by calculating the ratio of the power in the interfering channel (the one centered around 0 MHz in the figure here) to the power inside the filter (centered around -8 MHz in the figure). Then, using this equivalent ACLR, we can calculate the resulting Adjacent channel protection ratio for a given ACS and for a range of co-channel protection ratios using the formula in Eq.1.</w:t>
      </w:r>
    </w:p>
    <w:p w14:paraId="03BEBAB9" w14:textId="77777777" w:rsidR="00ED7302" w:rsidRDefault="00ED7302" w:rsidP="00ED7302">
      <w:pPr>
        <w:jc w:val="center"/>
        <w:rPr>
          <w:lang w:val="en-US"/>
        </w:rPr>
      </w:pPr>
      <w:r>
        <w:rPr>
          <w:noProof/>
          <w:lang w:eastAsia="en-GB"/>
        </w:rPr>
        <w:lastRenderedPageBreak/>
        <w:drawing>
          <wp:inline distT="0" distB="0" distL="0" distR="0" wp14:anchorId="019C7278" wp14:editId="3FD62C2D">
            <wp:extent cx="5734220" cy="36055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7720" cy="3645441"/>
                    </a:xfrm>
                    <a:prstGeom prst="rect">
                      <a:avLst/>
                    </a:prstGeom>
                    <a:noFill/>
                  </pic:spPr>
                </pic:pic>
              </a:graphicData>
            </a:graphic>
          </wp:inline>
        </w:drawing>
      </w:r>
    </w:p>
    <w:p w14:paraId="268C6282" w14:textId="721958D9" w:rsidR="00ED7302" w:rsidRDefault="00ED7302" w:rsidP="00ED7302">
      <w:pPr>
        <w:jc w:val="center"/>
        <w:rPr>
          <w:rFonts w:ascii="Arial" w:hAnsi="Arial" w:cs="Arial"/>
          <w:b/>
          <w:bCs/>
          <w:lang w:val="en-US"/>
        </w:rPr>
      </w:pPr>
      <w:r w:rsidRPr="00ED7302">
        <w:rPr>
          <w:rFonts w:ascii="Arial" w:hAnsi="Arial" w:cs="Arial"/>
          <w:b/>
          <w:bCs/>
          <w:lang w:val="en-US"/>
        </w:rPr>
        <w:t>Figure A1:</w:t>
      </w:r>
      <w:r w:rsidR="009955C6">
        <w:rPr>
          <w:rFonts w:ascii="Arial" w:hAnsi="Arial" w:cs="Arial"/>
          <w:b/>
          <w:bCs/>
          <w:lang w:val="en-US"/>
        </w:rPr>
        <w:t xml:space="preserve"> </w:t>
      </w:r>
      <w:r w:rsidRPr="00ED7302">
        <w:rPr>
          <w:rFonts w:ascii="Arial" w:hAnsi="Arial" w:cs="Arial"/>
          <w:b/>
          <w:bCs/>
          <w:lang w:val="en-US"/>
        </w:rPr>
        <w:t>Illustration of the effect of using a 10 MHz channel filter in an 8 MHz channel raster</w:t>
      </w:r>
    </w:p>
    <w:p w14:paraId="6839E37E" w14:textId="1B450F40" w:rsidR="00ED7302" w:rsidRDefault="00ED7302" w:rsidP="00ED7302">
      <w:pPr>
        <w:jc w:val="both"/>
        <w:rPr>
          <w:rFonts w:ascii="Arial" w:hAnsi="Arial" w:cs="Arial"/>
          <w:lang w:val="en-US"/>
        </w:rPr>
      </w:pPr>
    </w:p>
    <w:p w14:paraId="54414E72" w14:textId="6BC32903" w:rsidR="00ED7302" w:rsidRDefault="00ED7302" w:rsidP="00ED7302">
      <w:pPr>
        <w:jc w:val="both"/>
        <w:rPr>
          <w:rFonts w:ascii="Arial" w:hAnsi="Arial" w:cs="Arial"/>
        </w:rPr>
      </w:pPr>
      <w:r w:rsidRPr="000C06F9">
        <w:rPr>
          <w:rFonts w:ascii="Arial" w:hAnsi="Arial" w:cs="Arial"/>
        </w:rPr>
        <w:t xml:space="preserve">The blue box </w:t>
      </w:r>
      <w:r w:rsidR="009955C6">
        <w:rPr>
          <w:rFonts w:ascii="Arial" w:hAnsi="Arial" w:cs="Arial"/>
        </w:rPr>
        <w:t xml:space="preserve">in Figure A1 </w:t>
      </w:r>
      <w:r w:rsidRPr="000C06F9">
        <w:rPr>
          <w:rFonts w:ascii="Arial" w:hAnsi="Arial" w:cs="Arial"/>
        </w:rPr>
        <w:t>represents a 9 MHz ideal rectangular filter</w:t>
      </w:r>
      <w:r>
        <w:rPr>
          <w:rFonts w:ascii="Arial" w:hAnsi="Arial" w:cs="Arial"/>
        </w:rPr>
        <w:t xml:space="preserve"> (assumed to be the effective bandwidth </w:t>
      </w:r>
      <w:r w:rsidR="00E94764">
        <w:rPr>
          <w:rFonts w:ascii="Arial" w:hAnsi="Arial" w:cs="Arial"/>
        </w:rPr>
        <w:t xml:space="preserve">of </w:t>
      </w:r>
      <w:r w:rsidR="00D36F5E">
        <w:rPr>
          <w:rFonts w:ascii="Arial" w:hAnsi="Arial" w:cs="Arial"/>
        </w:rPr>
        <w:t xml:space="preserve">a filter used for a </w:t>
      </w:r>
      <w:r>
        <w:rPr>
          <w:rFonts w:ascii="Arial" w:hAnsi="Arial" w:cs="Arial"/>
        </w:rPr>
        <w:t>10 MHz LTE signal</w:t>
      </w:r>
      <w:r w:rsidRPr="000C06F9">
        <w:rPr>
          <w:rFonts w:ascii="Arial" w:hAnsi="Arial" w:cs="Arial"/>
        </w:rPr>
        <w:t>.</w:t>
      </w:r>
      <w:r>
        <w:rPr>
          <w:rFonts w:ascii="Arial" w:hAnsi="Arial" w:cs="Arial"/>
        </w:rPr>
        <w:t xml:space="preserve"> The results of calculation are as follows:</w:t>
      </w:r>
    </w:p>
    <w:p w14:paraId="14DA54E5" w14:textId="24C8C11E" w:rsidR="00ED7302" w:rsidRDefault="00ED7302" w:rsidP="00ED7302">
      <w:pPr>
        <w:pStyle w:val="Textvorlage"/>
        <w:spacing w:before="0" w:after="0"/>
        <w:rPr>
          <w:rFonts w:cs="Arial"/>
          <w:sz w:val="20"/>
          <w:szCs w:val="20"/>
          <w:lang w:val="en-GB"/>
        </w:rPr>
      </w:pPr>
      <w:r w:rsidRPr="00ED7302">
        <w:rPr>
          <w:rFonts w:cs="Arial"/>
          <w:b/>
          <w:bCs/>
          <w:sz w:val="20"/>
          <w:szCs w:val="20"/>
          <w:lang w:val="en-GB"/>
        </w:rPr>
        <w:t>8 MHz DTT equivalent ACLR With a 9 MHz ideal (rectangular) LTE receiver filter centred on first adjacent channel for the four transmitters classes</w:t>
      </w:r>
      <w:r w:rsidRPr="00ED7302">
        <w:rPr>
          <w:rFonts w:cs="Arial"/>
          <w:sz w:val="20"/>
          <w:szCs w:val="20"/>
          <w:lang w:val="en-GB"/>
        </w:rPr>
        <w:t>: </w:t>
      </w:r>
    </w:p>
    <w:p w14:paraId="44A56E3F" w14:textId="77777777" w:rsidR="00ED7302" w:rsidRPr="00ED7302" w:rsidRDefault="00ED7302" w:rsidP="00ED7302">
      <w:pPr>
        <w:pStyle w:val="Textvorlage"/>
        <w:spacing w:before="0" w:after="0"/>
        <w:rPr>
          <w:rFonts w:cs="Arial"/>
          <w:sz w:val="20"/>
          <w:szCs w:val="20"/>
          <w:lang w:val="en-US"/>
        </w:rPr>
      </w:pPr>
    </w:p>
    <w:p w14:paraId="16F784C6" w14:textId="7F9D3D18" w:rsidR="00ED7302" w:rsidRPr="00ED7302" w:rsidRDefault="00ED7302" w:rsidP="00ED7302">
      <w:pPr>
        <w:pStyle w:val="Textvorlage"/>
        <w:spacing w:before="0" w:after="0"/>
        <w:rPr>
          <w:rFonts w:cs="Arial"/>
          <w:sz w:val="20"/>
          <w:szCs w:val="20"/>
          <w:lang w:val="en-US"/>
        </w:rPr>
      </w:pPr>
      <w:r w:rsidRPr="00ED7302">
        <w:rPr>
          <w:rFonts w:cs="Arial"/>
          <w:sz w:val="20"/>
          <w:szCs w:val="20"/>
          <w:lang w:val="en-GB"/>
        </w:rPr>
        <w:t>Low power transmitter with non-critical ACLR of 42 dB:</w:t>
      </w:r>
      <w:r>
        <w:rPr>
          <w:rFonts w:cs="Arial"/>
          <w:sz w:val="20"/>
          <w:szCs w:val="20"/>
          <w:lang w:val="en-GB"/>
        </w:rPr>
        <w:tab/>
      </w:r>
      <w:r>
        <w:rPr>
          <w:rFonts w:cs="Arial"/>
          <w:sz w:val="20"/>
          <w:szCs w:val="20"/>
          <w:lang w:val="en-GB"/>
        </w:rPr>
        <w:tab/>
      </w:r>
      <w:r w:rsidRPr="00ED7302">
        <w:rPr>
          <w:rFonts w:cs="Arial"/>
          <w:sz w:val="20"/>
          <w:szCs w:val="20"/>
          <w:lang w:val="en-GB"/>
        </w:rPr>
        <w:t>11.6 dB</w:t>
      </w:r>
    </w:p>
    <w:p w14:paraId="30AD6085" w14:textId="45743CDA" w:rsidR="00ED7302" w:rsidRPr="00ED7302" w:rsidRDefault="00ED7302" w:rsidP="00ED7302">
      <w:pPr>
        <w:pStyle w:val="Textvorlage"/>
        <w:spacing w:before="0" w:after="0"/>
        <w:rPr>
          <w:rFonts w:cs="Arial"/>
          <w:sz w:val="20"/>
          <w:szCs w:val="20"/>
          <w:lang w:val="en-US"/>
        </w:rPr>
      </w:pPr>
      <w:r w:rsidRPr="00ED7302">
        <w:rPr>
          <w:rFonts w:cs="Arial"/>
          <w:sz w:val="20"/>
          <w:szCs w:val="20"/>
          <w:lang w:val="en-GB"/>
        </w:rPr>
        <w:t>Low power transmitter with critical ACLR of 55 dB:</w:t>
      </w:r>
      <w:r>
        <w:rPr>
          <w:rFonts w:cs="Arial"/>
          <w:sz w:val="20"/>
          <w:szCs w:val="20"/>
          <w:lang w:val="en-GB"/>
        </w:rPr>
        <w:tab/>
      </w:r>
      <w:r>
        <w:rPr>
          <w:rFonts w:cs="Arial"/>
          <w:sz w:val="20"/>
          <w:szCs w:val="20"/>
          <w:lang w:val="en-GB"/>
        </w:rPr>
        <w:tab/>
      </w:r>
      <w:r w:rsidRPr="00ED7302">
        <w:rPr>
          <w:rFonts w:cs="Arial"/>
          <w:sz w:val="20"/>
          <w:szCs w:val="20"/>
          <w:lang w:val="en-GB"/>
        </w:rPr>
        <w:t>11.6 dB</w:t>
      </w:r>
    </w:p>
    <w:p w14:paraId="065C97D3" w14:textId="362A9BB2" w:rsidR="00ED7302" w:rsidRPr="00ED7302" w:rsidRDefault="00ED7302" w:rsidP="00ED7302">
      <w:pPr>
        <w:pStyle w:val="Textvorlage"/>
        <w:spacing w:before="0" w:after="0"/>
        <w:rPr>
          <w:rFonts w:cs="Arial"/>
          <w:sz w:val="20"/>
          <w:szCs w:val="20"/>
          <w:lang w:val="en-US"/>
        </w:rPr>
      </w:pPr>
      <w:r w:rsidRPr="00ED7302">
        <w:rPr>
          <w:rFonts w:cs="Arial"/>
          <w:sz w:val="20"/>
          <w:szCs w:val="20"/>
          <w:lang w:val="en-GB"/>
        </w:rPr>
        <w:t>High power transmitter with non-critical ACLR of 51 dB:</w:t>
      </w:r>
      <w:r>
        <w:rPr>
          <w:rFonts w:cs="Arial"/>
          <w:sz w:val="20"/>
          <w:szCs w:val="20"/>
          <w:lang w:val="en-GB"/>
        </w:rPr>
        <w:tab/>
      </w:r>
      <w:r>
        <w:rPr>
          <w:rFonts w:cs="Arial"/>
          <w:sz w:val="20"/>
          <w:szCs w:val="20"/>
          <w:lang w:val="en-GB"/>
        </w:rPr>
        <w:tab/>
      </w:r>
      <w:r w:rsidRPr="00ED7302">
        <w:rPr>
          <w:rFonts w:cs="Arial"/>
          <w:sz w:val="20"/>
          <w:szCs w:val="20"/>
          <w:lang w:val="en-GB"/>
        </w:rPr>
        <w:t>11.6 dB</w:t>
      </w:r>
    </w:p>
    <w:p w14:paraId="29393466" w14:textId="0C465FB8" w:rsidR="00ED7302" w:rsidRPr="00ED7302" w:rsidRDefault="00ED7302" w:rsidP="00ED7302">
      <w:pPr>
        <w:pStyle w:val="Textvorlage"/>
        <w:spacing w:before="0" w:after="0"/>
        <w:rPr>
          <w:rFonts w:cs="Arial"/>
          <w:sz w:val="20"/>
          <w:szCs w:val="20"/>
          <w:lang w:val="en-GB"/>
        </w:rPr>
      </w:pPr>
      <w:r w:rsidRPr="00ED7302">
        <w:rPr>
          <w:rFonts w:cs="Arial"/>
          <w:sz w:val="20"/>
          <w:szCs w:val="20"/>
          <w:lang w:val="en-GB"/>
        </w:rPr>
        <w:t>High power transmitter with critical ACLR of 61:</w:t>
      </w:r>
      <w:r>
        <w:rPr>
          <w:rFonts w:cs="Arial"/>
          <w:sz w:val="20"/>
          <w:szCs w:val="20"/>
          <w:lang w:val="en-GB"/>
        </w:rPr>
        <w:tab/>
      </w:r>
      <w:r>
        <w:rPr>
          <w:rFonts w:cs="Arial"/>
          <w:sz w:val="20"/>
          <w:szCs w:val="20"/>
          <w:lang w:val="en-GB"/>
        </w:rPr>
        <w:tab/>
      </w:r>
      <w:r>
        <w:rPr>
          <w:rFonts w:cs="Arial"/>
          <w:sz w:val="20"/>
          <w:szCs w:val="20"/>
          <w:lang w:val="en-GB"/>
        </w:rPr>
        <w:tab/>
      </w:r>
      <w:r w:rsidRPr="00ED7302">
        <w:rPr>
          <w:rFonts w:cs="Arial"/>
          <w:sz w:val="20"/>
          <w:szCs w:val="20"/>
          <w:lang w:val="en-GB"/>
        </w:rPr>
        <w:t>11.6 dB</w:t>
      </w:r>
    </w:p>
    <w:p w14:paraId="4DF1730F" w14:textId="02D2CA73" w:rsidR="00ED7302" w:rsidRDefault="00ED7302" w:rsidP="00ED7302">
      <w:pPr>
        <w:jc w:val="both"/>
        <w:rPr>
          <w:rFonts w:ascii="Arial" w:hAnsi="Arial" w:cs="Arial"/>
          <w:sz w:val="22"/>
        </w:rPr>
      </w:pPr>
    </w:p>
    <w:p w14:paraId="58CCBFB6" w14:textId="16F11BAA" w:rsidR="00ED7302" w:rsidRPr="000C06F9" w:rsidRDefault="00ED7302" w:rsidP="00ED7302">
      <w:pPr>
        <w:jc w:val="both"/>
        <w:rPr>
          <w:rFonts w:ascii="Arial" w:hAnsi="Arial" w:cs="Arial"/>
        </w:rPr>
      </w:pPr>
      <w:r w:rsidRPr="000C06F9">
        <w:rPr>
          <w:rFonts w:ascii="Arial" w:hAnsi="Arial" w:cs="Arial"/>
        </w:rPr>
        <w:t xml:space="preserve">As </w:t>
      </w:r>
      <w:r>
        <w:rPr>
          <w:rFonts w:ascii="Arial" w:hAnsi="Arial" w:cs="Arial"/>
        </w:rPr>
        <w:t xml:space="preserve">it </w:t>
      </w:r>
      <w:r w:rsidRPr="000C06F9">
        <w:rPr>
          <w:rFonts w:ascii="Arial" w:hAnsi="Arial" w:cs="Arial"/>
        </w:rPr>
        <w:t xml:space="preserve">can </w:t>
      </w:r>
      <w:r>
        <w:rPr>
          <w:rFonts w:ascii="Arial" w:hAnsi="Arial" w:cs="Arial"/>
        </w:rPr>
        <w:t xml:space="preserve">be </w:t>
      </w:r>
      <w:r w:rsidRPr="000C06F9">
        <w:rPr>
          <w:rFonts w:ascii="Arial" w:hAnsi="Arial" w:cs="Arial"/>
        </w:rPr>
        <w:t>see</w:t>
      </w:r>
      <w:r>
        <w:rPr>
          <w:rFonts w:ascii="Arial" w:hAnsi="Arial" w:cs="Arial"/>
        </w:rPr>
        <w:t>n</w:t>
      </w:r>
      <w:r w:rsidRPr="000C06F9">
        <w:rPr>
          <w:rFonts w:ascii="Arial" w:hAnsi="Arial" w:cs="Arial"/>
        </w:rPr>
        <w:t xml:space="preserve">, the additional interfering energy in the 0.5 MHz due to the larger receiver filter  </w:t>
      </w:r>
      <w:r w:rsidR="00B32FB4">
        <w:rPr>
          <w:rFonts w:ascii="Arial" w:hAnsi="Arial" w:cs="Arial"/>
        </w:rPr>
        <w:t xml:space="preserve">results in </w:t>
      </w:r>
      <w:r w:rsidRPr="000C06F9">
        <w:rPr>
          <w:rFonts w:ascii="Arial" w:hAnsi="Arial" w:cs="Arial"/>
        </w:rPr>
        <w:t xml:space="preserve">a significantly </w:t>
      </w:r>
      <w:r w:rsidR="00B32FB4">
        <w:rPr>
          <w:rFonts w:ascii="Arial" w:hAnsi="Arial" w:cs="Arial"/>
        </w:rPr>
        <w:t>lower</w:t>
      </w:r>
      <w:r w:rsidR="00B32FB4" w:rsidRPr="000C06F9">
        <w:rPr>
          <w:rFonts w:ascii="Arial" w:hAnsi="Arial" w:cs="Arial"/>
        </w:rPr>
        <w:t xml:space="preserve"> </w:t>
      </w:r>
      <w:r w:rsidRPr="000C06F9">
        <w:rPr>
          <w:rFonts w:ascii="Arial" w:hAnsi="Arial" w:cs="Arial"/>
        </w:rPr>
        <w:t>ACLR of the interfering transmitter</w:t>
      </w:r>
      <w:r w:rsidR="00B32FB4">
        <w:rPr>
          <w:rFonts w:ascii="Arial" w:hAnsi="Arial" w:cs="Arial"/>
        </w:rPr>
        <w:t xml:space="preserve"> (it was </w:t>
      </w:r>
      <w:r w:rsidR="00313E4D">
        <w:rPr>
          <w:rFonts w:ascii="Arial" w:hAnsi="Arial" w:cs="Arial"/>
        </w:rPr>
        <w:t>between</w:t>
      </w:r>
      <w:r w:rsidR="00F6270B">
        <w:rPr>
          <w:rFonts w:ascii="Arial" w:hAnsi="Arial" w:cs="Arial"/>
        </w:rPr>
        <w:t xml:space="preserve"> </w:t>
      </w:r>
      <w:r w:rsidR="00B32FB4">
        <w:rPr>
          <w:rFonts w:ascii="Arial" w:hAnsi="Arial" w:cs="Arial"/>
        </w:rPr>
        <w:t>42dB</w:t>
      </w:r>
      <w:r w:rsidR="008C53E8">
        <w:rPr>
          <w:rFonts w:ascii="Arial" w:hAnsi="Arial" w:cs="Arial"/>
        </w:rPr>
        <w:t xml:space="preserve"> </w:t>
      </w:r>
      <w:r w:rsidR="00044D83">
        <w:rPr>
          <w:rFonts w:ascii="Arial" w:hAnsi="Arial" w:cs="Arial"/>
        </w:rPr>
        <w:t>and</w:t>
      </w:r>
      <w:r w:rsidR="008C53E8">
        <w:rPr>
          <w:rFonts w:ascii="Arial" w:hAnsi="Arial" w:cs="Arial"/>
        </w:rPr>
        <w:t xml:space="preserve"> </w:t>
      </w:r>
      <w:r w:rsidR="00313E4D">
        <w:rPr>
          <w:rFonts w:ascii="Arial" w:hAnsi="Arial" w:cs="Arial"/>
        </w:rPr>
        <w:t xml:space="preserve">61dB with the </w:t>
      </w:r>
      <w:r w:rsidR="00026D88">
        <w:rPr>
          <w:rFonts w:ascii="Arial" w:hAnsi="Arial" w:cs="Arial"/>
        </w:rPr>
        <w:t xml:space="preserve">8MHz </w:t>
      </w:r>
      <w:r w:rsidR="007D3EEC">
        <w:rPr>
          <w:rFonts w:ascii="Arial" w:hAnsi="Arial" w:cs="Arial"/>
        </w:rPr>
        <w:t>channel</w:t>
      </w:r>
      <w:r w:rsidR="00026D88">
        <w:rPr>
          <w:rFonts w:ascii="Arial" w:hAnsi="Arial" w:cs="Arial"/>
        </w:rPr>
        <w:t xml:space="preserve"> filter)</w:t>
      </w:r>
      <w:r w:rsidRPr="000C06F9">
        <w:rPr>
          <w:rFonts w:ascii="Arial" w:hAnsi="Arial" w:cs="Arial"/>
        </w:rPr>
        <w:t xml:space="preserve">. Furthermore, the energy contained in the 0.5 MHz overlapping range dominates the results independently of the transmitter class or the spectrum mask type. </w:t>
      </w:r>
    </w:p>
    <w:p w14:paraId="4F158ED5" w14:textId="46C3B688" w:rsidR="00ED7302" w:rsidRDefault="00ED7302" w:rsidP="00ED7302">
      <w:pPr>
        <w:jc w:val="both"/>
        <w:rPr>
          <w:rFonts w:ascii="Arial" w:hAnsi="Arial" w:cs="Arial"/>
        </w:rPr>
      </w:pPr>
      <w:r w:rsidRPr="000C06F9">
        <w:rPr>
          <w:rFonts w:ascii="Arial" w:hAnsi="Arial" w:cs="Arial"/>
        </w:rPr>
        <w:t>Applying the approach with the formula</w:t>
      </w:r>
      <w:r>
        <w:rPr>
          <w:rFonts w:ascii="Arial" w:hAnsi="Arial" w:cs="Arial"/>
        </w:rPr>
        <w:t xml:space="preserve"> in Eq.1</w:t>
      </w:r>
      <w:r w:rsidRPr="000C06F9">
        <w:rPr>
          <w:rFonts w:ascii="Arial" w:hAnsi="Arial" w:cs="Arial"/>
        </w:rPr>
        <w:t>, the calculated adjacent channel protection ratios are as follows:</w:t>
      </w:r>
    </w:p>
    <w:tbl>
      <w:tblPr>
        <w:tblW w:w="2500" w:type="dxa"/>
        <w:jc w:val="center"/>
        <w:tblCellMar>
          <w:left w:w="0" w:type="dxa"/>
          <w:right w:w="0" w:type="dxa"/>
        </w:tblCellMar>
        <w:tblLook w:val="04A0" w:firstRow="1" w:lastRow="0" w:firstColumn="1" w:lastColumn="0" w:noHBand="0" w:noVBand="1"/>
      </w:tblPr>
      <w:tblGrid>
        <w:gridCol w:w="1160"/>
        <w:gridCol w:w="1380"/>
      </w:tblGrid>
      <w:tr w:rsidR="00ED7302" w:rsidRPr="00EE0085" w14:paraId="4B10D6CF" w14:textId="77777777" w:rsidTr="00F303C2">
        <w:trPr>
          <w:trHeight w:val="288"/>
          <w:jc w:val="center"/>
        </w:trPr>
        <w:tc>
          <w:tcPr>
            <w:tcW w:w="1160" w:type="dxa"/>
            <w:noWrap/>
            <w:tcMar>
              <w:top w:w="0" w:type="dxa"/>
              <w:left w:w="70" w:type="dxa"/>
              <w:bottom w:w="0" w:type="dxa"/>
              <w:right w:w="70" w:type="dxa"/>
            </w:tcMar>
            <w:vAlign w:val="bottom"/>
            <w:hideMark/>
          </w:tcPr>
          <w:p w14:paraId="527A3356" w14:textId="77777777" w:rsidR="00ED7302" w:rsidRPr="000C06F9" w:rsidRDefault="00ED7302" w:rsidP="00F303C2">
            <w:pPr>
              <w:rPr>
                <w:rFonts w:ascii="Arial" w:hAnsi="Arial" w:cs="Arial"/>
                <w:color w:val="000000"/>
                <w:lang w:val="fr-CH" w:eastAsia="fr-CH"/>
              </w:rPr>
            </w:pPr>
            <w:r w:rsidRPr="000C06F9">
              <w:rPr>
                <w:rFonts w:ascii="Arial" w:hAnsi="Arial" w:cs="Arial"/>
                <w:color w:val="000000"/>
                <w:lang w:eastAsia="fr-CH"/>
              </w:rPr>
              <w:t>ACS (dB)</w:t>
            </w:r>
          </w:p>
        </w:tc>
        <w:tc>
          <w:tcPr>
            <w:tcW w:w="1340" w:type="dxa"/>
            <w:noWrap/>
            <w:tcMar>
              <w:top w:w="0" w:type="dxa"/>
              <w:left w:w="70" w:type="dxa"/>
              <w:bottom w:w="0" w:type="dxa"/>
              <w:right w:w="70" w:type="dxa"/>
            </w:tcMar>
            <w:vAlign w:val="bottom"/>
            <w:hideMark/>
          </w:tcPr>
          <w:p w14:paraId="35103D6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33</w:t>
            </w:r>
          </w:p>
        </w:tc>
      </w:tr>
      <w:tr w:rsidR="00ED7302" w:rsidRPr="00EE0085" w14:paraId="35357701" w14:textId="77777777" w:rsidTr="00F303C2">
        <w:trPr>
          <w:trHeight w:val="288"/>
          <w:jc w:val="center"/>
        </w:trPr>
        <w:tc>
          <w:tcPr>
            <w:tcW w:w="1160" w:type="dxa"/>
            <w:noWrap/>
            <w:tcMar>
              <w:top w:w="0" w:type="dxa"/>
              <w:left w:w="70" w:type="dxa"/>
              <w:bottom w:w="0" w:type="dxa"/>
              <w:right w:w="70" w:type="dxa"/>
            </w:tcMar>
            <w:vAlign w:val="bottom"/>
            <w:hideMark/>
          </w:tcPr>
          <w:p w14:paraId="600DB217" w14:textId="77777777" w:rsidR="00ED7302" w:rsidRPr="000C06F9" w:rsidRDefault="00ED7302" w:rsidP="00F303C2">
            <w:pPr>
              <w:rPr>
                <w:rFonts w:ascii="Arial" w:hAnsi="Arial" w:cs="Arial"/>
                <w:color w:val="000000"/>
                <w:lang w:eastAsia="fr-CH"/>
              </w:rPr>
            </w:pPr>
            <w:r w:rsidRPr="000C06F9">
              <w:rPr>
                <w:rFonts w:ascii="Arial" w:hAnsi="Arial" w:cs="Arial"/>
                <w:color w:val="000000"/>
                <w:lang w:eastAsia="fr-CH"/>
              </w:rPr>
              <w:t>ACLR (dB)</w:t>
            </w:r>
          </w:p>
        </w:tc>
        <w:tc>
          <w:tcPr>
            <w:tcW w:w="1340" w:type="dxa"/>
            <w:noWrap/>
            <w:tcMar>
              <w:top w:w="0" w:type="dxa"/>
              <w:left w:w="70" w:type="dxa"/>
              <w:bottom w:w="0" w:type="dxa"/>
              <w:right w:w="70" w:type="dxa"/>
            </w:tcMar>
            <w:vAlign w:val="bottom"/>
            <w:hideMark/>
          </w:tcPr>
          <w:p w14:paraId="087615F8"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11.6</w:t>
            </w:r>
          </w:p>
        </w:tc>
      </w:tr>
      <w:tr w:rsidR="00ED7302" w:rsidRPr="00EE0085" w14:paraId="08551FFA" w14:textId="77777777" w:rsidTr="00F303C2">
        <w:trPr>
          <w:trHeight w:val="288"/>
          <w:jc w:val="center"/>
        </w:trPr>
        <w:tc>
          <w:tcPr>
            <w:tcW w:w="1160" w:type="dxa"/>
            <w:noWrap/>
            <w:tcMar>
              <w:top w:w="0" w:type="dxa"/>
              <w:left w:w="70" w:type="dxa"/>
              <w:bottom w:w="0" w:type="dxa"/>
              <w:right w:w="70" w:type="dxa"/>
            </w:tcMar>
            <w:vAlign w:val="bottom"/>
            <w:hideMark/>
          </w:tcPr>
          <w:p w14:paraId="5F2325C5" w14:textId="77777777" w:rsidR="00ED7302" w:rsidRPr="000C06F9" w:rsidRDefault="00ED7302" w:rsidP="00F303C2">
            <w:pPr>
              <w:rPr>
                <w:rFonts w:ascii="Arial" w:hAnsi="Arial" w:cs="Arial"/>
                <w:color w:val="000000"/>
                <w:lang w:eastAsia="fr-CH"/>
              </w:rPr>
            </w:pPr>
            <w:r w:rsidRPr="000C06F9">
              <w:rPr>
                <w:rFonts w:ascii="Arial" w:hAnsi="Arial" w:cs="Arial"/>
                <w:color w:val="000000"/>
                <w:lang w:eastAsia="fr-CH"/>
              </w:rPr>
              <w:t>PR0 (dB)</w:t>
            </w:r>
          </w:p>
        </w:tc>
        <w:tc>
          <w:tcPr>
            <w:tcW w:w="1340" w:type="dxa"/>
            <w:noWrap/>
            <w:tcMar>
              <w:top w:w="0" w:type="dxa"/>
              <w:left w:w="70" w:type="dxa"/>
              <w:bottom w:w="0" w:type="dxa"/>
              <w:right w:w="70" w:type="dxa"/>
            </w:tcMar>
            <w:vAlign w:val="bottom"/>
            <w:hideMark/>
          </w:tcPr>
          <w:p w14:paraId="626CF08C" w14:textId="77777777" w:rsidR="00ED7302" w:rsidRPr="000C06F9" w:rsidRDefault="00ED7302" w:rsidP="00F303C2">
            <w:pPr>
              <w:rPr>
                <w:rFonts w:ascii="Arial" w:hAnsi="Arial" w:cs="Arial"/>
                <w:color w:val="000000"/>
                <w:lang w:eastAsia="fr-CH"/>
              </w:rPr>
            </w:pPr>
            <w:r w:rsidRPr="000C06F9">
              <w:rPr>
                <w:rFonts w:ascii="Arial" w:hAnsi="Arial" w:cs="Arial"/>
                <w:color w:val="000000"/>
                <w:lang w:eastAsia="fr-CH"/>
              </w:rPr>
              <w:t>PR(</w:t>
            </w:r>
            <w:proofErr w:type="spellStart"/>
            <w:r w:rsidRPr="000C06F9">
              <w:rPr>
                <w:rFonts w:ascii="Arial" w:hAnsi="Arial" w:cs="Arial"/>
                <w:color w:val="000000"/>
                <w:lang w:eastAsia="fr-CH"/>
              </w:rPr>
              <w:t>Δf</w:t>
            </w:r>
            <w:proofErr w:type="spellEnd"/>
            <w:r w:rsidRPr="000C06F9">
              <w:rPr>
                <w:rFonts w:ascii="Arial" w:hAnsi="Arial" w:cs="Arial"/>
                <w:color w:val="000000"/>
                <w:lang w:eastAsia="fr-CH"/>
              </w:rPr>
              <w:t>=8MHz)</w:t>
            </w:r>
          </w:p>
        </w:tc>
      </w:tr>
      <w:tr w:rsidR="00ED7302" w:rsidRPr="00EE0085" w14:paraId="5F8D34E7" w14:textId="77777777" w:rsidTr="00F303C2">
        <w:trPr>
          <w:trHeight w:val="288"/>
          <w:jc w:val="center"/>
        </w:trPr>
        <w:tc>
          <w:tcPr>
            <w:tcW w:w="1160" w:type="dxa"/>
            <w:noWrap/>
            <w:tcMar>
              <w:top w:w="0" w:type="dxa"/>
              <w:left w:w="70" w:type="dxa"/>
              <w:bottom w:w="0" w:type="dxa"/>
              <w:right w:w="70" w:type="dxa"/>
            </w:tcMar>
            <w:vAlign w:val="bottom"/>
            <w:hideMark/>
          </w:tcPr>
          <w:p w14:paraId="44B869A0"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0</w:t>
            </w:r>
          </w:p>
        </w:tc>
        <w:tc>
          <w:tcPr>
            <w:tcW w:w="1340" w:type="dxa"/>
            <w:noWrap/>
            <w:tcMar>
              <w:top w:w="0" w:type="dxa"/>
              <w:left w:w="70" w:type="dxa"/>
              <w:bottom w:w="0" w:type="dxa"/>
              <w:right w:w="70" w:type="dxa"/>
            </w:tcMar>
            <w:vAlign w:val="bottom"/>
            <w:hideMark/>
          </w:tcPr>
          <w:p w14:paraId="71B8F49E"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-11.6</w:t>
            </w:r>
          </w:p>
        </w:tc>
      </w:tr>
      <w:tr w:rsidR="00ED7302" w:rsidRPr="00EE0085" w14:paraId="267225F3" w14:textId="77777777" w:rsidTr="00F303C2">
        <w:trPr>
          <w:trHeight w:val="288"/>
          <w:jc w:val="center"/>
        </w:trPr>
        <w:tc>
          <w:tcPr>
            <w:tcW w:w="1160" w:type="dxa"/>
            <w:noWrap/>
            <w:tcMar>
              <w:top w:w="0" w:type="dxa"/>
              <w:left w:w="70" w:type="dxa"/>
              <w:bottom w:w="0" w:type="dxa"/>
              <w:right w:w="70" w:type="dxa"/>
            </w:tcMar>
            <w:vAlign w:val="bottom"/>
            <w:hideMark/>
          </w:tcPr>
          <w:p w14:paraId="47336426"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w:t>
            </w:r>
          </w:p>
        </w:tc>
        <w:tc>
          <w:tcPr>
            <w:tcW w:w="1340" w:type="dxa"/>
            <w:noWrap/>
            <w:tcMar>
              <w:top w:w="0" w:type="dxa"/>
              <w:left w:w="70" w:type="dxa"/>
              <w:bottom w:w="0" w:type="dxa"/>
              <w:right w:w="70" w:type="dxa"/>
            </w:tcMar>
            <w:vAlign w:val="bottom"/>
            <w:hideMark/>
          </w:tcPr>
          <w:p w14:paraId="1995E4AB"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-10.6</w:t>
            </w:r>
          </w:p>
        </w:tc>
      </w:tr>
      <w:tr w:rsidR="00ED7302" w:rsidRPr="00EE0085" w14:paraId="4BE3A521" w14:textId="77777777" w:rsidTr="00F303C2">
        <w:trPr>
          <w:trHeight w:val="288"/>
          <w:jc w:val="center"/>
        </w:trPr>
        <w:tc>
          <w:tcPr>
            <w:tcW w:w="1160" w:type="dxa"/>
            <w:noWrap/>
            <w:tcMar>
              <w:top w:w="0" w:type="dxa"/>
              <w:left w:w="70" w:type="dxa"/>
              <w:bottom w:w="0" w:type="dxa"/>
              <w:right w:w="70" w:type="dxa"/>
            </w:tcMar>
            <w:vAlign w:val="bottom"/>
            <w:hideMark/>
          </w:tcPr>
          <w:p w14:paraId="0426AD1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2</w:t>
            </w:r>
          </w:p>
        </w:tc>
        <w:tc>
          <w:tcPr>
            <w:tcW w:w="1340" w:type="dxa"/>
            <w:noWrap/>
            <w:tcMar>
              <w:top w:w="0" w:type="dxa"/>
              <w:left w:w="70" w:type="dxa"/>
              <w:bottom w:w="0" w:type="dxa"/>
              <w:right w:w="70" w:type="dxa"/>
            </w:tcMar>
            <w:vAlign w:val="bottom"/>
            <w:hideMark/>
          </w:tcPr>
          <w:p w14:paraId="5ACB7F68"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-9.6</w:t>
            </w:r>
          </w:p>
        </w:tc>
      </w:tr>
      <w:tr w:rsidR="00ED7302" w:rsidRPr="00EE0085" w14:paraId="17D9B2CB" w14:textId="77777777" w:rsidTr="00F303C2">
        <w:trPr>
          <w:trHeight w:val="288"/>
          <w:jc w:val="center"/>
        </w:trPr>
        <w:tc>
          <w:tcPr>
            <w:tcW w:w="1160" w:type="dxa"/>
            <w:noWrap/>
            <w:tcMar>
              <w:top w:w="0" w:type="dxa"/>
              <w:left w:w="70" w:type="dxa"/>
              <w:bottom w:w="0" w:type="dxa"/>
              <w:right w:w="70" w:type="dxa"/>
            </w:tcMar>
            <w:vAlign w:val="bottom"/>
            <w:hideMark/>
          </w:tcPr>
          <w:p w14:paraId="7742AF7D"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3</w:t>
            </w:r>
          </w:p>
        </w:tc>
        <w:tc>
          <w:tcPr>
            <w:tcW w:w="1340" w:type="dxa"/>
            <w:noWrap/>
            <w:tcMar>
              <w:top w:w="0" w:type="dxa"/>
              <w:left w:w="70" w:type="dxa"/>
              <w:bottom w:w="0" w:type="dxa"/>
              <w:right w:w="70" w:type="dxa"/>
            </w:tcMar>
            <w:vAlign w:val="bottom"/>
            <w:hideMark/>
          </w:tcPr>
          <w:p w14:paraId="545339B5"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-8.6</w:t>
            </w:r>
          </w:p>
        </w:tc>
      </w:tr>
      <w:tr w:rsidR="00ED7302" w:rsidRPr="00EE0085" w14:paraId="1DCDEFED" w14:textId="77777777" w:rsidTr="00F303C2">
        <w:trPr>
          <w:trHeight w:val="288"/>
          <w:jc w:val="center"/>
        </w:trPr>
        <w:tc>
          <w:tcPr>
            <w:tcW w:w="1160" w:type="dxa"/>
            <w:noWrap/>
            <w:tcMar>
              <w:top w:w="0" w:type="dxa"/>
              <w:left w:w="70" w:type="dxa"/>
              <w:bottom w:w="0" w:type="dxa"/>
              <w:right w:w="70" w:type="dxa"/>
            </w:tcMar>
            <w:vAlign w:val="bottom"/>
            <w:hideMark/>
          </w:tcPr>
          <w:p w14:paraId="15ACC7A7"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lastRenderedPageBreak/>
              <w:t>4</w:t>
            </w:r>
          </w:p>
        </w:tc>
        <w:tc>
          <w:tcPr>
            <w:tcW w:w="1340" w:type="dxa"/>
            <w:noWrap/>
            <w:tcMar>
              <w:top w:w="0" w:type="dxa"/>
              <w:left w:w="70" w:type="dxa"/>
              <w:bottom w:w="0" w:type="dxa"/>
              <w:right w:w="70" w:type="dxa"/>
            </w:tcMar>
            <w:vAlign w:val="bottom"/>
            <w:hideMark/>
          </w:tcPr>
          <w:p w14:paraId="20740419"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-7.6</w:t>
            </w:r>
          </w:p>
        </w:tc>
      </w:tr>
      <w:tr w:rsidR="00ED7302" w:rsidRPr="00EE0085" w14:paraId="1F729DBE" w14:textId="77777777" w:rsidTr="00F303C2">
        <w:trPr>
          <w:trHeight w:val="288"/>
          <w:jc w:val="center"/>
        </w:trPr>
        <w:tc>
          <w:tcPr>
            <w:tcW w:w="1160" w:type="dxa"/>
            <w:noWrap/>
            <w:tcMar>
              <w:top w:w="0" w:type="dxa"/>
              <w:left w:w="70" w:type="dxa"/>
              <w:bottom w:w="0" w:type="dxa"/>
              <w:right w:w="70" w:type="dxa"/>
            </w:tcMar>
            <w:vAlign w:val="bottom"/>
            <w:hideMark/>
          </w:tcPr>
          <w:p w14:paraId="007A1D76"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5</w:t>
            </w:r>
          </w:p>
        </w:tc>
        <w:tc>
          <w:tcPr>
            <w:tcW w:w="1340" w:type="dxa"/>
            <w:noWrap/>
            <w:tcMar>
              <w:top w:w="0" w:type="dxa"/>
              <w:left w:w="70" w:type="dxa"/>
              <w:bottom w:w="0" w:type="dxa"/>
              <w:right w:w="70" w:type="dxa"/>
            </w:tcMar>
            <w:vAlign w:val="bottom"/>
            <w:hideMark/>
          </w:tcPr>
          <w:p w14:paraId="67C8DA7B"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-6.6</w:t>
            </w:r>
          </w:p>
        </w:tc>
      </w:tr>
      <w:tr w:rsidR="00ED7302" w:rsidRPr="00EE0085" w14:paraId="1DC4D8CB" w14:textId="77777777" w:rsidTr="00F303C2">
        <w:trPr>
          <w:trHeight w:val="288"/>
          <w:jc w:val="center"/>
        </w:trPr>
        <w:tc>
          <w:tcPr>
            <w:tcW w:w="1160" w:type="dxa"/>
            <w:noWrap/>
            <w:tcMar>
              <w:top w:w="0" w:type="dxa"/>
              <w:left w:w="70" w:type="dxa"/>
              <w:bottom w:w="0" w:type="dxa"/>
              <w:right w:w="70" w:type="dxa"/>
            </w:tcMar>
            <w:vAlign w:val="bottom"/>
            <w:hideMark/>
          </w:tcPr>
          <w:p w14:paraId="0B1A4709"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6</w:t>
            </w:r>
          </w:p>
        </w:tc>
        <w:tc>
          <w:tcPr>
            <w:tcW w:w="1340" w:type="dxa"/>
            <w:noWrap/>
            <w:tcMar>
              <w:top w:w="0" w:type="dxa"/>
              <w:left w:w="70" w:type="dxa"/>
              <w:bottom w:w="0" w:type="dxa"/>
              <w:right w:w="70" w:type="dxa"/>
            </w:tcMar>
            <w:vAlign w:val="bottom"/>
            <w:hideMark/>
          </w:tcPr>
          <w:p w14:paraId="0A23E2E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-5.6</w:t>
            </w:r>
          </w:p>
        </w:tc>
      </w:tr>
      <w:tr w:rsidR="00ED7302" w:rsidRPr="00EE0085" w14:paraId="6E62A49C" w14:textId="77777777" w:rsidTr="00F303C2">
        <w:trPr>
          <w:trHeight w:val="288"/>
          <w:jc w:val="center"/>
        </w:trPr>
        <w:tc>
          <w:tcPr>
            <w:tcW w:w="1160" w:type="dxa"/>
            <w:noWrap/>
            <w:tcMar>
              <w:top w:w="0" w:type="dxa"/>
              <w:left w:w="70" w:type="dxa"/>
              <w:bottom w:w="0" w:type="dxa"/>
              <w:right w:w="70" w:type="dxa"/>
            </w:tcMar>
            <w:vAlign w:val="bottom"/>
            <w:hideMark/>
          </w:tcPr>
          <w:p w14:paraId="23BD968D"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7</w:t>
            </w:r>
          </w:p>
        </w:tc>
        <w:tc>
          <w:tcPr>
            <w:tcW w:w="1340" w:type="dxa"/>
            <w:noWrap/>
            <w:tcMar>
              <w:top w:w="0" w:type="dxa"/>
              <w:left w:w="70" w:type="dxa"/>
              <w:bottom w:w="0" w:type="dxa"/>
              <w:right w:w="70" w:type="dxa"/>
            </w:tcMar>
            <w:vAlign w:val="bottom"/>
            <w:hideMark/>
          </w:tcPr>
          <w:p w14:paraId="3B45588B"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-4.6</w:t>
            </w:r>
          </w:p>
        </w:tc>
      </w:tr>
      <w:tr w:rsidR="00ED7302" w:rsidRPr="00EE0085" w14:paraId="6517567C" w14:textId="77777777" w:rsidTr="00F303C2">
        <w:trPr>
          <w:trHeight w:val="288"/>
          <w:jc w:val="center"/>
        </w:trPr>
        <w:tc>
          <w:tcPr>
            <w:tcW w:w="1160" w:type="dxa"/>
            <w:noWrap/>
            <w:tcMar>
              <w:top w:w="0" w:type="dxa"/>
              <w:left w:w="70" w:type="dxa"/>
              <w:bottom w:w="0" w:type="dxa"/>
              <w:right w:w="70" w:type="dxa"/>
            </w:tcMar>
            <w:vAlign w:val="bottom"/>
            <w:hideMark/>
          </w:tcPr>
          <w:p w14:paraId="5951E5E3"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8</w:t>
            </w:r>
          </w:p>
        </w:tc>
        <w:tc>
          <w:tcPr>
            <w:tcW w:w="1340" w:type="dxa"/>
            <w:noWrap/>
            <w:tcMar>
              <w:top w:w="0" w:type="dxa"/>
              <w:left w:w="70" w:type="dxa"/>
              <w:bottom w:w="0" w:type="dxa"/>
              <w:right w:w="70" w:type="dxa"/>
            </w:tcMar>
            <w:vAlign w:val="bottom"/>
            <w:hideMark/>
          </w:tcPr>
          <w:p w14:paraId="35ED20FD"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-3.6</w:t>
            </w:r>
          </w:p>
        </w:tc>
      </w:tr>
      <w:tr w:rsidR="00ED7302" w:rsidRPr="00EE0085" w14:paraId="050CBA77" w14:textId="77777777" w:rsidTr="00F303C2">
        <w:trPr>
          <w:trHeight w:val="288"/>
          <w:jc w:val="center"/>
        </w:trPr>
        <w:tc>
          <w:tcPr>
            <w:tcW w:w="1160" w:type="dxa"/>
            <w:noWrap/>
            <w:tcMar>
              <w:top w:w="0" w:type="dxa"/>
              <w:left w:w="70" w:type="dxa"/>
              <w:bottom w:w="0" w:type="dxa"/>
              <w:right w:w="70" w:type="dxa"/>
            </w:tcMar>
            <w:vAlign w:val="bottom"/>
            <w:hideMark/>
          </w:tcPr>
          <w:p w14:paraId="4B5DC550"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9</w:t>
            </w:r>
          </w:p>
        </w:tc>
        <w:tc>
          <w:tcPr>
            <w:tcW w:w="1340" w:type="dxa"/>
            <w:noWrap/>
            <w:tcMar>
              <w:top w:w="0" w:type="dxa"/>
              <w:left w:w="70" w:type="dxa"/>
              <w:bottom w:w="0" w:type="dxa"/>
              <w:right w:w="70" w:type="dxa"/>
            </w:tcMar>
            <w:vAlign w:val="bottom"/>
            <w:hideMark/>
          </w:tcPr>
          <w:p w14:paraId="676767F9"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-2.6</w:t>
            </w:r>
          </w:p>
        </w:tc>
      </w:tr>
      <w:tr w:rsidR="00ED7302" w:rsidRPr="00EE0085" w14:paraId="458EEAA8" w14:textId="77777777" w:rsidTr="00F303C2">
        <w:trPr>
          <w:trHeight w:val="288"/>
          <w:jc w:val="center"/>
        </w:trPr>
        <w:tc>
          <w:tcPr>
            <w:tcW w:w="1160" w:type="dxa"/>
            <w:noWrap/>
            <w:tcMar>
              <w:top w:w="0" w:type="dxa"/>
              <w:left w:w="70" w:type="dxa"/>
              <w:bottom w:w="0" w:type="dxa"/>
              <w:right w:w="70" w:type="dxa"/>
            </w:tcMar>
            <w:vAlign w:val="bottom"/>
            <w:hideMark/>
          </w:tcPr>
          <w:p w14:paraId="545A1622"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10</w:t>
            </w:r>
          </w:p>
        </w:tc>
        <w:tc>
          <w:tcPr>
            <w:tcW w:w="1340" w:type="dxa"/>
            <w:noWrap/>
            <w:tcMar>
              <w:top w:w="0" w:type="dxa"/>
              <w:left w:w="70" w:type="dxa"/>
              <w:bottom w:w="0" w:type="dxa"/>
              <w:right w:w="70" w:type="dxa"/>
            </w:tcMar>
            <w:vAlign w:val="bottom"/>
            <w:hideMark/>
          </w:tcPr>
          <w:p w14:paraId="1F100B51"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-1.6</w:t>
            </w:r>
          </w:p>
        </w:tc>
      </w:tr>
      <w:tr w:rsidR="00ED7302" w:rsidRPr="00EE0085" w14:paraId="7C0BA946" w14:textId="77777777" w:rsidTr="00F303C2">
        <w:trPr>
          <w:trHeight w:val="288"/>
          <w:jc w:val="center"/>
        </w:trPr>
        <w:tc>
          <w:tcPr>
            <w:tcW w:w="1160" w:type="dxa"/>
            <w:noWrap/>
            <w:tcMar>
              <w:top w:w="0" w:type="dxa"/>
              <w:left w:w="70" w:type="dxa"/>
              <w:bottom w:w="0" w:type="dxa"/>
              <w:right w:w="70" w:type="dxa"/>
            </w:tcMar>
            <w:vAlign w:val="bottom"/>
            <w:hideMark/>
          </w:tcPr>
          <w:p w14:paraId="16CD0CC5"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11</w:t>
            </w:r>
          </w:p>
        </w:tc>
        <w:tc>
          <w:tcPr>
            <w:tcW w:w="1340" w:type="dxa"/>
            <w:noWrap/>
            <w:tcMar>
              <w:top w:w="0" w:type="dxa"/>
              <w:left w:w="70" w:type="dxa"/>
              <w:bottom w:w="0" w:type="dxa"/>
              <w:right w:w="70" w:type="dxa"/>
            </w:tcMar>
            <w:vAlign w:val="bottom"/>
            <w:hideMark/>
          </w:tcPr>
          <w:p w14:paraId="536F9DF5"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-0.6</w:t>
            </w:r>
          </w:p>
        </w:tc>
      </w:tr>
      <w:tr w:rsidR="00ED7302" w:rsidRPr="00EE0085" w14:paraId="67088696" w14:textId="77777777" w:rsidTr="00F303C2">
        <w:trPr>
          <w:trHeight w:val="288"/>
          <w:jc w:val="center"/>
        </w:trPr>
        <w:tc>
          <w:tcPr>
            <w:tcW w:w="1160" w:type="dxa"/>
            <w:noWrap/>
            <w:tcMar>
              <w:top w:w="0" w:type="dxa"/>
              <w:left w:w="70" w:type="dxa"/>
              <w:bottom w:w="0" w:type="dxa"/>
              <w:right w:w="70" w:type="dxa"/>
            </w:tcMar>
            <w:vAlign w:val="bottom"/>
            <w:hideMark/>
          </w:tcPr>
          <w:p w14:paraId="6669EA7F"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12</w:t>
            </w:r>
          </w:p>
        </w:tc>
        <w:tc>
          <w:tcPr>
            <w:tcW w:w="1340" w:type="dxa"/>
            <w:noWrap/>
            <w:tcMar>
              <w:top w:w="0" w:type="dxa"/>
              <w:left w:w="70" w:type="dxa"/>
              <w:bottom w:w="0" w:type="dxa"/>
              <w:right w:w="70" w:type="dxa"/>
            </w:tcMar>
            <w:vAlign w:val="bottom"/>
            <w:hideMark/>
          </w:tcPr>
          <w:p w14:paraId="085604F3"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0.4</w:t>
            </w:r>
          </w:p>
        </w:tc>
      </w:tr>
      <w:tr w:rsidR="00ED7302" w:rsidRPr="00EE0085" w14:paraId="4DDF2E28" w14:textId="77777777" w:rsidTr="00F303C2">
        <w:trPr>
          <w:trHeight w:val="288"/>
          <w:jc w:val="center"/>
        </w:trPr>
        <w:tc>
          <w:tcPr>
            <w:tcW w:w="1160" w:type="dxa"/>
            <w:noWrap/>
            <w:tcMar>
              <w:top w:w="0" w:type="dxa"/>
              <w:left w:w="70" w:type="dxa"/>
              <w:bottom w:w="0" w:type="dxa"/>
              <w:right w:w="70" w:type="dxa"/>
            </w:tcMar>
            <w:vAlign w:val="bottom"/>
            <w:hideMark/>
          </w:tcPr>
          <w:p w14:paraId="4D201E0E"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13</w:t>
            </w:r>
          </w:p>
        </w:tc>
        <w:tc>
          <w:tcPr>
            <w:tcW w:w="1340" w:type="dxa"/>
            <w:noWrap/>
            <w:tcMar>
              <w:top w:w="0" w:type="dxa"/>
              <w:left w:w="70" w:type="dxa"/>
              <w:bottom w:w="0" w:type="dxa"/>
              <w:right w:w="70" w:type="dxa"/>
            </w:tcMar>
            <w:vAlign w:val="bottom"/>
            <w:hideMark/>
          </w:tcPr>
          <w:p w14:paraId="642DD8B3"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1.4</w:t>
            </w:r>
          </w:p>
        </w:tc>
      </w:tr>
      <w:tr w:rsidR="00ED7302" w:rsidRPr="00EE0085" w14:paraId="14473D15" w14:textId="77777777" w:rsidTr="00F303C2">
        <w:trPr>
          <w:trHeight w:val="288"/>
          <w:jc w:val="center"/>
        </w:trPr>
        <w:tc>
          <w:tcPr>
            <w:tcW w:w="1160" w:type="dxa"/>
            <w:noWrap/>
            <w:tcMar>
              <w:top w:w="0" w:type="dxa"/>
              <w:left w:w="70" w:type="dxa"/>
              <w:bottom w:w="0" w:type="dxa"/>
              <w:right w:w="70" w:type="dxa"/>
            </w:tcMar>
            <w:vAlign w:val="bottom"/>
            <w:hideMark/>
          </w:tcPr>
          <w:p w14:paraId="05FA9A4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14</w:t>
            </w:r>
          </w:p>
        </w:tc>
        <w:tc>
          <w:tcPr>
            <w:tcW w:w="1340" w:type="dxa"/>
            <w:noWrap/>
            <w:tcMar>
              <w:top w:w="0" w:type="dxa"/>
              <w:left w:w="70" w:type="dxa"/>
              <w:bottom w:w="0" w:type="dxa"/>
              <w:right w:w="70" w:type="dxa"/>
            </w:tcMar>
            <w:vAlign w:val="bottom"/>
            <w:hideMark/>
          </w:tcPr>
          <w:p w14:paraId="79FDAF9E"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2.4</w:t>
            </w:r>
          </w:p>
        </w:tc>
      </w:tr>
      <w:tr w:rsidR="00ED7302" w:rsidRPr="00EE0085" w14:paraId="41F51514" w14:textId="77777777" w:rsidTr="00F303C2">
        <w:trPr>
          <w:trHeight w:val="288"/>
          <w:jc w:val="center"/>
        </w:trPr>
        <w:tc>
          <w:tcPr>
            <w:tcW w:w="1160" w:type="dxa"/>
            <w:noWrap/>
            <w:tcMar>
              <w:top w:w="0" w:type="dxa"/>
              <w:left w:w="70" w:type="dxa"/>
              <w:bottom w:w="0" w:type="dxa"/>
              <w:right w:w="70" w:type="dxa"/>
            </w:tcMar>
            <w:vAlign w:val="bottom"/>
            <w:hideMark/>
          </w:tcPr>
          <w:p w14:paraId="0BFF0BB3"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15</w:t>
            </w:r>
          </w:p>
        </w:tc>
        <w:tc>
          <w:tcPr>
            <w:tcW w:w="1340" w:type="dxa"/>
            <w:noWrap/>
            <w:tcMar>
              <w:top w:w="0" w:type="dxa"/>
              <w:left w:w="70" w:type="dxa"/>
              <w:bottom w:w="0" w:type="dxa"/>
              <w:right w:w="70" w:type="dxa"/>
            </w:tcMar>
            <w:vAlign w:val="bottom"/>
            <w:hideMark/>
          </w:tcPr>
          <w:p w14:paraId="527086ED"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3.4</w:t>
            </w:r>
          </w:p>
        </w:tc>
      </w:tr>
      <w:tr w:rsidR="00ED7302" w:rsidRPr="00EE0085" w14:paraId="3A78301A" w14:textId="77777777" w:rsidTr="00F303C2">
        <w:trPr>
          <w:trHeight w:val="288"/>
          <w:jc w:val="center"/>
        </w:trPr>
        <w:tc>
          <w:tcPr>
            <w:tcW w:w="1160" w:type="dxa"/>
            <w:noWrap/>
            <w:tcMar>
              <w:top w:w="0" w:type="dxa"/>
              <w:left w:w="70" w:type="dxa"/>
              <w:bottom w:w="0" w:type="dxa"/>
              <w:right w:w="70" w:type="dxa"/>
            </w:tcMar>
            <w:vAlign w:val="bottom"/>
            <w:hideMark/>
          </w:tcPr>
          <w:p w14:paraId="72367814"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16</w:t>
            </w:r>
          </w:p>
        </w:tc>
        <w:tc>
          <w:tcPr>
            <w:tcW w:w="1340" w:type="dxa"/>
            <w:noWrap/>
            <w:tcMar>
              <w:top w:w="0" w:type="dxa"/>
              <w:left w:w="70" w:type="dxa"/>
              <w:bottom w:w="0" w:type="dxa"/>
              <w:right w:w="70" w:type="dxa"/>
            </w:tcMar>
            <w:vAlign w:val="bottom"/>
            <w:hideMark/>
          </w:tcPr>
          <w:p w14:paraId="2EA992F9"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4.4</w:t>
            </w:r>
          </w:p>
        </w:tc>
      </w:tr>
      <w:tr w:rsidR="00ED7302" w:rsidRPr="00EE0085" w14:paraId="555415BB" w14:textId="77777777" w:rsidTr="00F303C2">
        <w:trPr>
          <w:trHeight w:val="288"/>
          <w:jc w:val="center"/>
        </w:trPr>
        <w:tc>
          <w:tcPr>
            <w:tcW w:w="1160" w:type="dxa"/>
            <w:noWrap/>
            <w:tcMar>
              <w:top w:w="0" w:type="dxa"/>
              <w:left w:w="70" w:type="dxa"/>
              <w:bottom w:w="0" w:type="dxa"/>
              <w:right w:w="70" w:type="dxa"/>
            </w:tcMar>
            <w:vAlign w:val="bottom"/>
            <w:hideMark/>
          </w:tcPr>
          <w:p w14:paraId="2FDA2086"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17</w:t>
            </w:r>
          </w:p>
        </w:tc>
        <w:tc>
          <w:tcPr>
            <w:tcW w:w="1340" w:type="dxa"/>
            <w:noWrap/>
            <w:tcMar>
              <w:top w:w="0" w:type="dxa"/>
              <w:left w:w="70" w:type="dxa"/>
              <w:bottom w:w="0" w:type="dxa"/>
              <w:right w:w="70" w:type="dxa"/>
            </w:tcMar>
            <w:vAlign w:val="bottom"/>
            <w:hideMark/>
          </w:tcPr>
          <w:p w14:paraId="5E1E8EAB"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5.4</w:t>
            </w:r>
          </w:p>
        </w:tc>
      </w:tr>
      <w:tr w:rsidR="00ED7302" w:rsidRPr="00EE0085" w14:paraId="5AFFDB04" w14:textId="77777777" w:rsidTr="00F303C2">
        <w:trPr>
          <w:trHeight w:val="288"/>
          <w:jc w:val="center"/>
        </w:trPr>
        <w:tc>
          <w:tcPr>
            <w:tcW w:w="1160" w:type="dxa"/>
            <w:noWrap/>
            <w:tcMar>
              <w:top w:w="0" w:type="dxa"/>
              <w:left w:w="70" w:type="dxa"/>
              <w:bottom w:w="0" w:type="dxa"/>
              <w:right w:w="70" w:type="dxa"/>
            </w:tcMar>
            <w:vAlign w:val="bottom"/>
            <w:hideMark/>
          </w:tcPr>
          <w:p w14:paraId="15D27815"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18</w:t>
            </w:r>
          </w:p>
        </w:tc>
        <w:tc>
          <w:tcPr>
            <w:tcW w:w="1340" w:type="dxa"/>
            <w:noWrap/>
            <w:tcMar>
              <w:top w:w="0" w:type="dxa"/>
              <w:left w:w="70" w:type="dxa"/>
              <w:bottom w:w="0" w:type="dxa"/>
              <w:right w:w="70" w:type="dxa"/>
            </w:tcMar>
            <w:vAlign w:val="bottom"/>
            <w:hideMark/>
          </w:tcPr>
          <w:p w14:paraId="46558C9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6.4</w:t>
            </w:r>
          </w:p>
        </w:tc>
      </w:tr>
      <w:tr w:rsidR="00ED7302" w:rsidRPr="00EE0085" w14:paraId="260C432A" w14:textId="77777777" w:rsidTr="00F303C2">
        <w:trPr>
          <w:trHeight w:val="288"/>
          <w:jc w:val="center"/>
        </w:trPr>
        <w:tc>
          <w:tcPr>
            <w:tcW w:w="1160" w:type="dxa"/>
            <w:noWrap/>
            <w:tcMar>
              <w:top w:w="0" w:type="dxa"/>
              <w:left w:w="70" w:type="dxa"/>
              <w:bottom w:w="0" w:type="dxa"/>
              <w:right w:w="70" w:type="dxa"/>
            </w:tcMar>
            <w:vAlign w:val="bottom"/>
            <w:hideMark/>
          </w:tcPr>
          <w:p w14:paraId="248217F3"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19</w:t>
            </w:r>
          </w:p>
        </w:tc>
        <w:tc>
          <w:tcPr>
            <w:tcW w:w="1340" w:type="dxa"/>
            <w:noWrap/>
            <w:tcMar>
              <w:top w:w="0" w:type="dxa"/>
              <w:left w:w="70" w:type="dxa"/>
              <w:bottom w:w="0" w:type="dxa"/>
              <w:right w:w="70" w:type="dxa"/>
            </w:tcMar>
            <w:vAlign w:val="bottom"/>
            <w:hideMark/>
          </w:tcPr>
          <w:p w14:paraId="2DDD838B"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7.4</w:t>
            </w:r>
          </w:p>
        </w:tc>
      </w:tr>
      <w:tr w:rsidR="00ED7302" w:rsidRPr="00EE0085" w14:paraId="78D2B065" w14:textId="77777777" w:rsidTr="00F303C2">
        <w:trPr>
          <w:trHeight w:val="288"/>
          <w:jc w:val="center"/>
        </w:trPr>
        <w:tc>
          <w:tcPr>
            <w:tcW w:w="1160" w:type="dxa"/>
            <w:noWrap/>
            <w:tcMar>
              <w:top w:w="0" w:type="dxa"/>
              <w:left w:w="70" w:type="dxa"/>
              <w:bottom w:w="0" w:type="dxa"/>
              <w:right w:w="70" w:type="dxa"/>
            </w:tcMar>
            <w:vAlign w:val="bottom"/>
            <w:hideMark/>
          </w:tcPr>
          <w:p w14:paraId="3F7969AA"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20</w:t>
            </w:r>
          </w:p>
        </w:tc>
        <w:tc>
          <w:tcPr>
            <w:tcW w:w="1340" w:type="dxa"/>
            <w:noWrap/>
            <w:tcMar>
              <w:top w:w="0" w:type="dxa"/>
              <w:left w:w="70" w:type="dxa"/>
              <w:bottom w:w="0" w:type="dxa"/>
              <w:right w:w="70" w:type="dxa"/>
            </w:tcMar>
            <w:vAlign w:val="bottom"/>
            <w:hideMark/>
          </w:tcPr>
          <w:p w14:paraId="2FD77C92" w14:textId="77777777" w:rsidR="00ED7302" w:rsidRPr="000C06F9" w:rsidRDefault="00ED7302" w:rsidP="00F303C2">
            <w:pPr>
              <w:jc w:val="right"/>
              <w:rPr>
                <w:rFonts w:ascii="Arial" w:hAnsi="Arial" w:cs="Arial"/>
                <w:color w:val="000000"/>
                <w:lang w:eastAsia="fr-CH"/>
              </w:rPr>
            </w:pPr>
            <w:r w:rsidRPr="000C06F9">
              <w:rPr>
                <w:rFonts w:ascii="Arial" w:hAnsi="Arial" w:cs="Arial"/>
                <w:color w:val="000000"/>
                <w:lang w:eastAsia="fr-CH"/>
              </w:rPr>
              <w:t>8.4</w:t>
            </w:r>
          </w:p>
        </w:tc>
      </w:tr>
    </w:tbl>
    <w:p w14:paraId="45C61E35" w14:textId="77777777" w:rsidR="00ED7302" w:rsidRPr="000C06F9" w:rsidRDefault="00ED7302" w:rsidP="00ED7302">
      <w:pPr>
        <w:rPr>
          <w:rFonts w:ascii="Arial" w:hAnsi="Arial" w:cs="Arial"/>
        </w:rPr>
      </w:pPr>
    </w:p>
    <w:p w14:paraId="5C81B97C" w14:textId="3ABF170F" w:rsidR="00ED7302" w:rsidRPr="000C06F9" w:rsidRDefault="00ED7302" w:rsidP="007319A0">
      <w:pPr>
        <w:jc w:val="both"/>
        <w:rPr>
          <w:rFonts w:ascii="Arial" w:hAnsi="Arial" w:cs="Arial"/>
          <w:lang w:val="en-US"/>
        </w:rPr>
      </w:pPr>
      <w:r w:rsidRPr="000C06F9">
        <w:rPr>
          <w:rFonts w:ascii="Arial" w:hAnsi="Arial" w:cs="Arial"/>
          <w:lang w:val="en-US"/>
        </w:rPr>
        <w:t>As expected, these protection ratios increase significantly</w:t>
      </w:r>
      <w:r w:rsidR="00F22639">
        <w:rPr>
          <w:rFonts w:ascii="Arial" w:hAnsi="Arial" w:cs="Arial"/>
          <w:lang w:val="en-US"/>
        </w:rPr>
        <w:t>, by around 21 dB,</w:t>
      </w:r>
      <w:r>
        <w:rPr>
          <w:rFonts w:ascii="Arial" w:hAnsi="Arial" w:cs="Arial"/>
          <w:lang w:val="en-US"/>
        </w:rPr>
        <w:t xml:space="preserve"> compared to the results with ACLR of 42 dB or more</w:t>
      </w:r>
      <w:r w:rsidRPr="000C06F9">
        <w:rPr>
          <w:rFonts w:ascii="Arial" w:hAnsi="Arial" w:cs="Arial"/>
          <w:lang w:val="en-US"/>
        </w:rPr>
        <w:t xml:space="preserve">. For a 5G </w:t>
      </w:r>
      <w:r w:rsidR="007319A0">
        <w:rPr>
          <w:rFonts w:ascii="Arial" w:hAnsi="Arial" w:cs="Arial"/>
          <w:lang w:val="en-US"/>
        </w:rPr>
        <w:t>B</w:t>
      </w:r>
      <w:r w:rsidRPr="000C06F9">
        <w:rPr>
          <w:rFonts w:ascii="Arial" w:hAnsi="Arial" w:cs="Arial"/>
          <w:lang w:val="en-US"/>
        </w:rPr>
        <w:t xml:space="preserve">roadcast </w:t>
      </w:r>
      <w:r w:rsidR="007319A0">
        <w:rPr>
          <w:rFonts w:ascii="Arial" w:hAnsi="Arial" w:cs="Arial"/>
          <w:lang w:val="en-US"/>
        </w:rPr>
        <w:t xml:space="preserve">MCS </w:t>
      </w:r>
      <w:r w:rsidRPr="000C06F9">
        <w:rPr>
          <w:rFonts w:ascii="Arial" w:hAnsi="Arial" w:cs="Arial"/>
          <w:lang w:val="en-US"/>
        </w:rPr>
        <w:t xml:space="preserve">with 8 dB C/N, the adjacent channel protection ratio becomes -3.6 dB (it was -25 dB with an 8 MHz channel filter). This would </w:t>
      </w:r>
      <w:r w:rsidR="00737791">
        <w:rPr>
          <w:rFonts w:ascii="Arial" w:hAnsi="Arial" w:cs="Arial"/>
          <w:lang w:val="en-US"/>
        </w:rPr>
        <w:t xml:space="preserve">significantly </w:t>
      </w:r>
      <w:r w:rsidRPr="000C06F9">
        <w:rPr>
          <w:rFonts w:ascii="Arial" w:hAnsi="Arial" w:cs="Arial"/>
          <w:lang w:val="en-US"/>
        </w:rPr>
        <w:t xml:space="preserve">increase the risk of impact on 5G Broadcast coverage in quite large areas </w:t>
      </w:r>
      <w:r w:rsidR="00737791">
        <w:rPr>
          <w:rFonts w:ascii="Arial" w:hAnsi="Arial" w:cs="Arial"/>
          <w:lang w:val="en-US"/>
        </w:rPr>
        <w:t>from</w:t>
      </w:r>
      <w:r w:rsidR="00737791" w:rsidRPr="000C06F9">
        <w:rPr>
          <w:rFonts w:ascii="Arial" w:hAnsi="Arial" w:cs="Arial"/>
          <w:lang w:val="en-US"/>
        </w:rPr>
        <w:t xml:space="preserve"> </w:t>
      </w:r>
      <w:r w:rsidRPr="000C06F9">
        <w:rPr>
          <w:rFonts w:ascii="Arial" w:hAnsi="Arial" w:cs="Arial"/>
          <w:lang w:val="en-US"/>
        </w:rPr>
        <w:t>non-co-sited DTT transmitters using the first adjacent channel.</w:t>
      </w:r>
    </w:p>
    <w:p w14:paraId="5D3E5C8A" w14:textId="77777777" w:rsidR="00ED7302" w:rsidRPr="00ED7302" w:rsidRDefault="00ED7302" w:rsidP="00ED7302">
      <w:pPr>
        <w:jc w:val="both"/>
        <w:rPr>
          <w:rFonts w:ascii="Arial" w:hAnsi="Arial" w:cs="Arial"/>
          <w:lang w:val="en-US"/>
        </w:rPr>
      </w:pPr>
    </w:p>
    <w:p w14:paraId="6BAD3E85" w14:textId="77777777" w:rsidR="00ED7302" w:rsidRPr="000C06F9" w:rsidRDefault="00ED7302" w:rsidP="00ED7302">
      <w:pPr>
        <w:jc w:val="both"/>
        <w:rPr>
          <w:rFonts w:ascii="Arial" w:hAnsi="Arial" w:cs="Arial"/>
          <w:sz w:val="22"/>
        </w:rPr>
      </w:pPr>
    </w:p>
    <w:p w14:paraId="4366D58E" w14:textId="77777777" w:rsidR="00ED7302" w:rsidRPr="00ED7302" w:rsidRDefault="00ED7302" w:rsidP="00ED7302">
      <w:pPr>
        <w:jc w:val="both"/>
        <w:rPr>
          <w:rFonts w:ascii="Arial" w:hAnsi="Arial" w:cs="Arial"/>
        </w:rPr>
      </w:pPr>
    </w:p>
    <w:sectPr w:rsidR="00ED7302" w:rsidRPr="00ED730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5A715" w14:textId="77777777" w:rsidR="00A500EB" w:rsidRDefault="00A500EB" w:rsidP="009C3810">
      <w:pPr>
        <w:spacing w:after="0"/>
      </w:pPr>
      <w:r>
        <w:separator/>
      </w:r>
    </w:p>
  </w:endnote>
  <w:endnote w:type="continuationSeparator" w:id="0">
    <w:p w14:paraId="0B21EA5F" w14:textId="77777777" w:rsidR="00A500EB" w:rsidRDefault="00A500EB" w:rsidP="009C3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A39DC" w14:textId="77777777" w:rsidR="00A500EB" w:rsidRDefault="00A500EB" w:rsidP="009C3810">
      <w:pPr>
        <w:spacing w:after="0"/>
      </w:pPr>
      <w:r>
        <w:separator/>
      </w:r>
    </w:p>
  </w:footnote>
  <w:footnote w:type="continuationSeparator" w:id="0">
    <w:p w14:paraId="470F5D91" w14:textId="77777777" w:rsidR="00A500EB" w:rsidRDefault="00A500EB" w:rsidP="009C3810">
      <w:pPr>
        <w:spacing w:after="0"/>
      </w:pPr>
      <w:r>
        <w:continuationSeparator/>
      </w:r>
    </w:p>
  </w:footnote>
  <w:footnote w:id="1">
    <w:p w14:paraId="6F0CD742" w14:textId="640C7B89" w:rsidR="00F303C2" w:rsidRPr="008C46D0" w:rsidRDefault="00F303C2" w:rsidP="008C46D0">
      <w:pPr>
        <w:pStyle w:val="Funotentext"/>
        <w:ind w:left="142" w:hanging="142"/>
        <w:jc w:val="both"/>
        <w:rPr>
          <w:rFonts w:ascii="Arial" w:hAnsi="Arial" w:cs="Arial"/>
        </w:rPr>
      </w:pPr>
      <w:r w:rsidRPr="008C46D0">
        <w:rPr>
          <w:rStyle w:val="Funotenzeichen"/>
          <w:rFonts w:ascii="Arial" w:hAnsi="Arial" w:cs="Arial"/>
        </w:rPr>
        <w:footnoteRef/>
      </w:r>
      <w:r w:rsidRPr="008C46D0">
        <w:rPr>
          <w:rFonts w:ascii="Arial" w:hAnsi="Arial" w:cs="Arial"/>
        </w:rPr>
        <w:t xml:space="preserve"> According to EN 302 396, the ACLR (Adjacent Channel Leakage Ratio) is defined as the ratio of the wanted mean power of the DVB-T/T2 signal to the unwanted mean power measured in the receiver bandwidth of a given adjacent victim service. This is in line with the definition of ACLR in 3GPP ts136101v170600p.</w:t>
      </w:r>
    </w:p>
  </w:footnote>
  <w:footnote w:id="2">
    <w:p w14:paraId="1417CB75" w14:textId="34EE0DDB" w:rsidR="00F303C2" w:rsidRPr="008C46D0" w:rsidRDefault="00F303C2" w:rsidP="008C46D0">
      <w:pPr>
        <w:pStyle w:val="Funotentext"/>
        <w:ind w:left="142" w:hanging="142"/>
        <w:jc w:val="both"/>
      </w:pPr>
      <w:r>
        <w:rPr>
          <w:rStyle w:val="Funotenzeichen"/>
        </w:rPr>
        <w:footnoteRef/>
      </w:r>
      <w:r>
        <w:t xml:space="preserve"> </w:t>
      </w:r>
      <w:r w:rsidRPr="008C46D0">
        <w:rPr>
          <w:rFonts w:ascii="Arial" w:hAnsi="Arial" w:cs="Arial"/>
          <w:lang w:val="en-US"/>
        </w:rPr>
        <w:t>According to 3GPP ts136101v170600p, the ACS is defined as the ratio of the receive filter attenuation on the assigned frequency to the receive filter attenuation on the adjacent channel(s).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445488F"/>
    <w:multiLevelType w:val="hybridMultilevel"/>
    <w:tmpl w:val="B5784F0E"/>
    <w:lvl w:ilvl="0" w:tplc="F8266002">
      <w:start w:val="1"/>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B61A92"/>
    <w:multiLevelType w:val="hybridMultilevel"/>
    <w:tmpl w:val="FA16D276"/>
    <w:lvl w:ilvl="0" w:tplc="81CA8378">
      <w:start w:val="4"/>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8F77A9"/>
    <w:multiLevelType w:val="hybridMultilevel"/>
    <w:tmpl w:val="ABCA06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E85E41"/>
    <w:multiLevelType w:val="hybridMultilevel"/>
    <w:tmpl w:val="F3803D92"/>
    <w:lvl w:ilvl="0" w:tplc="61DCBB2A">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cs="Times New Roman" w:hint="default"/>
      </w:rPr>
    </w:lvl>
    <w:lvl w:ilvl="1" w:tplc="D01AFE16">
      <w:numFmt w:val="bullet"/>
      <w:lvlText w:val="•"/>
      <w:lvlJc w:val="left"/>
      <w:pPr>
        <w:tabs>
          <w:tab w:val="num" w:pos="1440"/>
        </w:tabs>
        <w:ind w:left="1440" w:hanging="360"/>
      </w:pPr>
      <w:rPr>
        <w:rFonts w:ascii="Arial" w:hAnsi="Arial" w:cs="Times New Roman" w:hint="default"/>
      </w:rPr>
    </w:lvl>
    <w:lvl w:ilvl="2" w:tplc="52A0324E">
      <w:numFmt w:val="bullet"/>
      <w:lvlText w:val="•"/>
      <w:lvlJc w:val="left"/>
      <w:pPr>
        <w:tabs>
          <w:tab w:val="num" w:pos="2160"/>
        </w:tabs>
        <w:ind w:left="2160" w:hanging="360"/>
      </w:pPr>
      <w:rPr>
        <w:rFonts w:ascii="Microsoft Sans Serif" w:hAnsi="Microsoft Sans Serif" w:cs="Times New Roman" w:hint="default"/>
      </w:rPr>
    </w:lvl>
    <w:lvl w:ilvl="3" w:tplc="37005B5E">
      <w:numFmt w:val="bullet"/>
      <w:lvlText w:val="•"/>
      <w:lvlJc w:val="left"/>
      <w:pPr>
        <w:tabs>
          <w:tab w:val="num" w:pos="2880"/>
        </w:tabs>
        <w:ind w:left="2880" w:hanging="360"/>
      </w:pPr>
      <w:rPr>
        <w:rFonts w:ascii="Arial" w:hAnsi="Arial" w:cs="Times New Roman" w:hint="default"/>
      </w:rPr>
    </w:lvl>
    <w:lvl w:ilvl="4" w:tplc="96A265C2">
      <w:start w:val="1"/>
      <w:numFmt w:val="bullet"/>
      <w:lvlText w:val="•"/>
      <w:lvlJc w:val="left"/>
      <w:pPr>
        <w:tabs>
          <w:tab w:val="num" w:pos="3600"/>
        </w:tabs>
        <w:ind w:left="3600" w:hanging="360"/>
      </w:pPr>
      <w:rPr>
        <w:rFonts w:ascii="Arial" w:hAnsi="Arial" w:cs="Times New Roman" w:hint="default"/>
      </w:rPr>
    </w:lvl>
    <w:lvl w:ilvl="5" w:tplc="5CE8A37A">
      <w:start w:val="1"/>
      <w:numFmt w:val="bullet"/>
      <w:lvlText w:val="•"/>
      <w:lvlJc w:val="left"/>
      <w:pPr>
        <w:tabs>
          <w:tab w:val="num" w:pos="4320"/>
        </w:tabs>
        <w:ind w:left="4320" w:hanging="360"/>
      </w:pPr>
      <w:rPr>
        <w:rFonts w:ascii="Arial" w:hAnsi="Arial" w:cs="Times New Roman" w:hint="default"/>
      </w:rPr>
    </w:lvl>
    <w:lvl w:ilvl="6" w:tplc="06AA178A">
      <w:start w:val="1"/>
      <w:numFmt w:val="bullet"/>
      <w:lvlText w:val="•"/>
      <w:lvlJc w:val="left"/>
      <w:pPr>
        <w:tabs>
          <w:tab w:val="num" w:pos="5040"/>
        </w:tabs>
        <w:ind w:left="5040" w:hanging="360"/>
      </w:pPr>
      <w:rPr>
        <w:rFonts w:ascii="Arial" w:hAnsi="Arial" w:cs="Times New Roman" w:hint="default"/>
      </w:rPr>
    </w:lvl>
    <w:lvl w:ilvl="7" w:tplc="6A941500">
      <w:start w:val="1"/>
      <w:numFmt w:val="bullet"/>
      <w:lvlText w:val="•"/>
      <w:lvlJc w:val="left"/>
      <w:pPr>
        <w:tabs>
          <w:tab w:val="num" w:pos="5760"/>
        </w:tabs>
        <w:ind w:left="5760" w:hanging="360"/>
      </w:pPr>
      <w:rPr>
        <w:rFonts w:ascii="Arial" w:hAnsi="Arial" w:cs="Times New Roman" w:hint="default"/>
      </w:rPr>
    </w:lvl>
    <w:lvl w:ilvl="8" w:tplc="F25EC1D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C71F89"/>
    <w:multiLevelType w:val="hybridMultilevel"/>
    <w:tmpl w:val="0504B5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4F7983"/>
    <w:multiLevelType w:val="hybridMultilevel"/>
    <w:tmpl w:val="04E29754"/>
    <w:lvl w:ilvl="0" w:tplc="F6E2C996">
      <w:start w:val="4"/>
      <w:numFmt w:val="bullet"/>
      <w:lvlText w:val="-"/>
      <w:lvlJc w:val="left"/>
      <w:pPr>
        <w:ind w:left="16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9" w15:restartNumberingAfterBreak="0">
    <w:nsid w:val="65315EFA"/>
    <w:multiLevelType w:val="hybridMultilevel"/>
    <w:tmpl w:val="E19CA1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F93202C"/>
    <w:multiLevelType w:val="hybridMultilevel"/>
    <w:tmpl w:val="69100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492BC8"/>
    <w:multiLevelType w:val="hybridMultilevel"/>
    <w:tmpl w:val="0E7AB790"/>
    <w:lvl w:ilvl="0" w:tplc="0407000F">
      <w:start w:val="1"/>
      <w:numFmt w:val="decimal"/>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6F97D0C"/>
    <w:multiLevelType w:val="hybridMultilevel"/>
    <w:tmpl w:val="F50A1B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AAB4681"/>
    <w:multiLevelType w:val="hybridMultilevel"/>
    <w:tmpl w:val="AC1A07F0"/>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DE63C6"/>
    <w:multiLevelType w:val="hybridMultilevel"/>
    <w:tmpl w:val="DEF03172"/>
    <w:lvl w:ilvl="0" w:tplc="68261616">
      <w:start w:val="6"/>
      <w:numFmt w:val="decimal"/>
      <w:lvlText w:val="%1."/>
      <w:lvlJc w:val="left"/>
      <w:pPr>
        <w:ind w:left="72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16cid:durableId="366099864">
    <w:abstractNumId w:val="14"/>
  </w:num>
  <w:num w:numId="2" w16cid:durableId="2042582249">
    <w:abstractNumId w:val="8"/>
  </w:num>
  <w:num w:numId="3" w16cid:durableId="1055466940">
    <w:abstractNumId w:val="5"/>
  </w:num>
  <w:num w:numId="4" w16cid:durableId="1676567905">
    <w:abstractNumId w:val="11"/>
  </w:num>
  <w:num w:numId="5" w16cid:durableId="890457013">
    <w:abstractNumId w:val="20"/>
  </w:num>
  <w:num w:numId="6" w16cid:durableId="1887719470">
    <w:abstractNumId w:val="7"/>
  </w:num>
  <w:num w:numId="7" w16cid:durableId="513113051">
    <w:abstractNumId w:val="1"/>
  </w:num>
  <w:num w:numId="8" w16cid:durableId="776102346">
    <w:abstractNumId w:val="17"/>
  </w:num>
  <w:num w:numId="9" w16cid:durableId="2007709792">
    <w:abstractNumId w:val="26"/>
  </w:num>
  <w:num w:numId="10" w16cid:durableId="1674913736">
    <w:abstractNumId w:val="15"/>
  </w:num>
  <w:num w:numId="11" w16cid:durableId="68963156">
    <w:abstractNumId w:val="16"/>
  </w:num>
  <w:num w:numId="12" w16cid:durableId="346520003">
    <w:abstractNumId w:val="16"/>
  </w:num>
  <w:num w:numId="13" w16cid:durableId="1507133594">
    <w:abstractNumId w:val="10"/>
  </w:num>
  <w:num w:numId="14" w16cid:durableId="1475247637">
    <w:abstractNumId w:val="23"/>
  </w:num>
  <w:num w:numId="15" w16cid:durableId="1548223862">
    <w:abstractNumId w:val="13"/>
  </w:num>
  <w:num w:numId="16" w16cid:durableId="1802647045">
    <w:abstractNumId w:val="6"/>
  </w:num>
  <w:num w:numId="17" w16cid:durableId="2067141064">
    <w:abstractNumId w:val="0"/>
  </w:num>
  <w:num w:numId="18" w16cid:durableId="1159155663">
    <w:abstractNumId w:val="18"/>
  </w:num>
  <w:num w:numId="19" w16cid:durableId="197857860">
    <w:abstractNumId w:val="27"/>
  </w:num>
  <w:num w:numId="20" w16cid:durableId="2044674808">
    <w:abstractNumId w:val="22"/>
  </w:num>
  <w:num w:numId="21" w16cid:durableId="508830380">
    <w:abstractNumId w:val="12"/>
  </w:num>
  <w:num w:numId="22" w16cid:durableId="2138646772">
    <w:abstractNumId w:val="4"/>
  </w:num>
  <w:num w:numId="23" w16cid:durableId="1481270994">
    <w:abstractNumId w:val="2"/>
  </w:num>
  <w:num w:numId="24" w16cid:durableId="228728706">
    <w:abstractNumId w:val="9"/>
  </w:num>
  <w:num w:numId="25" w16cid:durableId="2037272808">
    <w:abstractNumId w:val="21"/>
  </w:num>
  <w:num w:numId="26" w16cid:durableId="1657760549">
    <w:abstractNumId w:val="19"/>
  </w:num>
  <w:num w:numId="27" w16cid:durableId="572276570">
    <w:abstractNumId w:val="24"/>
  </w:num>
  <w:num w:numId="28" w16cid:durableId="85007019">
    <w:abstractNumId w:val="3"/>
  </w:num>
  <w:num w:numId="29" w16cid:durableId="1433354605">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70F"/>
    <w:rsid w:val="0000121D"/>
    <w:rsid w:val="0000124E"/>
    <w:rsid w:val="00002B95"/>
    <w:rsid w:val="000035D7"/>
    <w:rsid w:val="000042E1"/>
    <w:rsid w:val="000046A6"/>
    <w:rsid w:val="00004FC4"/>
    <w:rsid w:val="00007F05"/>
    <w:rsid w:val="0001019D"/>
    <w:rsid w:val="00012A34"/>
    <w:rsid w:val="00012A7B"/>
    <w:rsid w:val="0001362F"/>
    <w:rsid w:val="00014A9E"/>
    <w:rsid w:val="00016708"/>
    <w:rsid w:val="00016B97"/>
    <w:rsid w:val="00017352"/>
    <w:rsid w:val="000175AC"/>
    <w:rsid w:val="000203CC"/>
    <w:rsid w:val="0002121E"/>
    <w:rsid w:val="0002143A"/>
    <w:rsid w:val="00021CED"/>
    <w:rsid w:val="00022941"/>
    <w:rsid w:val="000235E9"/>
    <w:rsid w:val="00026030"/>
    <w:rsid w:val="000262B9"/>
    <w:rsid w:val="00026D88"/>
    <w:rsid w:val="00031D75"/>
    <w:rsid w:val="000323CD"/>
    <w:rsid w:val="00032669"/>
    <w:rsid w:val="000330D5"/>
    <w:rsid w:val="000339AA"/>
    <w:rsid w:val="000368E9"/>
    <w:rsid w:val="00037A84"/>
    <w:rsid w:val="0004180B"/>
    <w:rsid w:val="000428D1"/>
    <w:rsid w:val="00044027"/>
    <w:rsid w:val="00044D83"/>
    <w:rsid w:val="000454A9"/>
    <w:rsid w:val="00046DDD"/>
    <w:rsid w:val="00047203"/>
    <w:rsid w:val="0004772E"/>
    <w:rsid w:val="00047781"/>
    <w:rsid w:val="00050807"/>
    <w:rsid w:val="000513F8"/>
    <w:rsid w:val="000514BA"/>
    <w:rsid w:val="000524CA"/>
    <w:rsid w:val="0005452D"/>
    <w:rsid w:val="0005462B"/>
    <w:rsid w:val="00054FC2"/>
    <w:rsid w:val="000551C4"/>
    <w:rsid w:val="00055C44"/>
    <w:rsid w:val="00057ED0"/>
    <w:rsid w:val="0006136D"/>
    <w:rsid w:val="00061460"/>
    <w:rsid w:val="00062E39"/>
    <w:rsid w:val="000633C9"/>
    <w:rsid w:val="000634C9"/>
    <w:rsid w:val="00064362"/>
    <w:rsid w:val="00064C6C"/>
    <w:rsid w:val="00064D25"/>
    <w:rsid w:val="00065FBC"/>
    <w:rsid w:val="00066999"/>
    <w:rsid w:val="00066A37"/>
    <w:rsid w:val="00066E80"/>
    <w:rsid w:val="00070AD8"/>
    <w:rsid w:val="00071F6F"/>
    <w:rsid w:val="00072480"/>
    <w:rsid w:val="00072A56"/>
    <w:rsid w:val="000736FF"/>
    <w:rsid w:val="00073894"/>
    <w:rsid w:val="00074269"/>
    <w:rsid w:val="00074E7D"/>
    <w:rsid w:val="000754C2"/>
    <w:rsid w:val="00076BC6"/>
    <w:rsid w:val="00077EB3"/>
    <w:rsid w:val="00080712"/>
    <w:rsid w:val="00080A57"/>
    <w:rsid w:val="000820D9"/>
    <w:rsid w:val="00083056"/>
    <w:rsid w:val="00083964"/>
    <w:rsid w:val="00084322"/>
    <w:rsid w:val="00084DCA"/>
    <w:rsid w:val="000872D5"/>
    <w:rsid w:val="000879F3"/>
    <w:rsid w:val="00087E7A"/>
    <w:rsid w:val="000908D9"/>
    <w:rsid w:val="000926B4"/>
    <w:rsid w:val="00092945"/>
    <w:rsid w:val="00093B4D"/>
    <w:rsid w:val="00094B44"/>
    <w:rsid w:val="00095874"/>
    <w:rsid w:val="00096835"/>
    <w:rsid w:val="00097642"/>
    <w:rsid w:val="000A01CA"/>
    <w:rsid w:val="000A1A57"/>
    <w:rsid w:val="000A1A9D"/>
    <w:rsid w:val="000A210A"/>
    <w:rsid w:val="000A2940"/>
    <w:rsid w:val="000A3E2A"/>
    <w:rsid w:val="000A3F28"/>
    <w:rsid w:val="000A5016"/>
    <w:rsid w:val="000A567D"/>
    <w:rsid w:val="000A56D4"/>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6A7A"/>
    <w:rsid w:val="000B7218"/>
    <w:rsid w:val="000C00D9"/>
    <w:rsid w:val="000C0457"/>
    <w:rsid w:val="000C16BF"/>
    <w:rsid w:val="000C39B0"/>
    <w:rsid w:val="000C41C8"/>
    <w:rsid w:val="000C532A"/>
    <w:rsid w:val="000C54C4"/>
    <w:rsid w:val="000C60D1"/>
    <w:rsid w:val="000C62EC"/>
    <w:rsid w:val="000C678D"/>
    <w:rsid w:val="000C6C14"/>
    <w:rsid w:val="000C6DF1"/>
    <w:rsid w:val="000D076F"/>
    <w:rsid w:val="000D0FE7"/>
    <w:rsid w:val="000D18EC"/>
    <w:rsid w:val="000D1BAA"/>
    <w:rsid w:val="000D2128"/>
    <w:rsid w:val="000D2CE5"/>
    <w:rsid w:val="000D31EF"/>
    <w:rsid w:val="000D3FEF"/>
    <w:rsid w:val="000D406F"/>
    <w:rsid w:val="000D4998"/>
    <w:rsid w:val="000D4F7E"/>
    <w:rsid w:val="000D658F"/>
    <w:rsid w:val="000D7CA5"/>
    <w:rsid w:val="000E0A10"/>
    <w:rsid w:val="000E1B7E"/>
    <w:rsid w:val="000E26BD"/>
    <w:rsid w:val="000E406C"/>
    <w:rsid w:val="000E4512"/>
    <w:rsid w:val="000E596C"/>
    <w:rsid w:val="000E598C"/>
    <w:rsid w:val="000E62A6"/>
    <w:rsid w:val="000E6942"/>
    <w:rsid w:val="000E7126"/>
    <w:rsid w:val="000E7763"/>
    <w:rsid w:val="000E782B"/>
    <w:rsid w:val="000E7C04"/>
    <w:rsid w:val="000E7C89"/>
    <w:rsid w:val="000E7EF8"/>
    <w:rsid w:val="000F0944"/>
    <w:rsid w:val="000F1498"/>
    <w:rsid w:val="000F2985"/>
    <w:rsid w:val="000F428C"/>
    <w:rsid w:val="000F4FB3"/>
    <w:rsid w:val="000F4FE1"/>
    <w:rsid w:val="000F502F"/>
    <w:rsid w:val="000F519D"/>
    <w:rsid w:val="000F62DE"/>
    <w:rsid w:val="000F65D1"/>
    <w:rsid w:val="000F6965"/>
    <w:rsid w:val="000F6CEE"/>
    <w:rsid w:val="000F7B37"/>
    <w:rsid w:val="000F7C30"/>
    <w:rsid w:val="000F7ECB"/>
    <w:rsid w:val="000F7EDC"/>
    <w:rsid w:val="00100B99"/>
    <w:rsid w:val="00100C2A"/>
    <w:rsid w:val="00100EC2"/>
    <w:rsid w:val="00101522"/>
    <w:rsid w:val="001015AF"/>
    <w:rsid w:val="0010265F"/>
    <w:rsid w:val="001029C9"/>
    <w:rsid w:val="00102C0E"/>
    <w:rsid w:val="00103EB6"/>
    <w:rsid w:val="00104524"/>
    <w:rsid w:val="0010482F"/>
    <w:rsid w:val="00104902"/>
    <w:rsid w:val="0010618D"/>
    <w:rsid w:val="0010635E"/>
    <w:rsid w:val="00106376"/>
    <w:rsid w:val="00106F7A"/>
    <w:rsid w:val="0011060D"/>
    <w:rsid w:val="00111E00"/>
    <w:rsid w:val="00111E6B"/>
    <w:rsid w:val="00112950"/>
    <w:rsid w:val="001139A8"/>
    <w:rsid w:val="00113E7F"/>
    <w:rsid w:val="00116429"/>
    <w:rsid w:val="00116E5E"/>
    <w:rsid w:val="00116F21"/>
    <w:rsid w:val="00120BA2"/>
    <w:rsid w:val="00120BF1"/>
    <w:rsid w:val="001214AE"/>
    <w:rsid w:val="0012188A"/>
    <w:rsid w:val="00121ED3"/>
    <w:rsid w:val="00122190"/>
    <w:rsid w:val="001221C9"/>
    <w:rsid w:val="0012277A"/>
    <w:rsid w:val="00122E04"/>
    <w:rsid w:val="0012315C"/>
    <w:rsid w:val="00123DB3"/>
    <w:rsid w:val="001241DD"/>
    <w:rsid w:val="0012444A"/>
    <w:rsid w:val="001257E5"/>
    <w:rsid w:val="001258F1"/>
    <w:rsid w:val="00125E6E"/>
    <w:rsid w:val="0012615B"/>
    <w:rsid w:val="00126E1A"/>
    <w:rsid w:val="00127A2B"/>
    <w:rsid w:val="00130605"/>
    <w:rsid w:val="00131AFF"/>
    <w:rsid w:val="00131C7C"/>
    <w:rsid w:val="00132CD5"/>
    <w:rsid w:val="00132DD3"/>
    <w:rsid w:val="00134706"/>
    <w:rsid w:val="00134856"/>
    <w:rsid w:val="001351EB"/>
    <w:rsid w:val="00135946"/>
    <w:rsid w:val="00135A74"/>
    <w:rsid w:val="00135BA1"/>
    <w:rsid w:val="00135E50"/>
    <w:rsid w:val="00136137"/>
    <w:rsid w:val="00136E93"/>
    <w:rsid w:val="0014180B"/>
    <w:rsid w:val="00142B6C"/>
    <w:rsid w:val="00144414"/>
    <w:rsid w:val="00144F64"/>
    <w:rsid w:val="00144F7C"/>
    <w:rsid w:val="00144FDD"/>
    <w:rsid w:val="001464CC"/>
    <w:rsid w:val="001477A7"/>
    <w:rsid w:val="001512D7"/>
    <w:rsid w:val="00151574"/>
    <w:rsid w:val="00152246"/>
    <w:rsid w:val="0015310D"/>
    <w:rsid w:val="001532E5"/>
    <w:rsid w:val="0015336A"/>
    <w:rsid w:val="0015406D"/>
    <w:rsid w:val="00155DD3"/>
    <w:rsid w:val="00156052"/>
    <w:rsid w:val="00156235"/>
    <w:rsid w:val="00156359"/>
    <w:rsid w:val="00156C9F"/>
    <w:rsid w:val="00156FF8"/>
    <w:rsid w:val="001573DA"/>
    <w:rsid w:val="001600C2"/>
    <w:rsid w:val="001614BB"/>
    <w:rsid w:val="00161C73"/>
    <w:rsid w:val="0016323F"/>
    <w:rsid w:val="00164A0D"/>
    <w:rsid w:val="00166494"/>
    <w:rsid w:val="00166E70"/>
    <w:rsid w:val="0017059D"/>
    <w:rsid w:val="00170A24"/>
    <w:rsid w:val="00170DB5"/>
    <w:rsid w:val="00170F29"/>
    <w:rsid w:val="00171914"/>
    <w:rsid w:val="001727DA"/>
    <w:rsid w:val="001729D8"/>
    <w:rsid w:val="001737B8"/>
    <w:rsid w:val="00174014"/>
    <w:rsid w:val="0017403D"/>
    <w:rsid w:val="00175FA0"/>
    <w:rsid w:val="00176BC9"/>
    <w:rsid w:val="00177562"/>
    <w:rsid w:val="00177F67"/>
    <w:rsid w:val="0018073A"/>
    <w:rsid w:val="00180BAA"/>
    <w:rsid w:val="00182ACA"/>
    <w:rsid w:val="0018383E"/>
    <w:rsid w:val="001851D4"/>
    <w:rsid w:val="00185221"/>
    <w:rsid w:val="00185F2B"/>
    <w:rsid w:val="001860C3"/>
    <w:rsid w:val="00186430"/>
    <w:rsid w:val="001927C1"/>
    <w:rsid w:val="00192E8D"/>
    <w:rsid w:val="00193C7D"/>
    <w:rsid w:val="0019426E"/>
    <w:rsid w:val="00194778"/>
    <w:rsid w:val="00195CCE"/>
    <w:rsid w:val="00195E00"/>
    <w:rsid w:val="00196027"/>
    <w:rsid w:val="001965EF"/>
    <w:rsid w:val="00196AD3"/>
    <w:rsid w:val="001A0289"/>
    <w:rsid w:val="001A09A7"/>
    <w:rsid w:val="001A0F25"/>
    <w:rsid w:val="001A1946"/>
    <w:rsid w:val="001A2964"/>
    <w:rsid w:val="001A3D21"/>
    <w:rsid w:val="001A5DAE"/>
    <w:rsid w:val="001A6F7A"/>
    <w:rsid w:val="001A708D"/>
    <w:rsid w:val="001B1608"/>
    <w:rsid w:val="001B1755"/>
    <w:rsid w:val="001B21BD"/>
    <w:rsid w:val="001B3183"/>
    <w:rsid w:val="001B3BCF"/>
    <w:rsid w:val="001B3DB6"/>
    <w:rsid w:val="001B515F"/>
    <w:rsid w:val="001B6137"/>
    <w:rsid w:val="001B7369"/>
    <w:rsid w:val="001B746E"/>
    <w:rsid w:val="001C073D"/>
    <w:rsid w:val="001C2860"/>
    <w:rsid w:val="001C28DF"/>
    <w:rsid w:val="001C3D26"/>
    <w:rsid w:val="001C50BC"/>
    <w:rsid w:val="001C54B6"/>
    <w:rsid w:val="001C6513"/>
    <w:rsid w:val="001C7750"/>
    <w:rsid w:val="001C7A77"/>
    <w:rsid w:val="001D16FB"/>
    <w:rsid w:val="001D1B42"/>
    <w:rsid w:val="001D2B28"/>
    <w:rsid w:val="001D2C8E"/>
    <w:rsid w:val="001D4246"/>
    <w:rsid w:val="001D4399"/>
    <w:rsid w:val="001D4471"/>
    <w:rsid w:val="001D4948"/>
    <w:rsid w:val="001D50F8"/>
    <w:rsid w:val="001D53AE"/>
    <w:rsid w:val="001D56F6"/>
    <w:rsid w:val="001D61E7"/>
    <w:rsid w:val="001D6848"/>
    <w:rsid w:val="001D6ACD"/>
    <w:rsid w:val="001D7308"/>
    <w:rsid w:val="001D77F1"/>
    <w:rsid w:val="001D7B05"/>
    <w:rsid w:val="001E0DD0"/>
    <w:rsid w:val="001E1322"/>
    <w:rsid w:val="001E21C9"/>
    <w:rsid w:val="001E275B"/>
    <w:rsid w:val="001E296D"/>
    <w:rsid w:val="001E3B48"/>
    <w:rsid w:val="001E3D69"/>
    <w:rsid w:val="001E4305"/>
    <w:rsid w:val="001E4497"/>
    <w:rsid w:val="001E461F"/>
    <w:rsid w:val="001E4DC6"/>
    <w:rsid w:val="001E58DA"/>
    <w:rsid w:val="001E5EAD"/>
    <w:rsid w:val="001E65C4"/>
    <w:rsid w:val="001E67A4"/>
    <w:rsid w:val="001F0314"/>
    <w:rsid w:val="001F0BD6"/>
    <w:rsid w:val="001F12F9"/>
    <w:rsid w:val="001F1B49"/>
    <w:rsid w:val="001F1F6D"/>
    <w:rsid w:val="001F39B2"/>
    <w:rsid w:val="001F54B5"/>
    <w:rsid w:val="001F5F22"/>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BAE"/>
    <w:rsid w:val="00203D36"/>
    <w:rsid w:val="00204B02"/>
    <w:rsid w:val="00206565"/>
    <w:rsid w:val="002067DB"/>
    <w:rsid w:val="002071A9"/>
    <w:rsid w:val="0021004E"/>
    <w:rsid w:val="00210A4D"/>
    <w:rsid w:val="00210C4E"/>
    <w:rsid w:val="00211DCE"/>
    <w:rsid w:val="00212136"/>
    <w:rsid w:val="00213ACC"/>
    <w:rsid w:val="002144FC"/>
    <w:rsid w:val="00214B13"/>
    <w:rsid w:val="002151EE"/>
    <w:rsid w:val="00215DB2"/>
    <w:rsid w:val="00216428"/>
    <w:rsid w:val="002165DD"/>
    <w:rsid w:val="002167A7"/>
    <w:rsid w:val="002168C0"/>
    <w:rsid w:val="002175EE"/>
    <w:rsid w:val="00217E7F"/>
    <w:rsid w:val="00221917"/>
    <w:rsid w:val="00222D56"/>
    <w:rsid w:val="00222D66"/>
    <w:rsid w:val="00224755"/>
    <w:rsid w:val="00224AB3"/>
    <w:rsid w:val="00224E7C"/>
    <w:rsid w:val="00225AD9"/>
    <w:rsid w:val="002267B2"/>
    <w:rsid w:val="00226914"/>
    <w:rsid w:val="002320A3"/>
    <w:rsid w:val="00233EAE"/>
    <w:rsid w:val="00234B01"/>
    <w:rsid w:val="002357E5"/>
    <w:rsid w:val="00236962"/>
    <w:rsid w:val="0023778F"/>
    <w:rsid w:val="002414AB"/>
    <w:rsid w:val="0024176F"/>
    <w:rsid w:val="00241773"/>
    <w:rsid w:val="0024286F"/>
    <w:rsid w:val="00242B56"/>
    <w:rsid w:val="00242F17"/>
    <w:rsid w:val="002438F0"/>
    <w:rsid w:val="00243EED"/>
    <w:rsid w:val="00244785"/>
    <w:rsid w:val="00245051"/>
    <w:rsid w:val="002450DE"/>
    <w:rsid w:val="002465D2"/>
    <w:rsid w:val="002476C8"/>
    <w:rsid w:val="0024782F"/>
    <w:rsid w:val="00247F99"/>
    <w:rsid w:val="00251CFA"/>
    <w:rsid w:val="00252C54"/>
    <w:rsid w:val="00253974"/>
    <w:rsid w:val="00253C8F"/>
    <w:rsid w:val="00253CE9"/>
    <w:rsid w:val="00254399"/>
    <w:rsid w:val="0025446A"/>
    <w:rsid w:val="0025450B"/>
    <w:rsid w:val="00254B50"/>
    <w:rsid w:val="00254BAA"/>
    <w:rsid w:val="00254C98"/>
    <w:rsid w:val="002553F6"/>
    <w:rsid w:val="00255848"/>
    <w:rsid w:val="0025653B"/>
    <w:rsid w:val="00256DDC"/>
    <w:rsid w:val="0026064B"/>
    <w:rsid w:val="002606C9"/>
    <w:rsid w:val="00260F14"/>
    <w:rsid w:val="002611B2"/>
    <w:rsid w:val="00261851"/>
    <w:rsid w:val="00262C00"/>
    <w:rsid w:val="00262C3B"/>
    <w:rsid w:val="00263D09"/>
    <w:rsid w:val="0026476E"/>
    <w:rsid w:val="00266CCC"/>
    <w:rsid w:val="002702A8"/>
    <w:rsid w:val="002715F5"/>
    <w:rsid w:val="00271A13"/>
    <w:rsid w:val="00271A4B"/>
    <w:rsid w:val="00271E8B"/>
    <w:rsid w:val="00272536"/>
    <w:rsid w:val="00273795"/>
    <w:rsid w:val="00273B62"/>
    <w:rsid w:val="0027517E"/>
    <w:rsid w:val="0027518F"/>
    <w:rsid w:val="00275398"/>
    <w:rsid w:val="00276127"/>
    <w:rsid w:val="0027699C"/>
    <w:rsid w:val="002772B7"/>
    <w:rsid w:val="0028020B"/>
    <w:rsid w:val="00281272"/>
    <w:rsid w:val="00281315"/>
    <w:rsid w:val="002815EC"/>
    <w:rsid w:val="00281C1F"/>
    <w:rsid w:val="002820E8"/>
    <w:rsid w:val="00282EB5"/>
    <w:rsid w:val="00283688"/>
    <w:rsid w:val="00283EF3"/>
    <w:rsid w:val="002849C1"/>
    <w:rsid w:val="00285360"/>
    <w:rsid w:val="00286ACA"/>
    <w:rsid w:val="00287324"/>
    <w:rsid w:val="00287649"/>
    <w:rsid w:val="00287F7B"/>
    <w:rsid w:val="00290019"/>
    <w:rsid w:val="002927A0"/>
    <w:rsid w:val="00292875"/>
    <w:rsid w:val="00292D98"/>
    <w:rsid w:val="00292FFA"/>
    <w:rsid w:val="00293E95"/>
    <w:rsid w:val="002941AB"/>
    <w:rsid w:val="0029471E"/>
    <w:rsid w:val="00294FB2"/>
    <w:rsid w:val="002952A2"/>
    <w:rsid w:val="002952FE"/>
    <w:rsid w:val="002960BC"/>
    <w:rsid w:val="00296FE3"/>
    <w:rsid w:val="002971A0"/>
    <w:rsid w:val="00297E46"/>
    <w:rsid w:val="002A00C2"/>
    <w:rsid w:val="002A08FE"/>
    <w:rsid w:val="002A0A45"/>
    <w:rsid w:val="002A1465"/>
    <w:rsid w:val="002A19DA"/>
    <w:rsid w:val="002A1C01"/>
    <w:rsid w:val="002A4882"/>
    <w:rsid w:val="002A5D72"/>
    <w:rsid w:val="002A6792"/>
    <w:rsid w:val="002A67BE"/>
    <w:rsid w:val="002A7609"/>
    <w:rsid w:val="002B04B7"/>
    <w:rsid w:val="002B09A1"/>
    <w:rsid w:val="002B0A30"/>
    <w:rsid w:val="002B0C23"/>
    <w:rsid w:val="002B18F5"/>
    <w:rsid w:val="002B2C30"/>
    <w:rsid w:val="002B2DA9"/>
    <w:rsid w:val="002B3A81"/>
    <w:rsid w:val="002B3F06"/>
    <w:rsid w:val="002B4093"/>
    <w:rsid w:val="002B448D"/>
    <w:rsid w:val="002B5968"/>
    <w:rsid w:val="002B5C3E"/>
    <w:rsid w:val="002B6886"/>
    <w:rsid w:val="002B692E"/>
    <w:rsid w:val="002B6CCE"/>
    <w:rsid w:val="002B76BD"/>
    <w:rsid w:val="002C0219"/>
    <w:rsid w:val="002C0DFF"/>
    <w:rsid w:val="002C188C"/>
    <w:rsid w:val="002C19C5"/>
    <w:rsid w:val="002C1EAE"/>
    <w:rsid w:val="002C2698"/>
    <w:rsid w:val="002C3BFC"/>
    <w:rsid w:val="002C56F8"/>
    <w:rsid w:val="002C65B6"/>
    <w:rsid w:val="002C6C92"/>
    <w:rsid w:val="002C6CD2"/>
    <w:rsid w:val="002C6F67"/>
    <w:rsid w:val="002C70C6"/>
    <w:rsid w:val="002D062B"/>
    <w:rsid w:val="002D2D80"/>
    <w:rsid w:val="002D2EEF"/>
    <w:rsid w:val="002D3FAD"/>
    <w:rsid w:val="002D486C"/>
    <w:rsid w:val="002D4CC7"/>
    <w:rsid w:val="002D4FBE"/>
    <w:rsid w:val="002D6A81"/>
    <w:rsid w:val="002D6E7C"/>
    <w:rsid w:val="002D7301"/>
    <w:rsid w:val="002D7772"/>
    <w:rsid w:val="002E00C3"/>
    <w:rsid w:val="002E06A9"/>
    <w:rsid w:val="002E0825"/>
    <w:rsid w:val="002E1D81"/>
    <w:rsid w:val="002E216F"/>
    <w:rsid w:val="002E25C1"/>
    <w:rsid w:val="002E2692"/>
    <w:rsid w:val="002E2E3A"/>
    <w:rsid w:val="002E332E"/>
    <w:rsid w:val="002E34CA"/>
    <w:rsid w:val="002E5B26"/>
    <w:rsid w:val="002E7011"/>
    <w:rsid w:val="002E7D7C"/>
    <w:rsid w:val="002F0BA8"/>
    <w:rsid w:val="002F1C8C"/>
    <w:rsid w:val="002F28ED"/>
    <w:rsid w:val="002F3968"/>
    <w:rsid w:val="002F4B92"/>
    <w:rsid w:val="002F51AA"/>
    <w:rsid w:val="002F59D6"/>
    <w:rsid w:val="002F6CDE"/>
    <w:rsid w:val="002F6DC2"/>
    <w:rsid w:val="00300502"/>
    <w:rsid w:val="00300B80"/>
    <w:rsid w:val="00301D5D"/>
    <w:rsid w:val="00301D8D"/>
    <w:rsid w:val="00302ABD"/>
    <w:rsid w:val="00302E72"/>
    <w:rsid w:val="003030FB"/>
    <w:rsid w:val="00303BF5"/>
    <w:rsid w:val="00304D5D"/>
    <w:rsid w:val="00305770"/>
    <w:rsid w:val="0030770D"/>
    <w:rsid w:val="0030770F"/>
    <w:rsid w:val="00307A42"/>
    <w:rsid w:val="003108D3"/>
    <w:rsid w:val="00310A4C"/>
    <w:rsid w:val="0031140D"/>
    <w:rsid w:val="00311B66"/>
    <w:rsid w:val="00311C16"/>
    <w:rsid w:val="003122A2"/>
    <w:rsid w:val="00312E72"/>
    <w:rsid w:val="0031314C"/>
    <w:rsid w:val="00313B11"/>
    <w:rsid w:val="00313C0D"/>
    <w:rsid w:val="00313E4D"/>
    <w:rsid w:val="0031433F"/>
    <w:rsid w:val="00314F38"/>
    <w:rsid w:val="003163C2"/>
    <w:rsid w:val="00316CD2"/>
    <w:rsid w:val="00317D5E"/>
    <w:rsid w:val="00320454"/>
    <w:rsid w:val="00321C40"/>
    <w:rsid w:val="00322290"/>
    <w:rsid w:val="00322CC1"/>
    <w:rsid w:val="00323E4A"/>
    <w:rsid w:val="00324990"/>
    <w:rsid w:val="00324B2D"/>
    <w:rsid w:val="00324D06"/>
    <w:rsid w:val="003262AE"/>
    <w:rsid w:val="00326D36"/>
    <w:rsid w:val="0033053A"/>
    <w:rsid w:val="00331FD7"/>
    <w:rsid w:val="003321EC"/>
    <w:rsid w:val="003322CB"/>
    <w:rsid w:val="003329CD"/>
    <w:rsid w:val="00333B5C"/>
    <w:rsid w:val="00333C34"/>
    <w:rsid w:val="00333E7C"/>
    <w:rsid w:val="0033596B"/>
    <w:rsid w:val="00335CDC"/>
    <w:rsid w:val="00335E78"/>
    <w:rsid w:val="0033641F"/>
    <w:rsid w:val="00336D8E"/>
    <w:rsid w:val="00337718"/>
    <w:rsid w:val="00340BD0"/>
    <w:rsid w:val="00340F07"/>
    <w:rsid w:val="00341516"/>
    <w:rsid w:val="0034206B"/>
    <w:rsid w:val="003424C0"/>
    <w:rsid w:val="003430BD"/>
    <w:rsid w:val="0034635A"/>
    <w:rsid w:val="00346C62"/>
    <w:rsid w:val="003476B3"/>
    <w:rsid w:val="00347BB5"/>
    <w:rsid w:val="003509D0"/>
    <w:rsid w:val="0035267E"/>
    <w:rsid w:val="003533B6"/>
    <w:rsid w:val="00353A88"/>
    <w:rsid w:val="00353C4B"/>
    <w:rsid w:val="00354693"/>
    <w:rsid w:val="00355397"/>
    <w:rsid w:val="00355790"/>
    <w:rsid w:val="0035595C"/>
    <w:rsid w:val="00355B55"/>
    <w:rsid w:val="00355EE6"/>
    <w:rsid w:val="003562D7"/>
    <w:rsid w:val="00356309"/>
    <w:rsid w:val="00356B5D"/>
    <w:rsid w:val="00357699"/>
    <w:rsid w:val="00360A8C"/>
    <w:rsid w:val="00360EAB"/>
    <w:rsid w:val="00361552"/>
    <w:rsid w:val="0036268F"/>
    <w:rsid w:val="003659A8"/>
    <w:rsid w:val="00365A0B"/>
    <w:rsid w:val="00366493"/>
    <w:rsid w:val="00366501"/>
    <w:rsid w:val="003665F7"/>
    <w:rsid w:val="003669F9"/>
    <w:rsid w:val="00367669"/>
    <w:rsid w:val="00367DF1"/>
    <w:rsid w:val="003701E8"/>
    <w:rsid w:val="0037436F"/>
    <w:rsid w:val="00375AA5"/>
    <w:rsid w:val="003763A2"/>
    <w:rsid w:val="00376739"/>
    <w:rsid w:val="00376FC7"/>
    <w:rsid w:val="00377211"/>
    <w:rsid w:val="0037760B"/>
    <w:rsid w:val="00377E78"/>
    <w:rsid w:val="0038130B"/>
    <w:rsid w:val="00381D80"/>
    <w:rsid w:val="00384DAB"/>
    <w:rsid w:val="003850AE"/>
    <w:rsid w:val="00385410"/>
    <w:rsid w:val="0038547C"/>
    <w:rsid w:val="003855AF"/>
    <w:rsid w:val="003858E2"/>
    <w:rsid w:val="003869CF"/>
    <w:rsid w:val="00386CA7"/>
    <w:rsid w:val="003871A1"/>
    <w:rsid w:val="0038770D"/>
    <w:rsid w:val="003906EA"/>
    <w:rsid w:val="00391330"/>
    <w:rsid w:val="00392B77"/>
    <w:rsid w:val="00393379"/>
    <w:rsid w:val="00394AB3"/>
    <w:rsid w:val="00395B65"/>
    <w:rsid w:val="00396CB4"/>
    <w:rsid w:val="0039732A"/>
    <w:rsid w:val="00397BAC"/>
    <w:rsid w:val="003A1377"/>
    <w:rsid w:val="003A1D5C"/>
    <w:rsid w:val="003A281C"/>
    <w:rsid w:val="003A2C17"/>
    <w:rsid w:val="003A3637"/>
    <w:rsid w:val="003A4125"/>
    <w:rsid w:val="003A42FF"/>
    <w:rsid w:val="003A43B2"/>
    <w:rsid w:val="003A4432"/>
    <w:rsid w:val="003A476E"/>
    <w:rsid w:val="003A4CD3"/>
    <w:rsid w:val="003A4D09"/>
    <w:rsid w:val="003A6C9D"/>
    <w:rsid w:val="003B17F8"/>
    <w:rsid w:val="003B2D77"/>
    <w:rsid w:val="003B31AF"/>
    <w:rsid w:val="003B36CC"/>
    <w:rsid w:val="003B3914"/>
    <w:rsid w:val="003B3C8C"/>
    <w:rsid w:val="003B3FD2"/>
    <w:rsid w:val="003B4BF2"/>
    <w:rsid w:val="003B5BBE"/>
    <w:rsid w:val="003B6F17"/>
    <w:rsid w:val="003B763B"/>
    <w:rsid w:val="003C0288"/>
    <w:rsid w:val="003C1A14"/>
    <w:rsid w:val="003C1FB9"/>
    <w:rsid w:val="003C20BB"/>
    <w:rsid w:val="003C3383"/>
    <w:rsid w:val="003C39C6"/>
    <w:rsid w:val="003C3F34"/>
    <w:rsid w:val="003C5398"/>
    <w:rsid w:val="003C7077"/>
    <w:rsid w:val="003C75E2"/>
    <w:rsid w:val="003D0400"/>
    <w:rsid w:val="003D0615"/>
    <w:rsid w:val="003D1808"/>
    <w:rsid w:val="003D23EF"/>
    <w:rsid w:val="003D2C20"/>
    <w:rsid w:val="003D2C4F"/>
    <w:rsid w:val="003D3B4E"/>
    <w:rsid w:val="003D47B2"/>
    <w:rsid w:val="003D4923"/>
    <w:rsid w:val="003D5830"/>
    <w:rsid w:val="003D5A84"/>
    <w:rsid w:val="003D60B0"/>
    <w:rsid w:val="003D6BEE"/>
    <w:rsid w:val="003E03F3"/>
    <w:rsid w:val="003E18E0"/>
    <w:rsid w:val="003E244A"/>
    <w:rsid w:val="003E30B4"/>
    <w:rsid w:val="003E39B0"/>
    <w:rsid w:val="003E4CBC"/>
    <w:rsid w:val="003E4E64"/>
    <w:rsid w:val="003E54DA"/>
    <w:rsid w:val="003E566C"/>
    <w:rsid w:val="003E5C6A"/>
    <w:rsid w:val="003E722B"/>
    <w:rsid w:val="003F01CB"/>
    <w:rsid w:val="003F0846"/>
    <w:rsid w:val="003F1136"/>
    <w:rsid w:val="003F1156"/>
    <w:rsid w:val="003F1A9E"/>
    <w:rsid w:val="003F1C99"/>
    <w:rsid w:val="003F207B"/>
    <w:rsid w:val="003F225A"/>
    <w:rsid w:val="003F2367"/>
    <w:rsid w:val="003F30E0"/>
    <w:rsid w:val="003F58AD"/>
    <w:rsid w:val="003F6DA5"/>
    <w:rsid w:val="003F6E3F"/>
    <w:rsid w:val="003F76B6"/>
    <w:rsid w:val="004005FE"/>
    <w:rsid w:val="004011B6"/>
    <w:rsid w:val="00401E67"/>
    <w:rsid w:val="004025C9"/>
    <w:rsid w:val="00402A64"/>
    <w:rsid w:val="004033C5"/>
    <w:rsid w:val="00403DD8"/>
    <w:rsid w:val="004062E5"/>
    <w:rsid w:val="00406BAA"/>
    <w:rsid w:val="00407940"/>
    <w:rsid w:val="00407CB8"/>
    <w:rsid w:val="00411D59"/>
    <w:rsid w:val="00411F98"/>
    <w:rsid w:val="004127B2"/>
    <w:rsid w:val="00413286"/>
    <w:rsid w:val="0041421C"/>
    <w:rsid w:val="0041430A"/>
    <w:rsid w:val="00414B0A"/>
    <w:rsid w:val="00414CE5"/>
    <w:rsid w:val="0041517D"/>
    <w:rsid w:val="004158B0"/>
    <w:rsid w:val="00415D3D"/>
    <w:rsid w:val="00415D96"/>
    <w:rsid w:val="00416DA1"/>
    <w:rsid w:val="00417727"/>
    <w:rsid w:val="004206D9"/>
    <w:rsid w:val="00420BF9"/>
    <w:rsid w:val="00421054"/>
    <w:rsid w:val="00421B29"/>
    <w:rsid w:val="00421EE2"/>
    <w:rsid w:val="00422BD9"/>
    <w:rsid w:val="00423FD3"/>
    <w:rsid w:val="00424030"/>
    <w:rsid w:val="00424223"/>
    <w:rsid w:val="00424D1C"/>
    <w:rsid w:val="00425665"/>
    <w:rsid w:val="00425A22"/>
    <w:rsid w:val="00425DF4"/>
    <w:rsid w:val="00425DF8"/>
    <w:rsid w:val="00426CF6"/>
    <w:rsid w:val="00427633"/>
    <w:rsid w:val="00431009"/>
    <w:rsid w:val="00432734"/>
    <w:rsid w:val="00432D09"/>
    <w:rsid w:val="004335DB"/>
    <w:rsid w:val="00433CDA"/>
    <w:rsid w:val="004347D1"/>
    <w:rsid w:val="004353FF"/>
    <w:rsid w:val="00435653"/>
    <w:rsid w:val="00435B76"/>
    <w:rsid w:val="00437EC1"/>
    <w:rsid w:val="00440966"/>
    <w:rsid w:val="0044117B"/>
    <w:rsid w:val="00442D54"/>
    <w:rsid w:val="004439CD"/>
    <w:rsid w:val="00443CB8"/>
    <w:rsid w:val="0044474F"/>
    <w:rsid w:val="00444CA9"/>
    <w:rsid w:val="00445334"/>
    <w:rsid w:val="00445959"/>
    <w:rsid w:val="00445C55"/>
    <w:rsid w:val="004478B4"/>
    <w:rsid w:val="00447AB8"/>
    <w:rsid w:val="00447AF2"/>
    <w:rsid w:val="004500AC"/>
    <w:rsid w:val="0045046A"/>
    <w:rsid w:val="004509CB"/>
    <w:rsid w:val="00450B06"/>
    <w:rsid w:val="00451467"/>
    <w:rsid w:val="004523D4"/>
    <w:rsid w:val="00453E36"/>
    <w:rsid w:val="004541E5"/>
    <w:rsid w:val="0045428D"/>
    <w:rsid w:val="00454397"/>
    <w:rsid w:val="004544D6"/>
    <w:rsid w:val="004552FD"/>
    <w:rsid w:val="00456796"/>
    <w:rsid w:val="00457337"/>
    <w:rsid w:val="00457F94"/>
    <w:rsid w:val="004601B1"/>
    <w:rsid w:val="004609D7"/>
    <w:rsid w:val="00460AD2"/>
    <w:rsid w:val="00462017"/>
    <w:rsid w:val="00462B2A"/>
    <w:rsid w:val="00463334"/>
    <w:rsid w:val="00463D71"/>
    <w:rsid w:val="00463E82"/>
    <w:rsid w:val="004659AC"/>
    <w:rsid w:val="00465D99"/>
    <w:rsid w:val="00466A97"/>
    <w:rsid w:val="004673F2"/>
    <w:rsid w:val="004708F7"/>
    <w:rsid w:val="00470BB7"/>
    <w:rsid w:val="00471253"/>
    <w:rsid w:val="004720D5"/>
    <w:rsid w:val="00474FE5"/>
    <w:rsid w:val="00475A43"/>
    <w:rsid w:val="00476DD5"/>
    <w:rsid w:val="00476FF2"/>
    <w:rsid w:val="00477BE8"/>
    <w:rsid w:val="00481250"/>
    <w:rsid w:val="00481537"/>
    <w:rsid w:val="004823A8"/>
    <w:rsid w:val="00482C49"/>
    <w:rsid w:val="00482F82"/>
    <w:rsid w:val="00483542"/>
    <w:rsid w:val="00484864"/>
    <w:rsid w:val="00484A20"/>
    <w:rsid w:val="00484C72"/>
    <w:rsid w:val="00485264"/>
    <w:rsid w:val="00485858"/>
    <w:rsid w:val="004866A6"/>
    <w:rsid w:val="00490348"/>
    <w:rsid w:val="0049043A"/>
    <w:rsid w:val="004905A6"/>
    <w:rsid w:val="004915DE"/>
    <w:rsid w:val="00491E94"/>
    <w:rsid w:val="00491ED2"/>
    <w:rsid w:val="004925CF"/>
    <w:rsid w:val="00492798"/>
    <w:rsid w:val="00493943"/>
    <w:rsid w:val="0049412C"/>
    <w:rsid w:val="00494222"/>
    <w:rsid w:val="00495F5B"/>
    <w:rsid w:val="00496B49"/>
    <w:rsid w:val="00496FBC"/>
    <w:rsid w:val="0049714C"/>
    <w:rsid w:val="004971A7"/>
    <w:rsid w:val="004A0459"/>
    <w:rsid w:val="004A0797"/>
    <w:rsid w:val="004A16C3"/>
    <w:rsid w:val="004A1E20"/>
    <w:rsid w:val="004A232F"/>
    <w:rsid w:val="004A24EF"/>
    <w:rsid w:val="004A3377"/>
    <w:rsid w:val="004A3B8D"/>
    <w:rsid w:val="004A402E"/>
    <w:rsid w:val="004A5627"/>
    <w:rsid w:val="004A5B0E"/>
    <w:rsid w:val="004A5F9C"/>
    <w:rsid w:val="004A6317"/>
    <w:rsid w:val="004A7555"/>
    <w:rsid w:val="004A75DD"/>
    <w:rsid w:val="004B2DC7"/>
    <w:rsid w:val="004B2F5B"/>
    <w:rsid w:val="004B37BC"/>
    <w:rsid w:val="004B3B08"/>
    <w:rsid w:val="004B46A0"/>
    <w:rsid w:val="004B54D1"/>
    <w:rsid w:val="004B5971"/>
    <w:rsid w:val="004B6222"/>
    <w:rsid w:val="004B685C"/>
    <w:rsid w:val="004B7001"/>
    <w:rsid w:val="004B77CD"/>
    <w:rsid w:val="004B7F02"/>
    <w:rsid w:val="004C0B02"/>
    <w:rsid w:val="004C1484"/>
    <w:rsid w:val="004C1C85"/>
    <w:rsid w:val="004C2003"/>
    <w:rsid w:val="004C4B54"/>
    <w:rsid w:val="004C500B"/>
    <w:rsid w:val="004C511C"/>
    <w:rsid w:val="004C7AE6"/>
    <w:rsid w:val="004C7E10"/>
    <w:rsid w:val="004D07E9"/>
    <w:rsid w:val="004D17AA"/>
    <w:rsid w:val="004D2A08"/>
    <w:rsid w:val="004D2F61"/>
    <w:rsid w:val="004D30B7"/>
    <w:rsid w:val="004D33B4"/>
    <w:rsid w:val="004D3585"/>
    <w:rsid w:val="004D4233"/>
    <w:rsid w:val="004D43BF"/>
    <w:rsid w:val="004D43C9"/>
    <w:rsid w:val="004D46F3"/>
    <w:rsid w:val="004D4838"/>
    <w:rsid w:val="004D4A11"/>
    <w:rsid w:val="004D5655"/>
    <w:rsid w:val="004D59D7"/>
    <w:rsid w:val="004D6F98"/>
    <w:rsid w:val="004D7082"/>
    <w:rsid w:val="004D7D70"/>
    <w:rsid w:val="004E0CCF"/>
    <w:rsid w:val="004E11D7"/>
    <w:rsid w:val="004E1ACC"/>
    <w:rsid w:val="004E30C5"/>
    <w:rsid w:val="004E4609"/>
    <w:rsid w:val="004E46A9"/>
    <w:rsid w:val="004E4B49"/>
    <w:rsid w:val="004E629C"/>
    <w:rsid w:val="004E6C01"/>
    <w:rsid w:val="004E78BC"/>
    <w:rsid w:val="004F0B16"/>
    <w:rsid w:val="004F132E"/>
    <w:rsid w:val="004F1595"/>
    <w:rsid w:val="004F2555"/>
    <w:rsid w:val="004F2958"/>
    <w:rsid w:val="004F2D4A"/>
    <w:rsid w:val="004F3AB3"/>
    <w:rsid w:val="004F4D2D"/>
    <w:rsid w:val="004F5798"/>
    <w:rsid w:val="004F5B47"/>
    <w:rsid w:val="004F6C74"/>
    <w:rsid w:val="004F6D17"/>
    <w:rsid w:val="004F6E49"/>
    <w:rsid w:val="004F7BD5"/>
    <w:rsid w:val="005008E9"/>
    <w:rsid w:val="00503BB3"/>
    <w:rsid w:val="00504778"/>
    <w:rsid w:val="00505AFA"/>
    <w:rsid w:val="00505F2F"/>
    <w:rsid w:val="0050781F"/>
    <w:rsid w:val="00507E7E"/>
    <w:rsid w:val="0051074B"/>
    <w:rsid w:val="0051168A"/>
    <w:rsid w:val="005118F1"/>
    <w:rsid w:val="005120D5"/>
    <w:rsid w:val="00513381"/>
    <w:rsid w:val="00513E7E"/>
    <w:rsid w:val="005141B0"/>
    <w:rsid w:val="005141E3"/>
    <w:rsid w:val="00515109"/>
    <w:rsid w:val="005165CC"/>
    <w:rsid w:val="00516CF9"/>
    <w:rsid w:val="00517CF3"/>
    <w:rsid w:val="005203CE"/>
    <w:rsid w:val="00521539"/>
    <w:rsid w:val="00521841"/>
    <w:rsid w:val="00523290"/>
    <w:rsid w:val="0052410C"/>
    <w:rsid w:val="00524429"/>
    <w:rsid w:val="00524512"/>
    <w:rsid w:val="00524CE4"/>
    <w:rsid w:val="00525582"/>
    <w:rsid w:val="00525CF7"/>
    <w:rsid w:val="00525F95"/>
    <w:rsid w:val="005260DB"/>
    <w:rsid w:val="00526470"/>
    <w:rsid w:val="005266F8"/>
    <w:rsid w:val="005271A3"/>
    <w:rsid w:val="00530519"/>
    <w:rsid w:val="0053099B"/>
    <w:rsid w:val="0053126C"/>
    <w:rsid w:val="00531A15"/>
    <w:rsid w:val="005321E5"/>
    <w:rsid w:val="00532805"/>
    <w:rsid w:val="00532DE4"/>
    <w:rsid w:val="00532EAA"/>
    <w:rsid w:val="00533FCC"/>
    <w:rsid w:val="005341AC"/>
    <w:rsid w:val="00534509"/>
    <w:rsid w:val="005347EA"/>
    <w:rsid w:val="00534A6D"/>
    <w:rsid w:val="005350A7"/>
    <w:rsid w:val="0053575D"/>
    <w:rsid w:val="00536350"/>
    <w:rsid w:val="00540056"/>
    <w:rsid w:val="00541709"/>
    <w:rsid w:val="005436E7"/>
    <w:rsid w:val="00543D43"/>
    <w:rsid w:val="005445CA"/>
    <w:rsid w:val="00544DA8"/>
    <w:rsid w:val="00545BAE"/>
    <w:rsid w:val="005464FA"/>
    <w:rsid w:val="005477B7"/>
    <w:rsid w:val="005477E0"/>
    <w:rsid w:val="00551313"/>
    <w:rsid w:val="00551CA1"/>
    <w:rsid w:val="005520D7"/>
    <w:rsid w:val="00552FD7"/>
    <w:rsid w:val="005536D9"/>
    <w:rsid w:val="0055409A"/>
    <w:rsid w:val="005542E6"/>
    <w:rsid w:val="00554CBF"/>
    <w:rsid w:val="00556E71"/>
    <w:rsid w:val="00556F90"/>
    <w:rsid w:val="00557664"/>
    <w:rsid w:val="005577CD"/>
    <w:rsid w:val="00560141"/>
    <w:rsid w:val="00560168"/>
    <w:rsid w:val="00560403"/>
    <w:rsid w:val="005608FD"/>
    <w:rsid w:val="00560A9B"/>
    <w:rsid w:val="00560B0D"/>
    <w:rsid w:val="00560E85"/>
    <w:rsid w:val="005610AD"/>
    <w:rsid w:val="00561B3B"/>
    <w:rsid w:val="00562289"/>
    <w:rsid w:val="005623B0"/>
    <w:rsid w:val="00562430"/>
    <w:rsid w:val="005625D9"/>
    <w:rsid w:val="00562DA2"/>
    <w:rsid w:val="00562EB0"/>
    <w:rsid w:val="00563674"/>
    <w:rsid w:val="00564075"/>
    <w:rsid w:val="005642CD"/>
    <w:rsid w:val="00564D31"/>
    <w:rsid w:val="00566146"/>
    <w:rsid w:val="00566993"/>
    <w:rsid w:val="00566A51"/>
    <w:rsid w:val="005671A5"/>
    <w:rsid w:val="0056763F"/>
    <w:rsid w:val="00567CD3"/>
    <w:rsid w:val="00567ECD"/>
    <w:rsid w:val="00570432"/>
    <w:rsid w:val="00571120"/>
    <w:rsid w:val="0057307F"/>
    <w:rsid w:val="00573B9F"/>
    <w:rsid w:val="0057452A"/>
    <w:rsid w:val="00575389"/>
    <w:rsid w:val="00575E08"/>
    <w:rsid w:val="005767DC"/>
    <w:rsid w:val="00576B0F"/>
    <w:rsid w:val="00580457"/>
    <w:rsid w:val="00580EF4"/>
    <w:rsid w:val="00581B2C"/>
    <w:rsid w:val="00581CB7"/>
    <w:rsid w:val="005826C6"/>
    <w:rsid w:val="005833C4"/>
    <w:rsid w:val="005838E4"/>
    <w:rsid w:val="005839AE"/>
    <w:rsid w:val="0058408C"/>
    <w:rsid w:val="00584247"/>
    <w:rsid w:val="00586610"/>
    <w:rsid w:val="0058669B"/>
    <w:rsid w:val="00587BAB"/>
    <w:rsid w:val="00587DB6"/>
    <w:rsid w:val="00591008"/>
    <w:rsid w:val="00591977"/>
    <w:rsid w:val="00591C4B"/>
    <w:rsid w:val="0059257A"/>
    <w:rsid w:val="00593384"/>
    <w:rsid w:val="005945EB"/>
    <w:rsid w:val="005948A0"/>
    <w:rsid w:val="00595561"/>
    <w:rsid w:val="0059627B"/>
    <w:rsid w:val="00596F4D"/>
    <w:rsid w:val="0059713F"/>
    <w:rsid w:val="0059740E"/>
    <w:rsid w:val="0059794A"/>
    <w:rsid w:val="00597FAA"/>
    <w:rsid w:val="005A0304"/>
    <w:rsid w:val="005A0542"/>
    <w:rsid w:val="005A0684"/>
    <w:rsid w:val="005A07D2"/>
    <w:rsid w:val="005A0F21"/>
    <w:rsid w:val="005A0F40"/>
    <w:rsid w:val="005A1037"/>
    <w:rsid w:val="005A11AB"/>
    <w:rsid w:val="005A1630"/>
    <w:rsid w:val="005A2DD0"/>
    <w:rsid w:val="005A2EF8"/>
    <w:rsid w:val="005A3592"/>
    <w:rsid w:val="005A49C6"/>
    <w:rsid w:val="005A5500"/>
    <w:rsid w:val="005A66DE"/>
    <w:rsid w:val="005A72BD"/>
    <w:rsid w:val="005B03DB"/>
    <w:rsid w:val="005B07E1"/>
    <w:rsid w:val="005B0D16"/>
    <w:rsid w:val="005B0D4E"/>
    <w:rsid w:val="005B0FD1"/>
    <w:rsid w:val="005B16F2"/>
    <w:rsid w:val="005B191A"/>
    <w:rsid w:val="005B2826"/>
    <w:rsid w:val="005B3422"/>
    <w:rsid w:val="005B3A1E"/>
    <w:rsid w:val="005B4A28"/>
    <w:rsid w:val="005B558C"/>
    <w:rsid w:val="005B5906"/>
    <w:rsid w:val="005B5F08"/>
    <w:rsid w:val="005B6347"/>
    <w:rsid w:val="005B79C8"/>
    <w:rsid w:val="005B7B72"/>
    <w:rsid w:val="005C05F5"/>
    <w:rsid w:val="005C0D66"/>
    <w:rsid w:val="005C1194"/>
    <w:rsid w:val="005C11A1"/>
    <w:rsid w:val="005C180A"/>
    <w:rsid w:val="005C2C3A"/>
    <w:rsid w:val="005C40A7"/>
    <w:rsid w:val="005C4F1F"/>
    <w:rsid w:val="005C54B2"/>
    <w:rsid w:val="005C5A3E"/>
    <w:rsid w:val="005C693D"/>
    <w:rsid w:val="005D0321"/>
    <w:rsid w:val="005D049E"/>
    <w:rsid w:val="005D0E23"/>
    <w:rsid w:val="005D1241"/>
    <w:rsid w:val="005D1530"/>
    <w:rsid w:val="005D1789"/>
    <w:rsid w:val="005D1BD4"/>
    <w:rsid w:val="005D2A85"/>
    <w:rsid w:val="005D2EF9"/>
    <w:rsid w:val="005D318D"/>
    <w:rsid w:val="005D341D"/>
    <w:rsid w:val="005D3879"/>
    <w:rsid w:val="005D401D"/>
    <w:rsid w:val="005D5C74"/>
    <w:rsid w:val="005D69AB"/>
    <w:rsid w:val="005D6B59"/>
    <w:rsid w:val="005E1DB3"/>
    <w:rsid w:val="005E2B0B"/>
    <w:rsid w:val="005E3A21"/>
    <w:rsid w:val="005E4466"/>
    <w:rsid w:val="005E45BA"/>
    <w:rsid w:val="005E4D14"/>
    <w:rsid w:val="005E557B"/>
    <w:rsid w:val="005E5603"/>
    <w:rsid w:val="005E5C47"/>
    <w:rsid w:val="005E6138"/>
    <w:rsid w:val="005E61DE"/>
    <w:rsid w:val="005E6E73"/>
    <w:rsid w:val="005E7040"/>
    <w:rsid w:val="005E788F"/>
    <w:rsid w:val="005E7DB0"/>
    <w:rsid w:val="005F051D"/>
    <w:rsid w:val="005F28D2"/>
    <w:rsid w:val="005F318F"/>
    <w:rsid w:val="005F3196"/>
    <w:rsid w:val="005F3197"/>
    <w:rsid w:val="005F32A6"/>
    <w:rsid w:val="005F33D7"/>
    <w:rsid w:val="005F35A7"/>
    <w:rsid w:val="005F36ED"/>
    <w:rsid w:val="005F5AB3"/>
    <w:rsid w:val="005F68E9"/>
    <w:rsid w:val="005F6A25"/>
    <w:rsid w:val="00600616"/>
    <w:rsid w:val="00600A82"/>
    <w:rsid w:val="00601449"/>
    <w:rsid w:val="006017FD"/>
    <w:rsid w:val="00602054"/>
    <w:rsid w:val="00602B0B"/>
    <w:rsid w:val="0060357A"/>
    <w:rsid w:val="0060402D"/>
    <w:rsid w:val="0060474A"/>
    <w:rsid w:val="00604AD3"/>
    <w:rsid w:val="00605A1C"/>
    <w:rsid w:val="00606127"/>
    <w:rsid w:val="00606A5C"/>
    <w:rsid w:val="006115E0"/>
    <w:rsid w:val="00612344"/>
    <w:rsid w:val="006126E1"/>
    <w:rsid w:val="006129E8"/>
    <w:rsid w:val="00612EBC"/>
    <w:rsid w:val="00613A36"/>
    <w:rsid w:val="006146A9"/>
    <w:rsid w:val="006148AE"/>
    <w:rsid w:val="00614AF8"/>
    <w:rsid w:val="00614B5C"/>
    <w:rsid w:val="00615E19"/>
    <w:rsid w:val="00616106"/>
    <w:rsid w:val="00617364"/>
    <w:rsid w:val="00617804"/>
    <w:rsid w:val="00617866"/>
    <w:rsid w:val="00620F8A"/>
    <w:rsid w:val="006211BF"/>
    <w:rsid w:val="006212D7"/>
    <w:rsid w:val="00621C6C"/>
    <w:rsid w:val="00622BD5"/>
    <w:rsid w:val="00623129"/>
    <w:rsid w:val="006231B1"/>
    <w:rsid w:val="00623FA8"/>
    <w:rsid w:val="0062572C"/>
    <w:rsid w:val="00625932"/>
    <w:rsid w:val="0063109C"/>
    <w:rsid w:val="006314E7"/>
    <w:rsid w:val="006319F6"/>
    <w:rsid w:val="006320D0"/>
    <w:rsid w:val="006321C5"/>
    <w:rsid w:val="00632509"/>
    <w:rsid w:val="00634393"/>
    <w:rsid w:val="00635997"/>
    <w:rsid w:val="006360DE"/>
    <w:rsid w:val="006366D1"/>
    <w:rsid w:val="00641646"/>
    <w:rsid w:val="00641B49"/>
    <w:rsid w:val="00641EC1"/>
    <w:rsid w:val="00642BA6"/>
    <w:rsid w:val="006443D3"/>
    <w:rsid w:val="006449BB"/>
    <w:rsid w:val="00644CC0"/>
    <w:rsid w:val="00645344"/>
    <w:rsid w:val="006453F8"/>
    <w:rsid w:val="006465F2"/>
    <w:rsid w:val="00647512"/>
    <w:rsid w:val="00647A95"/>
    <w:rsid w:val="00647BAA"/>
    <w:rsid w:val="00650408"/>
    <w:rsid w:val="0065233D"/>
    <w:rsid w:val="00652416"/>
    <w:rsid w:val="00653443"/>
    <w:rsid w:val="00653861"/>
    <w:rsid w:val="0065439C"/>
    <w:rsid w:val="00655592"/>
    <w:rsid w:val="00656CE9"/>
    <w:rsid w:val="00657534"/>
    <w:rsid w:val="0066006F"/>
    <w:rsid w:val="006614F9"/>
    <w:rsid w:val="00661E93"/>
    <w:rsid w:val="00663758"/>
    <w:rsid w:val="00663B65"/>
    <w:rsid w:val="00663E49"/>
    <w:rsid w:val="00664963"/>
    <w:rsid w:val="00665044"/>
    <w:rsid w:val="006652ED"/>
    <w:rsid w:val="006657B6"/>
    <w:rsid w:val="00665B0A"/>
    <w:rsid w:val="006665C6"/>
    <w:rsid w:val="00667184"/>
    <w:rsid w:val="00667FC8"/>
    <w:rsid w:val="00670227"/>
    <w:rsid w:val="00670FCC"/>
    <w:rsid w:val="00671187"/>
    <w:rsid w:val="00672166"/>
    <w:rsid w:val="006729E0"/>
    <w:rsid w:val="006738DE"/>
    <w:rsid w:val="00674D9B"/>
    <w:rsid w:val="0068058D"/>
    <w:rsid w:val="0068118E"/>
    <w:rsid w:val="006815CF"/>
    <w:rsid w:val="00681735"/>
    <w:rsid w:val="00682095"/>
    <w:rsid w:val="0068262B"/>
    <w:rsid w:val="006834CE"/>
    <w:rsid w:val="00685250"/>
    <w:rsid w:val="00686655"/>
    <w:rsid w:val="00687058"/>
    <w:rsid w:val="00687B4F"/>
    <w:rsid w:val="00687DAF"/>
    <w:rsid w:val="0069060B"/>
    <w:rsid w:val="00690780"/>
    <w:rsid w:val="0069096A"/>
    <w:rsid w:val="00691155"/>
    <w:rsid w:val="00691500"/>
    <w:rsid w:val="00691E2B"/>
    <w:rsid w:val="00694771"/>
    <w:rsid w:val="00694F53"/>
    <w:rsid w:val="00695AC8"/>
    <w:rsid w:val="00695F3B"/>
    <w:rsid w:val="00696381"/>
    <w:rsid w:val="006964E5"/>
    <w:rsid w:val="00697224"/>
    <w:rsid w:val="006A084D"/>
    <w:rsid w:val="006A1308"/>
    <w:rsid w:val="006A2759"/>
    <w:rsid w:val="006A2840"/>
    <w:rsid w:val="006A2BF9"/>
    <w:rsid w:val="006A366C"/>
    <w:rsid w:val="006A3DD3"/>
    <w:rsid w:val="006A5015"/>
    <w:rsid w:val="006A510F"/>
    <w:rsid w:val="006A6A25"/>
    <w:rsid w:val="006A7AE2"/>
    <w:rsid w:val="006B00EC"/>
    <w:rsid w:val="006B17AA"/>
    <w:rsid w:val="006B1BAA"/>
    <w:rsid w:val="006B1CAB"/>
    <w:rsid w:val="006B3E20"/>
    <w:rsid w:val="006B4134"/>
    <w:rsid w:val="006B4A0C"/>
    <w:rsid w:val="006B4F48"/>
    <w:rsid w:val="006B592B"/>
    <w:rsid w:val="006B5952"/>
    <w:rsid w:val="006B5EE6"/>
    <w:rsid w:val="006B741C"/>
    <w:rsid w:val="006B7459"/>
    <w:rsid w:val="006C0280"/>
    <w:rsid w:val="006C123A"/>
    <w:rsid w:val="006C14EE"/>
    <w:rsid w:val="006C16CD"/>
    <w:rsid w:val="006C1B88"/>
    <w:rsid w:val="006C3160"/>
    <w:rsid w:val="006C34C0"/>
    <w:rsid w:val="006C410C"/>
    <w:rsid w:val="006C46B1"/>
    <w:rsid w:val="006C4938"/>
    <w:rsid w:val="006C5400"/>
    <w:rsid w:val="006C78AA"/>
    <w:rsid w:val="006D0115"/>
    <w:rsid w:val="006D0387"/>
    <w:rsid w:val="006D244C"/>
    <w:rsid w:val="006D312F"/>
    <w:rsid w:val="006D3FD4"/>
    <w:rsid w:val="006D4F66"/>
    <w:rsid w:val="006D5E7B"/>
    <w:rsid w:val="006D67CA"/>
    <w:rsid w:val="006D6CDF"/>
    <w:rsid w:val="006E06A3"/>
    <w:rsid w:val="006E0E27"/>
    <w:rsid w:val="006E0F90"/>
    <w:rsid w:val="006E159B"/>
    <w:rsid w:val="006E2161"/>
    <w:rsid w:val="006E274D"/>
    <w:rsid w:val="006E423E"/>
    <w:rsid w:val="006E465B"/>
    <w:rsid w:val="006E4ADA"/>
    <w:rsid w:val="006E6782"/>
    <w:rsid w:val="006E7458"/>
    <w:rsid w:val="006F0B20"/>
    <w:rsid w:val="006F2300"/>
    <w:rsid w:val="006F35B4"/>
    <w:rsid w:val="006F3F1A"/>
    <w:rsid w:val="006F5898"/>
    <w:rsid w:val="006F5CDE"/>
    <w:rsid w:val="006F6AB5"/>
    <w:rsid w:val="006F77A5"/>
    <w:rsid w:val="006F7C35"/>
    <w:rsid w:val="007001AE"/>
    <w:rsid w:val="007009E6"/>
    <w:rsid w:val="007018F3"/>
    <w:rsid w:val="00702E43"/>
    <w:rsid w:val="00702EC3"/>
    <w:rsid w:val="0070324A"/>
    <w:rsid w:val="0070377D"/>
    <w:rsid w:val="0070412E"/>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3B09"/>
    <w:rsid w:val="00713B49"/>
    <w:rsid w:val="00715433"/>
    <w:rsid w:val="007179D1"/>
    <w:rsid w:val="007212E3"/>
    <w:rsid w:val="007213F1"/>
    <w:rsid w:val="00721F34"/>
    <w:rsid w:val="00722309"/>
    <w:rsid w:val="00722A7E"/>
    <w:rsid w:val="007244F1"/>
    <w:rsid w:val="007254B7"/>
    <w:rsid w:val="007258A3"/>
    <w:rsid w:val="00726438"/>
    <w:rsid w:val="00726941"/>
    <w:rsid w:val="00730321"/>
    <w:rsid w:val="007319A0"/>
    <w:rsid w:val="007323E6"/>
    <w:rsid w:val="0073295C"/>
    <w:rsid w:val="00733CD6"/>
    <w:rsid w:val="00734F75"/>
    <w:rsid w:val="00735810"/>
    <w:rsid w:val="00735C06"/>
    <w:rsid w:val="00736436"/>
    <w:rsid w:val="0073667A"/>
    <w:rsid w:val="007372B5"/>
    <w:rsid w:val="00737791"/>
    <w:rsid w:val="007403D3"/>
    <w:rsid w:val="0074119D"/>
    <w:rsid w:val="00741A5C"/>
    <w:rsid w:val="00741DE3"/>
    <w:rsid w:val="00741F57"/>
    <w:rsid w:val="0074541F"/>
    <w:rsid w:val="00745BF8"/>
    <w:rsid w:val="007467A1"/>
    <w:rsid w:val="0074732C"/>
    <w:rsid w:val="007477B0"/>
    <w:rsid w:val="00747A0D"/>
    <w:rsid w:val="00750F37"/>
    <w:rsid w:val="00751AEA"/>
    <w:rsid w:val="00752554"/>
    <w:rsid w:val="007536A7"/>
    <w:rsid w:val="00753BFB"/>
    <w:rsid w:val="00754219"/>
    <w:rsid w:val="007544BA"/>
    <w:rsid w:val="00754E3E"/>
    <w:rsid w:val="00757789"/>
    <w:rsid w:val="00757E61"/>
    <w:rsid w:val="0076051B"/>
    <w:rsid w:val="00760F31"/>
    <w:rsid w:val="00761EFF"/>
    <w:rsid w:val="007625E2"/>
    <w:rsid w:val="00763D32"/>
    <w:rsid w:val="00763E7F"/>
    <w:rsid w:val="00764C86"/>
    <w:rsid w:val="00765DA2"/>
    <w:rsid w:val="0076667A"/>
    <w:rsid w:val="00766B19"/>
    <w:rsid w:val="00766FC1"/>
    <w:rsid w:val="007678FF"/>
    <w:rsid w:val="007702BF"/>
    <w:rsid w:val="0077164E"/>
    <w:rsid w:val="00771C16"/>
    <w:rsid w:val="00772202"/>
    <w:rsid w:val="00772910"/>
    <w:rsid w:val="00773E51"/>
    <w:rsid w:val="00774B9D"/>
    <w:rsid w:val="00774F6F"/>
    <w:rsid w:val="00775007"/>
    <w:rsid w:val="007752EA"/>
    <w:rsid w:val="00776166"/>
    <w:rsid w:val="00776205"/>
    <w:rsid w:val="007766BD"/>
    <w:rsid w:val="00776715"/>
    <w:rsid w:val="007776F3"/>
    <w:rsid w:val="00780C89"/>
    <w:rsid w:val="007816A2"/>
    <w:rsid w:val="00782281"/>
    <w:rsid w:val="00783107"/>
    <w:rsid w:val="00783D3A"/>
    <w:rsid w:val="00785098"/>
    <w:rsid w:val="0078696B"/>
    <w:rsid w:val="00786ED2"/>
    <w:rsid w:val="00787532"/>
    <w:rsid w:val="00787B93"/>
    <w:rsid w:val="00787CDC"/>
    <w:rsid w:val="00787F14"/>
    <w:rsid w:val="0079056A"/>
    <w:rsid w:val="00790A04"/>
    <w:rsid w:val="00791CE3"/>
    <w:rsid w:val="00792019"/>
    <w:rsid w:val="00792165"/>
    <w:rsid w:val="00792256"/>
    <w:rsid w:val="00792876"/>
    <w:rsid w:val="007931E8"/>
    <w:rsid w:val="00793897"/>
    <w:rsid w:val="00793F2C"/>
    <w:rsid w:val="00794F8C"/>
    <w:rsid w:val="007959EC"/>
    <w:rsid w:val="00795AC4"/>
    <w:rsid w:val="007962A3"/>
    <w:rsid w:val="0079679B"/>
    <w:rsid w:val="00796893"/>
    <w:rsid w:val="00797101"/>
    <w:rsid w:val="007975FD"/>
    <w:rsid w:val="00797924"/>
    <w:rsid w:val="007A11EF"/>
    <w:rsid w:val="007A1844"/>
    <w:rsid w:val="007A1A88"/>
    <w:rsid w:val="007A1C3F"/>
    <w:rsid w:val="007A225B"/>
    <w:rsid w:val="007A2325"/>
    <w:rsid w:val="007A2A93"/>
    <w:rsid w:val="007A2D2D"/>
    <w:rsid w:val="007A300A"/>
    <w:rsid w:val="007A305C"/>
    <w:rsid w:val="007A3963"/>
    <w:rsid w:val="007A4163"/>
    <w:rsid w:val="007A63CA"/>
    <w:rsid w:val="007A64F9"/>
    <w:rsid w:val="007A651D"/>
    <w:rsid w:val="007A65A2"/>
    <w:rsid w:val="007A6BE3"/>
    <w:rsid w:val="007A74CC"/>
    <w:rsid w:val="007A7DA2"/>
    <w:rsid w:val="007B0169"/>
    <w:rsid w:val="007B0823"/>
    <w:rsid w:val="007B09EF"/>
    <w:rsid w:val="007B0BE5"/>
    <w:rsid w:val="007B0F47"/>
    <w:rsid w:val="007B1B75"/>
    <w:rsid w:val="007B23AC"/>
    <w:rsid w:val="007B26AC"/>
    <w:rsid w:val="007B3486"/>
    <w:rsid w:val="007B34AD"/>
    <w:rsid w:val="007B4728"/>
    <w:rsid w:val="007B487C"/>
    <w:rsid w:val="007B5317"/>
    <w:rsid w:val="007B605F"/>
    <w:rsid w:val="007B6C37"/>
    <w:rsid w:val="007B6FCF"/>
    <w:rsid w:val="007B75DD"/>
    <w:rsid w:val="007C0DDD"/>
    <w:rsid w:val="007C1BB2"/>
    <w:rsid w:val="007C22D6"/>
    <w:rsid w:val="007C25A5"/>
    <w:rsid w:val="007C3CA4"/>
    <w:rsid w:val="007C436D"/>
    <w:rsid w:val="007C4880"/>
    <w:rsid w:val="007C4A4B"/>
    <w:rsid w:val="007C4CA8"/>
    <w:rsid w:val="007C501E"/>
    <w:rsid w:val="007C6050"/>
    <w:rsid w:val="007C721F"/>
    <w:rsid w:val="007C7778"/>
    <w:rsid w:val="007C7B00"/>
    <w:rsid w:val="007D0000"/>
    <w:rsid w:val="007D0CF8"/>
    <w:rsid w:val="007D22FB"/>
    <w:rsid w:val="007D3C2D"/>
    <w:rsid w:val="007D3EEC"/>
    <w:rsid w:val="007D5108"/>
    <w:rsid w:val="007D7F6F"/>
    <w:rsid w:val="007E0FFC"/>
    <w:rsid w:val="007E19D3"/>
    <w:rsid w:val="007E1CF7"/>
    <w:rsid w:val="007E1DE0"/>
    <w:rsid w:val="007E2DD7"/>
    <w:rsid w:val="007E46A6"/>
    <w:rsid w:val="007E4847"/>
    <w:rsid w:val="007E4A45"/>
    <w:rsid w:val="007E62D2"/>
    <w:rsid w:val="007E639D"/>
    <w:rsid w:val="007E6891"/>
    <w:rsid w:val="007E6BCC"/>
    <w:rsid w:val="007E6E9B"/>
    <w:rsid w:val="007E7426"/>
    <w:rsid w:val="007E74A0"/>
    <w:rsid w:val="007E77EC"/>
    <w:rsid w:val="007F0177"/>
    <w:rsid w:val="007F0549"/>
    <w:rsid w:val="007F090D"/>
    <w:rsid w:val="007F1B57"/>
    <w:rsid w:val="007F53EB"/>
    <w:rsid w:val="007F5687"/>
    <w:rsid w:val="007F5A2D"/>
    <w:rsid w:val="007F758E"/>
    <w:rsid w:val="00801199"/>
    <w:rsid w:val="008013A1"/>
    <w:rsid w:val="0080320A"/>
    <w:rsid w:val="00804F41"/>
    <w:rsid w:val="008059F8"/>
    <w:rsid w:val="00805A8B"/>
    <w:rsid w:val="008066AD"/>
    <w:rsid w:val="00806A95"/>
    <w:rsid w:val="008075AB"/>
    <w:rsid w:val="008076D6"/>
    <w:rsid w:val="00807796"/>
    <w:rsid w:val="0081102D"/>
    <w:rsid w:val="00811A31"/>
    <w:rsid w:val="00812B29"/>
    <w:rsid w:val="00813B78"/>
    <w:rsid w:val="0081498D"/>
    <w:rsid w:val="008161AB"/>
    <w:rsid w:val="00820E15"/>
    <w:rsid w:val="00821D81"/>
    <w:rsid w:val="00822B1C"/>
    <w:rsid w:val="00822D69"/>
    <w:rsid w:val="0082323B"/>
    <w:rsid w:val="00823C0A"/>
    <w:rsid w:val="008253FA"/>
    <w:rsid w:val="00825422"/>
    <w:rsid w:val="00825C30"/>
    <w:rsid w:val="008260DD"/>
    <w:rsid w:val="00826780"/>
    <w:rsid w:val="00827EA6"/>
    <w:rsid w:val="00830C2E"/>
    <w:rsid w:val="0083147D"/>
    <w:rsid w:val="0083172B"/>
    <w:rsid w:val="008344EC"/>
    <w:rsid w:val="00834633"/>
    <w:rsid w:val="00835632"/>
    <w:rsid w:val="00835AEA"/>
    <w:rsid w:val="00835D30"/>
    <w:rsid w:val="008360D5"/>
    <w:rsid w:val="00836B55"/>
    <w:rsid w:val="00836F34"/>
    <w:rsid w:val="00837E78"/>
    <w:rsid w:val="00840BDF"/>
    <w:rsid w:val="008414C6"/>
    <w:rsid w:val="00842416"/>
    <w:rsid w:val="00843117"/>
    <w:rsid w:val="00843682"/>
    <w:rsid w:val="00843945"/>
    <w:rsid w:val="008440F5"/>
    <w:rsid w:val="00845115"/>
    <w:rsid w:val="00845A91"/>
    <w:rsid w:val="008500B9"/>
    <w:rsid w:val="00850213"/>
    <w:rsid w:val="008511D4"/>
    <w:rsid w:val="00852493"/>
    <w:rsid w:val="008526BE"/>
    <w:rsid w:val="008527BE"/>
    <w:rsid w:val="00853E34"/>
    <w:rsid w:val="00854B26"/>
    <w:rsid w:val="00854CDE"/>
    <w:rsid w:val="008561B0"/>
    <w:rsid w:val="0085734E"/>
    <w:rsid w:val="00857B33"/>
    <w:rsid w:val="00857FB7"/>
    <w:rsid w:val="00860B4A"/>
    <w:rsid w:val="00862D21"/>
    <w:rsid w:val="00863BE0"/>
    <w:rsid w:val="00864B3C"/>
    <w:rsid w:val="008651FD"/>
    <w:rsid w:val="00865C6D"/>
    <w:rsid w:val="00870988"/>
    <w:rsid w:val="00870C49"/>
    <w:rsid w:val="008717B2"/>
    <w:rsid w:val="008736FA"/>
    <w:rsid w:val="008738BF"/>
    <w:rsid w:val="00874C7F"/>
    <w:rsid w:val="00874D61"/>
    <w:rsid w:val="008755DB"/>
    <w:rsid w:val="00876C63"/>
    <w:rsid w:val="0087733B"/>
    <w:rsid w:val="00877834"/>
    <w:rsid w:val="00877F04"/>
    <w:rsid w:val="008807AB"/>
    <w:rsid w:val="008817CA"/>
    <w:rsid w:val="00881ABF"/>
    <w:rsid w:val="00881B6A"/>
    <w:rsid w:val="008831E6"/>
    <w:rsid w:val="00883CA6"/>
    <w:rsid w:val="008852A2"/>
    <w:rsid w:val="008855A4"/>
    <w:rsid w:val="00885A35"/>
    <w:rsid w:val="00885E3A"/>
    <w:rsid w:val="00886969"/>
    <w:rsid w:val="00890B41"/>
    <w:rsid w:val="00892317"/>
    <w:rsid w:val="008929F8"/>
    <w:rsid w:val="00893B86"/>
    <w:rsid w:val="00894574"/>
    <w:rsid w:val="008955E8"/>
    <w:rsid w:val="00895A92"/>
    <w:rsid w:val="00895E95"/>
    <w:rsid w:val="00895F95"/>
    <w:rsid w:val="00897EDA"/>
    <w:rsid w:val="008A108E"/>
    <w:rsid w:val="008A20F8"/>
    <w:rsid w:val="008A46A0"/>
    <w:rsid w:val="008A4BA1"/>
    <w:rsid w:val="008A4C1E"/>
    <w:rsid w:val="008A4E13"/>
    <w:rsid w:val="008A5AF3"/>
    <w:rsid w:val="008A5B17"/>
    <w:rsid w:val="008A60F3"/>
    <w:rsid w:val="008A659A"/>
    <w:rsid w:val="008A74C9"/>
    <w:rsid w:val="008A75AC"/>
    <w:rsid w:val="008B0DBC"/>
    <w:rsid w:val="008B0F04"/>
    <w:rsid w:val="008B0FCF"/>
    <w:rsid w:val="008B1E0A"/>
    <w:rsid w:val="008B45B5"/>
    <w:rsid w:val="008B53CD"/>
    <w:rsid w:val="008B5883"/>
    <w:rsid w:val="008B5B7D"/>
    <w:rsid w:val="008B78D2"/>
    <w:rsid w:val="008C3BA6"/>
    <w:rsid w:val="008C43EC"/>
    <w:rsid w:val="008C46D0"/>
    <w:rsid w:val="008C48DA"/>
    <w:rsid w:val="008C53E8"/>
    <w:rsid w:val="008C59B9"/>
    <w:rsid w:val="008C61AF"/>
    <w:rsid w:val="008C62FE"/>
    <w:rsid w:val="008C7253"/>
    <w:rsid w:val="008C74EB"/>
    <w:rsid w:val="008D16C8"/>
    <w:rsid w:val="008D262F"/>
    <w:rsid w:val="008D2CD1"/>
    <w:rsid w:val="008D305A"/>
    <w:rsid w:val="008D43D4"/>
    <w:rsid w:val="008D48EE"/>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543"/>
    <w:rsid w:val="008E4057"/>
    <w:rsid w:val="008E4929"/>
    <w:rsid w:val="008E5530"/>
    <w:rsid w:val="008E5B7B"/>
    <w:rsid w:val="008E6A6C"/>
    <w:rsid w:val="008E6F7C"/>
    <w:rsid w:val="008E725B"/>
    <w:rsid w:val="008F134C"/>
    <w:rsid w:val="008F13B3"/>
    <w:rsid w:val="008F1537"/>
    <w:rsid w:val="008F1944"/>
    <w:rsid w:val="008F302B"/>
    <w:rsid w:val="008F3089"/>
    <w:rsid w:val="008F3EA8"/>
    <w:rsid w:val="008F423F"/>
    <w:rsid w:val="008F447C"/>
    <w:rsid w:val="008F4B69"/>
    <w:rsid w:val="008F4FD7"/>
    <w:rsid w:val="008F5059"/>
    <w:rsid w:val="008F5328"/>
    <w:rsid w:val="008F63B0"/>
    <w:rsid w:val="008F686A"/>
    <w:rsid w:val="008F6AF7"/>
    <w:rsid w:val="008F6B15"/>
    <w:rsid w:val="008F7950"/>
    <w:rsid w:val="009012B0"/>
    <w:rsid w:val="0090240B"/>
    <w:rsid w:val="00902AC7"/>
    <w:rsid w:val="009036C0"/>
    <w:rsid w:val="00903886"/>
    <w:rsid w:val="00903CC6"/>
    <w:rsid w:val="00903E54"/>
    <w:rsid w:val="009049CE"/>
    <w:rsid w:val="00905E18"/>
    <w:rsid w:val="009061EF"/>
    <w:rsid w:val="00906CD4"/>
    <w:rsid w:val="009108B0"/>
    <w:rsid w:val="00911753"/>
    <w:rsid w:val="00911A82"/>
    <w:rsid w:val="0091202B"/>
    <w:rsid w:val="00912B0E"/>
    <w:rsid w:val="00912FBF"/>
    <w:rsid w:val="00913095"/>
    <w:rsid w:val="0091461C"/>
    <w:rsid w:val="0091597B"/>
    <w:rsid w:val="00915ECD"/>
    <w:rsid w:val="009163BB"/>
    <w:rsid w:val="00916799"/>
    <w:rsid w:val="00916F8E"/>
    <w:rsid w:val="00920044"/>
    <w:rsid w:val="00920D15"/>
    <w:rsid w:val="00921764"/>
    <w:rsid w:val="00921F50"/>
    <w:rsid w:val="009226E1"/>
    <w:rsid w:val="00923DF6"/>
    <w:rsid w:val="00924FF7"/>
    <w:rsid w:val="0092517A"/>
    <w:rsid w:val="0092542D"/>
    <w:rsid w:val="00926A4B"/>
    <w:rsid w:val="00926A90"/>
    <w:rsid w:val="00926DE5"/>
    <w:rsid w:val="009306AD"/>
    <w:rsid w:val="00931497"/>
    <w:rsid w:val="00931B39"/>
    <w:rsid w:val="00932943"/>
    <w:rsid w:val="009333F6"/>
    <w:rsid w:val="009334BF"/>
    <w:rsid w:val="00934028"/>
    <w:rsid w:val="0093408A"/>
    <w:rsid w:val="00934DE1"/>
    <w:rsid w:val="00934DEE"/>
    <w:rsid w:val="00935813"/>
    <w:rsid w:val="0094001B"/>
    <w:rsid w:val="00941214"/>
    <w:rsid w:val="0094130A"/>
    <w:rsid w:val="00941A84"/>
    <w:rsid w:val="00941DF1"/>
    <w:rsid w:val="009420C8"/>
    <w:rsid w:val="009434A3"/>
    <w:rsid w:val="00943B23"/>
    <w:rsid w:val="00943C8B"/>
    <w:rsid w:val="009440DA"/>
    <w:rsid w:val="009448A0"/>
    <w:rsid w:val="00944E61"/>
    <w:rsid w:val="00945168"/>
    <w:rsid w:val="00946315"/>
    <w:rsid w:val="0094761A"/>
    <w:rsid w:val="00947F59"/>
    <w:rsid w:val="00950272"/>
    <w:rsid w:val="00950553"/>
    <w:rsid w:val="009505A7"/>
    <w:rsid w:val="009530CA"/>
    <w:rsid w:val="00954D53"/>
    <w:rsid w:val="00954EBB"/>
    <w:rsid w:val="00955BFB"/>
    <w:rsid w:val="00956109"/>
    <w:rsid w:val="0095793F"/>
    <w:rsid w:val="009600C4"/>
    <w:rsid w:val="009601E6"/>
    <w:rsid w:val="0096030C"/>
    <w:rsid w:val="0096054F"/>
    <w:rsid w:val="00960F15"/>
    <w:rsid w:val="009614E9"/>
    <w:rsid w:val="00961DED"/>
    <w:rsid w:val="00962566"/>
    <w:rsid w:val="00962CEF"/>
    <w:rsid w:val="00963B1C"/>
    <w:rsid w:val="00964211"/>
    <w:rsid w:val="00966853"/>
    <w:rsid w:val="00966F3F"/>
    <w:rsid w:val="009673C2"/>
    <w:rsid w:val="00970373"/>
    <w:rsid w:val="009711C1"/>
    <w:rsid w:val="00971502"/>
    <w:rsid w:val="009718D1"/>
    <w:rsid w:val="009719E3"/>
    <w:rsid w:val="009736A2"/>
    <w:rsid w:val="00973AB1"/>
    <w:rsid w:val="009746FB"/>
    <w:rsid w:val="00974CA3"/>
    <w:rsid w:val="009753C7"/>
    <w:rsid w:val="0097566C"/>
    <w:rsid w:val="00976615"/>
    <w:rsid w:val="00977122"/>
    <w:rsid w:val="00977586"/>
    <w:rsid w:val="00977C89"/>
    <w:rsid w:val="00980866"/>
    <w:rsid w:val="00980CDF"/>
    <w:rsid w:val="00980E79"/>
    <w:rsid w:val="00983E8F"/>
    <w:rsid w:val="0098447D"/>
    <w:rsid w:val="00985367"/>
    <w:rsid w:val="0098567F"/>
    <w:rsid w:val="00985F6F"/>
    <w:rsid w:val="0099203C"/>
    <w:rsid w:val="0099259F"/>
    <w:rsid w:val="009934EF"/>
    <w:rsid w:val="00993874"/>
    <w:rsid w:val="00993D19"/>
    <w:rsid w:val="00993D3B"/>
    <w:rsid w:val="009951BA"/>
    <w:rsid w:val="009955C6"/>
    <w:rsid w:val="009975DA"/>
    <w:rsid w:val="009977D0"/>
    <w:rsid w:val="009A0380"/>
    <w:rsid w:val="009A044D"/>
    <w:rsid w:val="009A0B42"/>
    <w:rsid w:val="009A226B"/>
    <w:rsid w:val="009A2557"/>
    <w:rsid w:val="009A43B7"/>
    <w:rsid w:val="009A4753"/>
    <w:rsid w:val="009A5961"/>
    <w:rsid w:val="009A5E26"/>
    <w:rsid w:val="009A634A"/>
    <w:rsid w:val="009A64D7"/>
    <w:rsid w:val="009A73B7"/>
    <w:rsid w:val="009A7763"/>
    <w:rsid w:val="009B0424"/>
    <w:rsid w:val="009B0A1F"/>
    <w:rsid w:val="009B100E"/>
    <w:rsid w:val="009B15F9"/>
    <w:rsid w:val="009B218E"/>
    <w:rsid w:val="009B2CCD"/>
    <w:rsid w:val="009B2D93"/>
    <w:rsid w:val="009B32FE"/>
    <w:rsid w:val="009B34CE"/>
    <w:rsid w:val="009B435D"/>
    <w:rsid w:val="009B4544"/>
    <w:rsid w:val="009B6737"/>
    <w:rsid w:val="009C027C"/>
    <w:rsid w:val="009C054C"/>
    <w:rsid w:val="009C0609"/>
    <w:rsid w:val="009C0E41"/>
    <w:rsid w:val="009C1870"/>
    <w:rsid w:val="009C3810"/>
    <w:rsid w:val="009C3985"/>
    <w:rsid w:val="009C39D8"/>
    <w:rsid w:val="009C40F5"/>
    <w:rsid w:val="009C4322"/>
    <w:rsid w:val="009C4692"/>
    <w:rsid w:val="009C6EAA"/>
    <w:rsid w:val="009D0EDA"/>
    <w:rsid w:val="009D21B1"/>
    <w:rsid w:val="009D2A51"/>
    <w:rsid w:val="009D31CE"/>
    <w:rsid w:val="009D4BA6"/>
    <w:rsid w:val="009D4FA1"/>
    <w:rsid w:val="009D51F8"/>
    <w:rsid w:val="009D5A55"/>
    <w:rsid w:val="009D6F57"/>
    <w:rsid w:val="009E04AA"/>
    <w:rsid w:val="009E08C2"/>
    <w:rsid w:val="009E0CDD"/>
    <w:rsid w:val="009E0D6A"/>
    <w:rsid w:val="009E31E7"/>
    <w:rsid w:val="009E43AD"/>
    <w:rsid w:val="009E54DA"/>
    <w:rsid w:val="009E5C47"/>
    <w:rsid w:val="009E60F6"/>
    <w:rsid w:val="009E617E"/>
    <w:rsid w:val="009E6DAC"/>
    <w:rsid w:val="009E6E1C"/>
    <w:rsid w:val="009F0EBC"/>
    <w:rsid w:val="009F2CF9"/>
    <w:rsid w:val="009F3103"/>
    <w:rsid w:val="009F4558"/>
    <w:rsid w:val="009F4654"/>
    <w:rsid w:val="009F4D0F"/>
    <w:rsid w:val="009F56DE"/>
    <w:rsid w:val="009F5B74"/>
    <w:rsid w:val="009F5FB4"/>
    <w:rsid w:val="009F7607"/>
    <w:rsid w:val="009F7D9D"/>
    <w:rsid w:val="00A01C25"/>
    <w:rsid w:val="00A02127"/>
    <w:rsid w:val="00A0264E"/>
    <w:rsid w:val="00A02ED6"/>
    <w:rsid w:val="00A04642"/>
    <w:rsid w:val="00A04F2A"/>
    <w:rsid w:val="00A05F5A"/>
    <w:rsid w:val="00A06682"/>
    <w:rsid w:val="00A07262"/>
    <w:rsid w:val="00A07B51"/>
    <w:rsid w:val="00A10D42"/>
    <w:rsid w:val="00A11038"/>
    <w:rsid w:val="00A11459"/>
    <w:rsid w:val="00A116A0"/>
    <w:rsid w:val="00A11A45"/>
    <w:rsid w:val="00A11ED5"/>
    <w:rsid w:val="00A1256B"/>
    <w:rsid w:val="00A12705"/>
    <w:rsid w:val="00A12755"/>
    <w:rsid w:val="00A136A1"/>
    <w:rsid w:val="00A142A4"/>
    <w:rsid w:val="00A146FA"/>
    <w:rsid w:val="00A148CB"/>
    <w:rsid w:val="00A14BA5"/>
    <w:rsid w:val="00A15355"/>
    <w:rsid w:val="00A1574F"/>
    <w:rsid w:val="00A15C41"/>
    <w:rsid w:val="00A15C70"/>
    <w:rsid w:val="00A1603D"/>
    <w:rsid w:val="00A167BE"/>
    <w:rsid w:val="00A16CB8"/>
    <w:rsid w:val="00A17836"/>
    <w:rsid w:val="00A17D67"/>
    <w:rsid w:val="00A22D40"/>
    <w:rsid w:val="00A236E4"/>
    <w:rsid w:val="00A25128"/>
    <w:rsid w:val="00A26DF1"/>
    <w:rsid w:val="00A307F8"/>
    <w:rsid w:val="00A30923"/>
    <w:rsid w:val="00A315E3"/>
    <w:rsid w:val="00A3161F"/>
    <w:rsid w:val="00A328A2"/>
    <w:rsid w:val="00A3361B"/>
    <w:rsid w:val="00A34781"/>
    <w:rsid w:val="00A34971"/>
    <w:rsid w:val="00A34BB5"/>
    <w:rsid w:val="00A353DD"/>
    <w:rsid w:val="00A3630B"/>
    <w:rsid w:val="00A372B3"/>
    <w:rsid w:val="00A37501"/>
    <w:rsid w:val="00A37EAB"/>
    <w:rsid w:val="00A422F3"/>
    <w:rsid w:val="00A45C69"/>
    <w:rsid w:val="00A45D22"/>
    <w:rsid w:val="00A46198"/>
    <w:rsid w:val="00A47107"/>
    <w:rsid w:val="00A47908"/>
    <w:rsid w:val="00A47F0A"/>
    <w:rsid w:val="00A500EB"/>
    <w:rsid w:val="00A517EF"/>
    <w:rsid w:val="00A51DCB"/>
    <w:rsid w:val="00A5268C"/>
    <w:rsid w:val="00A52B8B"/>
    <w:rsid w:val="00A53D14"/>
    <w:rsid w:val="00A53F81"/>
    <w:rsid w:val="00A54101"/>
    <w:rsid w:val="00A541D6"/>
    <w:rsid w:val="00A54757"/>
    <w:rsid w:val="00A549C2"/>
    <w:rsid w:val="00A557E1"/>
    <w:rsid w:val="00A55D21"/>
    <w:rsid w:val="00A56496"/>
    <w:rsid w:val="00A564DD"/>
    <w:rsid w:val="00A57AD8"/>
    <w:rsid w:val="00A57D4D"/>
    <w:rsid w:val="00A6123E"/>
    <w:rsid w:val="00A6138F"/>
    <w:rsid w:val="00A6167C"/>
    <w:rsid w:val="00A624C0"/>
    <w:rsid w:val="00A62630"/>
    <w:rsid w:val="00A62AA3"/>
    <w:rsid w:val="00A6324D"/>
    <w:rsid w:val="00A63D4C"/>
    <w:rsid w:val="00A64303"/>
    <w:rsid w:val="00A6608F"/>
    <w:rsid w:val="00A70B11"/>
    <w:rsid w:val="00A70BF4"/>
    <w:rsid w:val="00A711FA"/>
    <w:rsid w:val="00A71683"/>
    <w:rsid w:val="00A716C3"/>
    <w:rsid w:val="00A72265"/>
    <w:rsid w:val="00A72325"/>
    <w:rsid w:val="00A73CA3"/>
    <w:rsid w:val="00A74790"/>
    <w:rsid w:val="00A74D60"/>
    <w:rsid w:val="00A754FD"/>
    <w:rsid w:val="00A755E2"/>
    <w:rsid w:val="00A76D32"/>
    <w:rsid w:val="00A770F1"/>
    <w:rsid w:val="00A77CCB"/>
    <w:rsid w:val="00A77E51"/>
    <w:rsid w:val="00A812C2"/>
    <w:rsid w:val="00A81638"/>
    <w:rsid w:val="00A81A20"/>
    <w:rsid w:val="00A82989"/>
    <w:rsid w:val="00A82D5A"/>
    <w:rsid w:val="00A82E05"/>
    <w:rsid w:val="00A8315B"/>
    <w:rsid w:val="00A83A5E"/>
    <w:rsid w:val="00A84999"/>
    <w:rsid w:val="00A84F20"/>
    <w:rsid w:val="00A857B5"/>
    <w:rsid w:val="00A8730F"/>
    <w:rsid w:val="00A879F2"/>
    <w:rsid w:val="00A902F3"/>
    <w:rsid w:val="00A905F6"/>
    <w:rsid w:val="00A90C0D"/>
    <w:rsid w:val="00A91B5A"/>
    <w:rsid w:val="00A92091"/>
    <w:rsid w:val="00A92BAC"/>
    <w:rsid w:val="00A931CD"/>
    <w:rsid w:val="00A93BFE"/>
    <w:rsid w:val="00A948A5"/>
    <w:rsid w:val="00A961E9"/>
    <w:rsid w:val="00A9654E"/>
    <w:rsid w:val="00AA1545"/>
    <w:rsid w:val="00AA1688"/>
    <w:rsid w:val="00AA1FFD"/>
    <w:rsid w:val="00AA32D4"/>
    <w:rsid w:val="00AA33EC"/>
    <w:rsid w:val="00AA3D9A"/>
    <w:rsid w:val="00AA4A5A"/>
    <w:rsid w:val="00AA57EC"/>
    <w:rsid w:val="00AA6676"/>
    <w:rsid w:val="00AA6C2D"/>
    <w:rsid w:val="00AA6E2F"/>
    <w:rsid w:val="00AA7538"/>
    <w:rsid w:val="00AB1F35"/>
    <w:rsid w:val="00AB2098"/>
    <w:rsid w:val="00AB28CB"/>
    <w:rsid w:val="00AB3181"/>
    <w:rsid w:val="00AB3DEE"/>
    <w:rsid w:val="00AB4CC7"/>
    <w:rsid w:val="00AB66DB"/>
    <w:rsid w:val="00AB6DDF"/>
    <w:rsid w:val="00AB76A1"/>
    <w:rsid w:val="00AB7F33"/>
    <w:rsid w:val="00AC011B"/>
    <w:rsid w:val="00AC0715"/>
    <w:rsid w:val="00AC19F5"/>
    <w:rsid w:val="00AC2AA6"/>
    <w:rsid w:val="00AC3983"/>
    <w:rsid w:val="00AC5CDE"/>
    <w:rsid w:val="00AC733E"/>
    <w:rsid w:val="00AD056D"/>
    <w:rsid w:val="00AD3CC2"/>
    <w:rsid w:val="00AD3E3F"/>
    <w:rsid w:val="00AD4335"/>
    <w:rsid w:val="00AD6423"/>
    <w:rsid w:val="00AD73C1"/>
    <w:rsid w:val="00AD7937"/>
    <w:rsid w:val="00AD7D8B"/>
    <w:rsid w:val="00AE017F"/>
    <w:rsid w:val="00AE0DB0"/>
    <w:rsid w:val="00AE0E62"/>
    <w:rsid w:val="00AE2389"/>
    <w:rsid w:val="00AE5CF4"/>
    <w:rsid w:val="00AE63F1"/>
    <w:rsid w:val="00AE6BDB"/>
    <w:rsid w:val="00AE7938"/>
    <w:rsid w:val="00AF0505"/>
    <w:rsid w:val="00AF080C"/>
    <w:rsid w:val="00AF0A12"/>
    <w:rsid w:val="00AF0C73"/>
    <w:rsid w:val="00AF11C9"/>
    <w:rsid w:val="00AF175B"/>
    <w:rsid w:val="00AF1917"/>
    <w:rsid w:val="00AF1A77"/>
    <w:rsid w:val="00AF207C"/>
    <w:rsid w:val="00AF2933"/>
    <w:rsid w:val="00AF2DFE"/>
    <w:rsid w:val="00AF33A5"/>
    <w:rsid w:val="00AF3B07"/>
    <w:rsid w:val="00AF3CAE"/>
    <w:rsid w:val="00AF40A2"/>
    <w:rsid w:val="00AF4425"/>
    <w:rsid w:val="00AF4CA9"/>
    <w:rsid w:val="00AF51CC"/>
    <w:rsid w:val="00AF5CBA"/>
    <w:rsid w:val="00AF5E77"/>
    <w:rsid w:val="00AF6AF2"/>
    <w:rsid w:val="00AF7A0F"/>
    <w:rsid w:val="00B00129"/>
    <w:rsid w:val="00B00730"/>
    <w:rsid w:val="00B00E9C"/>
    <w:rsid w:val="00B01685"/>
    <w:rsid w:val="00B03736"/>
    <w:rsid w:val="00B03988"/>
    <w:rsid w:val="00B03E3A"/>
    <w:rsid w:val="00B0407B"/>
    <w:rsid w:val="00B05C6B"/>
    <w:rsid w:val="00B074EB"/>
    <w:rsid w:val="00B07A87"/>
    <w:rsid w:val="00B10065"/>
    <w:rsid w:val="00B100E5"/>
    <w:rsid w:val="00B10A08"/>
    <w:rsid w:val="00B113ED"/>
    <w:rsid w:val="00B12677"/>
    <w:rsid w:val="00B13300"/>
    <w:rsid w:val="00B1404F"/>
    <w:rsid w:val="00B14562"/>
    <w:rsid w:val="00B14B66"/>
    <w:rsid w:val="00B1705C"/>
    <w:rsid w:val="00B171C4"/>
    <w:rsid w:val="00B177DD"/>
    <w:rsid w:val="00B20443"/>
    <w:rsid w:val="00B20A40"/>
    <w:rsid w:val="00B224F2"/>
    <w:rsid w:val="00B23705"/>
    <w:rsid w:val="00B23BF2"/>
    <w:rsid w:val="00B24078"/>
    <w:rsid w:val="00B24513"/>
    <w:rsid w:val="00B24D28"/>
    <w:rsid w:val="00B261DD"/>
    <w:rsid w:val="00B27114"/>
    <w:rsid w:val="00B272CC"/>
    <w:rsid w:val="00B30318"/>
    <w:rsid w:val="00B31916"/>
    <w:rsid w:val="00B32FB4"/>
    <w:rsid w:val="00B33522"/>
    <w:rsid w:val="00B34509"/>
    <w:rsid w:val="00B345DF"/>
    <w:rsid w:val="00B35828"/>
    <w:rsid w:val="00B37221"/>
    <w:rsid w:val="00B3741F"/>
    <w:rsid w:val="00B37684"/>
    <w:rsid w:val="00B40E28"/>
    <w:rsid w:val="00B40F99"/>
    <w:rsid w:val="00B413BC"/>
    <w:rsid w:val="00B416F0"/>
    <w:rsid w:val="00B41800"/>
    <w:rsid w:val="00B420A4"/>
    <w:rsid w:val="00B42867"/>
    <w:rsid w:val="00B4352E"/>
    <w:rsid w:val="00B43871"/>
    <w:rsid w:val="00B44243"/>
    <w:rsid w:val="00B4457A"/>
    <w:rsid w:val="00B450C4"/>
    <w:rsid w:val="00B45164"/>
    <w:rsid w:val="00B45D0D"/>
    <w:rsid w:val="00B45DF2"/>
    <w:rsid w:val="00B46A04"/>
    <w:rsid w:val="00B46B41"/>
    <w:rsid w:val="00B50600"/>
    <w:rsid w:val="00B50625"/>
    <w:rsid w:val="00B51034"/>
    <w:rsid w:val="00B51B01"/>
    <w:rsid w:val="00B51CE5"/>
    <w:rsid w:val="00B51D56"/>
    <w:rsid w:val="00B523D4"/>
    <w:rsid w:val="00B52A7D"/>
    <w:rsid w:val="00B54547"/>
    <w:rsid w:val="00B54576"/>
    <w:rsid w:val="00B5499F"/>
    <w:rsid w:val="00B551F5"/>
    <w:rsid w:val="00B557E7"/>
    <w:rsid w:val="00B561C7"/>
    <w:rsid w:val="00B5750D"/>
    <w:rsid w:val="00B57E31"/>
    <w:rsid w:val="00B60568"/>
    <w:rsid w:val="00B61AE2"/>
    <w:rsid w:val="00B6249D"/>
    <w:rsid w:val="00B64D0A"/>
    <w:rsid w:val="00B651E6"/>
    <w:rsid w:val="00B67C35"/>
    <w:rsid w:val="00B71754"/>
    <w:rsid w:val="00B71E29"/>
    <w:rsid w:val="00B72694"/>
    <w:rsid w:val="00B72781"/>
    <w:rsid w:val="00B73491"/>
    <w:rsid w:val="00B73B31"/>
    <w:rsid w:val="00B73E5E"/>
    <w:rsid w:val="00B74655"/>
    <w:rsid w:val="00B7523E"/>
    <w:rsid w:val="00B753CF"/>
    <w:rsid w:val="00B7550F"/>
    <w:rsid w:val="00B76020"/>
    <w:rsid w:val="00B768DC"/>
    <w:rsid w:val="00B76A85"/>
    <w:rsid w:val="00B76D38"/>
    <w:rsid w:val="00B77567"/>
    <w:rsid w:val="00B77F7B"/>
    <w:rsid w:val="00B817C7"/>
    <w:rsid w:val="00B81B26"/>
    <w:rsid w:val="00B81F12"/>
    <w:rsid w:val="00B82192"/>
    <w:rsid w:val="00B8359C"/>
    <w:rsid w:val="00B840E3"/>
    <w:rsid w:val="00B8605A"/>
    <w:rsid w:val="00B86088"/>
    <w:rsid w:val="00B8641C"/>
    <w:rsid w:val="00B877CC"/>
    <w:rsid w:val="00B879CB"/>
    <w:rsid w:val="00B87EDF"/>
    <w:rsid w:val="00B90EDB"/>
    <w:rsid w:val="00B91AB0"/>
    <w:rsid w:val="00B9250E"/>
    <w:rsid w:val="00B925F8"/>
    <w:rsid w:val="00B9288F"/>
    <w:rsid w:val="00B93463"/>
    <w:rsid w:val="00B93689"/>
    <w:rsid w:val="00B94B0F"/>
    <w:rsid w:val="00B94BB3"/>
    <w:rsid w:val="00B9535C"/>
    <w:rsid w:val="00B95964"/>
    <w:rsid w:val="00B96509"/>
    <w:rsid w:val="00B96E71"/>
    <w:rsid w:val="00B97182"/>
    <w:rsid w:val="00BA1993"/>
    <w:rsid w:val="00BA35E4"/>
    <w:rsid w:val="00BA3C61"/>
    <w:rsid w:val="00BA4DF2"/>
    <w:rsid w:val="00BA4FF3"/>
    <w:rsid w:val="00BA6DB0"/>
    <w:rsid w:val="00BA7246"/>
    <w:rsid w:val="00BB0856"/>
    <w:rsid w:val="00BB1045"/>
    <w:rsid w:val="00BB140D"/>
    <w:rsid w:val="00BB167C"/>
    <w:rsid w:val="00BB28D2"/>
    <w:rsid w:val="00BB28EE"/>
    <w:rsid w:val="00BB2B9E"/>
    <w:rsid w:val="00BB2DCE"/>
    <w:rsid w:val="00BB4B02"/>
    <w:rsid w:val="00BB5075"/>
    <w:rsid w:val="00BB61BC"/>
    <w:rsid w:val="00BB67C0"/>
    <w:rsid w:val="00BB7568"/>
    <w:rsid w:val="00BC08B8"/>
    <w:rsid w:val="00BC0AD4"/>
    <w:rsid w:val="00BC1015"/>
    <w:rsid w:val="00BC1160"/>
    <w:rsid w:val="00BC1273"/>
    <w:rsid w:val="00BC2D2F"/>
    <w:rsid w:val="00BC4907"/>
    <w:rsid w:val="00BC64F6"/>
    <w:rsid w:val="00BC6B9C"/>
    <w:rsid w:val="00BC6E33"/>
    <w:rsid w:val="00BD1344"/>
    <w:rsid w:val="00BD3C3B"/>
    <w:rsid w:val="00BD431B"/>
    <w:rsid w:val="00BD4C58"/>
    <w:rsid w:val="00BD4E5C"/>
    <w:rsid w:val="00BD646F"/>
    <w:rsid w:val="00BD6B17"/>
    <w:rsid w:val="00BD725B"/>
    <w:rsid w:val="00BE0C8E"/>
    <w:rsid w:val="00BE0EF3"/>
    <w:rsid w:val="00BE1541"/>
    <w:rsid w:val="00BE1BA1"/>
    <w:rsid w:val="00BE21F6"/>
    <w:rsid w:val="00BE29F9"/>
    <w:rsid w:val="00BE3C14"/>
    <w:rsid w:val="00BE3F2A"/>
    <w:rsid w:val="00BE5C5C"/>
    <w:rsid w:val="00BE5E0F"/>
    <w:rsid w:val="00BF0769"/>
    <w:rsid w:val="00BF2241"/>
    <w:rsid w:val="00BF3C2F"/>
    <w:rsid w:val="00BF4230"/>
    <w:rsid w:val="00BF4421"/>
    <w:rsid w:val="00BF7790"/>
    <w:rsid w:val="00C00824"/>
    <w:rsid w:val="00C01262"/>
    <w:rsid w:val="00C02544"/>
    <w:rsid w:val="00C03FE3"/>
    <w:rsid w:val="00C05532"/>
    <w:rsid w:val="00C06046"/>
    <w:rsid w:val="00C06330"/>
    <w:rsid w:val="00C064DE"/>
    <w:rsid w:val="00C06D5E"/>
    <w:rsid w:val="00C07551"/>
    <w:rsid w:val="00C07AB7"/>
    <w:rsid w:val="00C10C51"/>
    <w:rsid w:val="00C10C7E"/>
    <w:rsid w:val="00C10D02"/>
    <w:rsid w:val="00C118D5"/>
    <w:rsid w:val="00C1219E"/>
    <w:rsid w:val="00C12F7C"/>
    <w:rsid w:val="00C135C1"/>
    <w:rsid w:val="00C13FA3"/>
    <w:rsid w:val="00C13FB0"/>
    <w:rsid w:val="00C14788"/>
    <w:rsid w:val="00C14CB4"/>
    <w:rsid w:val="00C1532A"/>
    <w:rsid w:val="00C15F65"/>
    <w:rsid w:val="00C163D4"/>
    <w:rsid w:val="00C172FF"/>
    <w:rsid w:val="00C2049A"/>
    <w:rsid w:val="00C21697"/>
    <w:rsid w:val="00C21D61"/>
    <w:rsid w:val="00C226C5"/>
    <w:rsid w:val="00C23755"/>
    <w:rsid w:val="00C2376C"/>
    <w:rsid w:val="00C23D5B"/>
    <w:rsid w:val="00C2400B"/>
    <w:rsid w:val="00C240C2"/>
    <w:rsid w:val="00C247D9"/>
    <w:rsid w:val="00C252D8"/>
    <w:rsid w:val="00C261C8"/>
    <w:rsid w:val="00C26F39"/>
    <w:rsid w:val="00C3014B"/>
    <w:rsid w:val="00C30688"/>
    <w:rsid w:val="00C32014"/>
    <w:rsid w:val="00C32114"/>
    <w:rsid w:val="00C321EB"/>
    <w:rsid w:val="00C32D04"/>
    <w:rsid w:val="00C33DCD"/>
    <w:rsid w:val="00C347EF"/>
    <w:rsid w:val="00C3557A"/>
    <w:rsid w:val="00C35C3E"/>
    <w:rsid w:val="00C364B1"/>
    <w:rsid w:val="00C3751B"/>
    <w:rsid w:val="00C40829"/>
    <w:rsid w:val="00C40C09"/>
    <w:rsid w:val="00C41F90"/>
    <w:rsid w:val="00C42525"/>
    <w:rsid w:val="00C43BC5"/>
    <w:rsid w:val="00C4455B"/>
    <w:rsid w:val="00C44D20"/>
    <w:rsid w:val="00C45431"/>
    <w:rsid w:val="00C45E7F"/>
    <w:rsid w:val="00C45FFE"/>
    <w:rsid w:val="00C46A5D"/>
    <w:rsid w:val="00C46CC8"/>
    <w:rsid w:val="00C46EFB"/>
    <w:rsid w:val="00C5003E"/>
    <w:rsid w:val="00C50486"/>
    <w:rsid w:val="00C50C10"/>
    <w:rsid w:val="00C51D0C"/>
    <w:rsid w:val="00C52118"/>
    <w:rsid w:val="00C52C6A"/>
    <w:rsid w:val="00C53ABE"/>
    <w:rsid w:val="00C53C3A"/>
    <w:rsid w:val="00C53EFB"/>
    <w:rsid w:val="00C55269"/>
    <w:rsid w:val="00C5603A"/>
    <w:rsid w:val="00C56833"/>
    <w:rsid w:val="00C56E53"/>
    <w:rsid w:val="00C57308"/>
    <w:rsid w:val="00C576AE"/>
    <w:rsid w:val="00C579A5"/>
    <w:rsid w:val="00C608D9"/>
    <w:rsid w:val="00C60AC9"/>
    <w:rsid w:val="00C61BD1"/>
    <w:rsid w:val="00C64A1A"/>
    <w:rsid w:val="00C65E32"/>
    <w:rsid w:val="00C677F7"/>
    <w:rsid w:val="00C6783B"/>
    <w:rsid w:val="00C67F32"/>
    <w:rsid w:val="00C715C5"/>
    <w:rsid w:val="00C723B8"/>
    <w:rsid w:val="00C72C58"/>
    <w:rsid w:val="00C730BD"/>
    <w:rsid w:val="00C73E9A"/>
    <w:rsid w:val="00C7403E"/>
    <w:rsid w:val="00C7475D"/>
    <w:rsid w:val="00C74AEF"/>
    <w:rsid w:val="00C761C1"/>
    <w:rsid w:val="00C766A4"/>
    <w:rsid w:val="00C76CFC"/>
    <w:rsid w:val="00C77F34"/>
    <w:rsid w:val="00C803CF"/>
    <w:rsid w:val="00C80ED4"/>
    <w:rsid w:val="00C81CF9"/>
    <w:rsid w:val="00C829AC"/>
    <w:rsid w:val="00C83458"/>
    <w:rsid w:val="00C83E56"/>
    <w:rsid w:val="00C850FA"/>
    <w:rsid w:val="00C859DC"/>
    <w:rsid w:val="00C86D29"/>
    <w:rsid w:val="00C87836"/>
    <w:rsid w:val="00C908CF"/>
    <w:rsid w:val="00C90948"/>
    <w:rsid w:val="00C9169F"/>
    <w:rsid w:val="00C92AF4"/>
    <w:rsid w:val="00C92AF9"/>
    <w:rsid w:val="00C92C60"/>
    <w:rsid w:val="00C93430"/>
    <w:rsid w:val="00C94D44"/>
    <w:rsid w:val="00C9521B"/>
    <w:rsid w:val="00C95C33"/>
    <w:rsid w:val="00C96C10"/>
    <w:rsid w:val="00C97A39"/>
    <w:rsid w:val="00CA134D"/>
    <w:rsid w:val="00CA146D"/>
    <w:rsid w:val="00CA16CB"/>
    <w:rsid w:val="00CA1752"/>
    <w:rsid w:val="00CA1C79"/>
    <w:rsid w:val="00CA327C"/>
    <w:rsid w:val="00CA347B"/>
    <w:rsid w:val="00CA40E2"/>
    <w:rsid w:val="00CA51BA"/>
    <w:rsid w:val="00CA585B"/>
    <w:rsid w:val="00CA5CB5"/>
    <w:rsid w:val="00CA5E99"/>
    <w:rsid w:val="00CA6DFB"/>
    <w:rsid w:val="00CB171D"/>
    <w:rsid w:val="00CB1B29"/>
    <w:rsid w:val="00CB1E67"/>
    <w:rsid w:val="00CB222B"/>
    <w:rsid w:val="00CB4819"/>
    <w:rsid w:val="00CB4EA2"/>
    <w:rsid w:val="00CB531D"/>
    <w:rsid w:val="00CB581A"/>
    <w:rsid w:val="00CB5B94"/>
    <w:rsid w:val="00CB63D4"/>
    <w:rsid w:val="00CB6B45"/>
    <w:rsid w:val="00CB701C"/>
    <w:rsid w:val="00CC043A"/>
    <w:rsid w:val="00CC04F7"/>
    <w:rsid w:val="00CC1095"/>
    <w:rsid w:val="00CC1634"/>
    <w:rsid w:val="00CC1CFE"/>
    <w:rsid w:val="00CC2186"/>
    <w:rsid w:val="00CC237B"/>
    <w:rsid w:val="00CC2E7E"/>
    <w:rsid w:val="00CC2E9A"/>
    <w:rsid w:val="00CC2FB1"/>
    <w:rsid w:val="00CC358C"/>
    <w:rsid w:val="00CC3F06"/>
    <w:rsid w:val="00CC43D3"/>
    <w:rsid w:val="00CC47B2"/>
    <w:rsid w:val="00CC5E65"/>
    <w:rsid w:val="00CC62AB"/>
    <w:rsid w:val="00CC72C1"/>
    <w:rsid w:val="00CC7A74"/>
    <w:rsid w:val="00CD0867"/>
    <w:rsid w:val="00CD0BC9"/>
    <w:rsid w:val="00CD146F"/>
    <w:rsid w:val="00CD1E18"/>
    <w:rsid w:val="00CD230E"/>
    <w:rsid w:val="00CD26A6"/>
    <w:rsid w:val="00CD36F5"/>
    <w:rsid w:val="00CD3D78"/>
    <w:rsid w:val="00CD4BD5"/>
    <w:rsid w:val="00CD56AE"/>
    <w:rsid w:val="00CD5B3E"/>
    <w:rsid w:val="00CD6C1C"/>
    <w:rsid w:val="00CD6C4E"/>
    <w:rsid w:val="00CD79D9"/>
    <w:rsid w:val="00CE0EFC"/>
    <w:rsid w:val="00CE19B0"/>
    <w:rsid w:val="00CE1D65"/>
    <w:rsid w:val="00CE1FA4"/>
    <w:rsid w:val="00CE317D"/>
    <w:rsid w:val="00CE3E8B"/>
    <w:rsid w:val="00CE5127"/>
    <w:rsid w:val="00CE5275"/>
    <w:rsid w:val="00CE5854"/>
    <w:rsid w:val="00CE5A1D"/>
    <w:rsid w:val="00CE5C95"/>
    <w:rsid w:val="00CE6D8D"/>
    <w:rsid w:val="00CE74FB"/>
    <w:rsid w:val="00CE7E52"/>
    <w:rsid w:val="00CE7E70"/>
    <w:rsid w:val="00CF17FB"/>
    <w:rsid w:val="00CF19A3"/>
    <w:rsid w:val="00CF2230"/>
    <w:rsid w:val="00CF30EF"/>
    <w:rsid w:val="00CF3165"/>
    <w:rsid w:val="00CF33CD"/>
    <w:rsid w:val="00CF3819"/>
    <w:rsid w:val="00CF46CA"/>
    <w:rsid w:val="00CF4CB6"/>
    <w:rsid w:val="00CF4FDA"/>
    <w:rsid w:val="00D00213"/>
    <w:rsid w:val="00D0032D"/>
    <w:rsid w:val="00D00C8E"/>
    <w:rsid w:val="00D00FAA"/>
    <w:rsid w:val="00D02F12"/>
    <w:rsid w:val="00D0369A"/>
    <w:rsid w:val="00D0429F"/>
    <w:rsid w:val="00D04858"/>
    <w:rsid w:val="00D04B50"/>
    <w:rsid w:val="00D051AA"/>
    <w:rsid w:val="00D0674B"/>
    <w:rsid w:val="00D06EF3"/>
    <w:rsid w:val="00D0707D"/>
    <w:rsid w:val="00D076BA"/>
    <w:rsid w:val="00D07EBE"/>
    <w:rsid w:val="00D10D64"/>
    <w:rsid w:val="00D114F8"/>
    <w:rsid w:val="00D11584"/>
    <w:rsid w:val="00D11856"/>
    <w:rsid w:val="00D1367A"/>
    <w:rsid w:val="00D13EC1"/>
    <w:rsid w:val="00D14079"/>
    <w:rsid w:val="00D147EC"/>
    <w:rsid w:val="00D1501E"/>
    <w:rsid w:val="00D153EB"/>
    <w:rsid w:val="00D160D3"/>
    <w:rsid w:val="00D16DEA"/>
    <w:rsid w:val="00D17039"/>
    <w:rsid w:val="00D20034"/>
    <w:rsid w:val="00D20B89"/>
    <w:rsid w:val="00D210A7"/>
    <w:rsid w:val="00D21391"/>
    <w:rsid w:val="00D220A9"/>
    <w:rsid w:val="00D22E26"/>
    <w:rsid w:val="00D23D9A"/>
    <w:rsid w:val="00D247AC"/>
    <w:rsid w:val="00D24861"/>
    <w:rsid w:val="00D2529E"/>
    <w:rsid w:val="00D25C78"/>
    <w:rsid w:val="00D2794C"/>
    <w:rsid w:val="00D30375"/>
    <w:rsid w:val="00D314D4"/>
    <w:rsid w:val="00D3208D"/>
    <w:rsid w:val="00D3420A"/>
    <w:rsid w:val="00D35AFC"/>
    <w:rsid w:val="00D35B3D"/>
    <w:rsid w:val="00D36596"/>
    <w:rsid w:val="00D3699F"/>
    <w:rsid w:val="00D36BB1"/>
    <w:rsid w:val="00D36F5E"/>
    <w:rsid w:val="00D37B09"/>
    <w:rsid w:val="00D40943"/>
    <w:rsid w:val="00D40A23"/>
    <w:rsid w:val="00D40FA2"/>
    <w:rsid w:val="00D40FCB"/>
    <w:rsid w:val="00D4111E"/>
    <w:rsid w:val="00D415F0"/>
    <w:rsid w:val="00D421F5"/>
    <w:rsid w:val="00D42CA0"/>
    <w:rsid w:val="00D43454"/>
    <w:rsid w:val="00D43F24"/>
    <w:rsid w:val="00D45159"/>
    <w:rsid w:val="00D45239"/>
    <w:rsid w:val="00D45657"/>
    <w:rsid w:val="00D46A3C"/>
    <w:rsid w:val="00D46C65"/>
    <w:rsid w:val="00D470FF"/>
    <w:rsid w:val="00D471B7"/>
    <w:rsid w:val="00D507A8"/>
    <w:rsid w:val="00D5162B"/>
    <w:rsid w:val="00D516AC"/>
    <w:rsid w:val="00D5193D"/>
    <w:rsid w:val="00D52862"/>
    <w:rsid w:val="00D52E46"/>
    <w:rsid w:val="00D55558"/>
    <w:rsid w:val="00D55F79"/>
    <w:rsid w:val="00D57126"/>
    <w:rsid w:val="00D57735"/>
    <w:rsid w:val="00D57851"/>
    <w:rsid w:val="00D57B33"/>
    <w:rsid w:val="00D57E03"/>
    <w:rsid w:val="00D602D9"/>
    <w:rsid w:val="00D60D33"/>
    <w:rsid w:val="00D61C3A"/>
    <w:rsid w:val="00D620BA"/>
    <w:rsid w:val="00D621BB"/>
    <w:rsid w:val="00D62530"/>
    <w:rsid w:val="00D629B8"/>
    <w:rsid w:val="00D63A80"/>
    <w:rsid w:val="00D63CB7"/>
    <w:rsid w:val="00D63F19"/>
    <w:rsid w:val="00D64400"/>
    <w:rsid w:val="00D649D5"/>
    <w:rsid w:val="00D64A6D"/>
    <w:rsid w:val="00D64F3A"/>
    <w:rsid w:val="00D650BD"/>
    <w:rsid w:val="00D65CEF"/>
    <w:rsid w:val="00D66097"/>
    <w:rsid w:val="00D663C2"/>
    <w:rsid w:val="00D66713"/>
    <w:rsid w:val="00D6713C"/>
    <w:rsid w:val="00D672E4"/>
    <w:rsid w:val="00D67F17"/>
    <w:rsid w:val="00D702F7"/>
    <w:rsid w:val="00D706B9"/>
    <w:rsid w:val="00D709B7"/>
    <w:rsid w:val="00D71B13"/>
    <w:rsid w:val="00D72C5A"/>
    <w:rsid w:val="00D72C6C"/>
    <w:rsid w:val="00D73478"/>
    <w:rsid w:val="00D75548"/>
    <w:rsid w:val="00D76932"/>
    <w:rsid w:val="00D8079C"/>
    <w:rsid w:val="00D80F7E"/>
    <w:rsid w:val="00D8130E"/>
    <w:rsid w:val="00D81B5E"/>
    <w:rsid w:val="00D81C65"/>
    <w:rsid w:val="00D821D6"/>
    <w:rsid w:val="00D833C7"/>
    <w:rsid w:val="00D834AB"/>
    <w:rsid w:val="00D83FFD"/>
    <w:rsid w:val="00D84406"/>
    <w:rsid w:val="00D84C2A"/>
    <w:rsid w:val="00D8556E"/>
    <w:rsid w:val="00D85F64"/>
    <w:rsid w:val="00D86A4D"/>
    <w:rsid w:val="00D900D8"/>
    <w:rsid w:val="00D921A9"/>
    <w:rsid w:val="00D92533"/>
    <w:rsid w:val="00D92CB5"/>
    <w:rsid w:val="00D936CC"/>
    <w:rsid w:val="00D93789"/>
    <w:rsid w:val="00D95234"/>
    <w:rsid w:val="00D97157"/>
    <w:rsid w:val="00D977D4"/>
    <w:rsid w:val="00D979C7"/>
    <w:rsid w:val="00D97F49"/>
    <w:rsid w:val="00DA119C"/>
    <w:rsid w:val="00DA1D30"/>
    <w:rsid w:val="00DA245F"/>
    <w:rsid w:val="00DA28AF"/>
    <w:rsid w:val="00DA3470"/>
    <w:rsid w:val="00DA3C8A"/>
    <w:rsid w:val="00DA40CF"/>
    <w:rsid w:val="00DA4A77"/>
    <w:rsid w:val="00DA529C"/>
    <w:rsid w:val="00DA5D84"/>
    <w:rsid w:val="00DA6FC2"/>
    <w:rsid w:val="00DA772F"/>
    <w:rsid w:val="00DB0851"/>
    <w:rsid w:val="00DB2F50"/>
    <w:rsid w:val="00DB4082"/>
    <w:rsid w:val="00DB4387"/>
    <w:rsid w:val="00DB58DB"/>
    <w:rsid w:val="00DB65B5"/>
    <w:rsid w:val="00DB6C12"/>
    <w:rsid w:val="00DB6C32"/>
    <w:rsid w:val="00DB798F"/>
    <w:rsid w:val="00DB7CE9"/>
    <w:rsid w:val="00DC0182"/>
    <w:rsid w:val="00DC0E3F"/>
    <w:rsid w:val="00DC14C3"/>
    <w:rsid w:val="00DC1D20"/>
    <w:rsid w:val="00DC23E3"/>
    <w:rsid w:val="00DC248F"/>
    <w:rsid w:val="00DC278D"/>
    <w:rsid w:val="00DC3625"/>
    <w:rsid w:val="00DC4466"/>
    <w:rsid w:val="00DC44B8"/>
    <w:rsid w:val="00DC4549"/>
    <w:rsid w:val="00DC50B6"/>
    <w:rsid w:val="00DC5180"/>
    <w:rsid w:val="00DC5931"/>
    <w:rsid w:val="00DC6087"/>
    <w:rsid w:val="00DC6B83"/>
    <w:rsid w:val="00DD04A2"/>
    <w:rsid w:val="00DD050E"/>
    <w:rsid w:val="00DD1AAC"/>
    <w:rsid w:val="00DD1FE2"/>
    <w:rsid w:val="00DD291B"/>
    <w:rsid w:val="00DD34BB"/>
    <w:rsid w:val="00DD4AB1"/>
    <w:rsid w:val="00DD532B"/>
    <w:rsid w:val="00DD6A2A"/>
    <w:rsid w:val="00DD6AD4"/>
    <w:rsid w:val="00DD7023"/>
    <w:rsid w:val="00DD7760"/>
    <w:rsid w:val="00DD7F56"/>
    <w:rsid w:val="00DE00E1"/>
    <w:rsid w:val="00DE0426"/>
    <w:rsid w:val="00DE0587"/>
    <w:rsid w:val="00DE073D"/>
    <w:rsid w:val="00DE0B4D"/>
    <w:rsid w:val="00DE0C5F"/>
    <w:rsid w:val="00DE0EF2"/>
    <w:rsid w:val="00DE1D7C"/>
    <w:rsid w:val="00DE228D"/>
    <w:rsid w:val="00DE2703"/>
    <w:rsid w:val="00DE291D"/>
    <w:rsid w:val="00DE3375"/>
    <w:rsid w:val="00DE3432"/>
    <w:rsid w:val="00DE6416"/>
    <w:rsid w:val="00DF011D"/>
    <w:rsid w:val="00DF20C1"/>
    <w:rsid w:val="00DF39DE"/>
    <w:rsid w:val="00DF46AC"/>
    <w:rsid w:val="00DF46FA"/>
    <w:rsid w:val="00DF4964"/>
    <w:rsid w:val="00DF629E"/>
    <w:rsid w:val="00DF6E07"/>
    <w:rsid w:val="00DF7588"/>
    <w:rsid w:val="00DF7A1D"/>
    <w:rsid w:val="00E00023"/>
    <w:rsid w:val="00E0055A"/>
    <w:rsid w:val="00E00A95"/>
    <w:rsid w:val="00E02157"/>
    <w:rsid w:val="00E033EA"/>
    <w:rsid w:val="00E052AA"/>
    <w:rsid w:val="00E05631"/>
    <w:rsid w:val="00E06F3E"/>
    <w:rsid w:val="00E07822"/>
    <w:rsid w:val="00E07880"/>
    <w:rsid w:val="00E111C0"/>
    <w:rsid w:val="00E11B2D"/>
    <w:rsid w:val="00E12D38"/>
    <w:rsid w:val="00E13CA8"/>
    <w:rsid w:val="00E145B9"/>
    <w:rsid w:val="00E15C7A"/>
    <w:rsid w:val="00E166DD"/>
    <w:rsid w:val="00E175AA"/>
    <w:rsid w:val="00E2087E"/>
    <w:rsid w:val="00E20DAE"/>
    <w:rsid w:val="00E21699"/>
    <w:rsid w:val="00E21827"/>
    <w:rsid w:val="00E223AC"/>
    <w:rsid w:val="00E236FF"/>
    <w:rsid w:val="00E2380D"/>
    <w:rsid w:val="00E25ECE"/>
    <w:rsid w:val="00E25FA1"/>
    <w:rsid w:val="00E26021"/>
    <w:rsid w:val="00E265BB"/>
    <w:rsid w:val="00E27D67"/>
    <w:rsid w:val="00E30BA1"/>
    <w:rsid w:val="00E315A4"/>
    <w:rsid w:val="00E319A8"/>
    <w:rsid w:val="00E31C62"/>
    <w:rsid w:val="00E31CD4"/>
    <w:rsid w:val="00E32B32"/>
    <w:rsid w:val="00E33AAE"/>
    <w:rsid w:val="00E33B8C"/>
    <w:rsid w:val="00E33EF2"/>
    <w:rsid w:val="00E34EF3"/>
    <w:rsid w:val="00E351EC"/>
    <w:rsid w:val="00E35269"/>
    <w:rsid w:val="00E35657"/>
    <w:rsid w:val="00E35F58"/>
    <w:rsid w:val="00E35FB3"/>
    <w:rsid w:val="00E3638E"/>
    <w:rsid w:val="00E3660E"/>
    <w:rsid w:val="00E4016E"/>
    <w:rsid w:val="00E41AF3"/>
    <w:rsid w:val="00E42A50"/>
    <w:rsid w:val="00E42CA8"/>
    <w:rsid w:val="00E42FA5"/>
    <w:rsid w:val="00E45425"/>
    <w:rsid w:val="00E45CDE"/>
    <w:rsid w:val="00E45D70"/>
    <w:rsid w:val="00E461C6"/>
    <w:rsid w:val="00E464E5"/>
    <w:rsid w:val="00E47F8E"/>
    <w:rsid w:val="00E503A4"/>
    <w:rsid w:val="00E509F8"/>
    <w:rsid w:val="00E518F7"/>
    <w:rsid w:val="00E52936"/>
    <w:rsid w:val="00E52F7A"/>
    <w:rsid w:val="00E531B2"/>
    <w:rsid w:val="00E53390"/>
    <w:rsid w:val="00E5420B"/>
    <w:rsid w:val="00E54351"/>
    <w:rsid w:val="00E55277"/>
    <w:rsid w:val="00E5616F"/>
    <w:rsid w:val="00E56839"/>
    <w:rsid w:val="00E56DB5"/>
    <w:rsid w:val="00E5703B"/>
    <w:rsid w:val="00E57A1D"/>
    <w:rsid w:val="00E60DA0"/>
    <w:rsid w:val="00E61EE7"/>
    <w:rsid w:val="00E6313A"/>
    <w:rsid w:val="00E63FE0"/>
    <w:rsid w:val="00E643B7"/>
    <w:rsid w:val="00E65216"/>
    <w:rsid w:val="00E66463"/>
    <w:rsid w:val="00E668AC"/>
    <w:rsid w:val="00E672A1"/>
    <w:rsid w:val="00E70899"/>
    <w:rsid w:val="00E708AD"/>
    <w:rsid w:val="00E708FA"/>
    <w:rsid w:val="00E70B0D"/>
    <w:rsid w:val="00E716B6"/>
    <w:rsid w:val="00E71F7B"/>
    <w:rsid w:val="00E71FC3"/>
    <w:rsid w:val="00E72568"/>
    <w:rsid w:val="00E72601"/>
    <w:rsid w:val="00E727F4"/>
    <w:rsid w:val="00E72BE5"/>
    <w:rsid w:val="00E733D3"/>
    <w:rsid w:val="00E73716"/>
    <w:rsid w:val="00E73A82"/>
    <w:rsid w:val="00E73F5D"/>
    <w:rsid w:val="00E74D1A"/>
    <w:rsid w:val="00E75E35"/>
    <w:rsid w:val="00E7712B"/>
    <w:rsid w:val="00E81FE2"/>
    <w:rsid w:val="00E82142"/>
    <w:rsid w:val="00E82F3C"/>
    <w:rsid w:val="00E85889"/>
    <w:rsid w:val="00E85F30"/>
    <w:rsid w:val="00E865A9"/>
    <w:rsid w:val="00E8767B"/>
    <w:rsid w:val="00E878FC"/>
    <w:rsid w:val="00E90AB3"/>
    <w:rsid w:val="00E90EBC"/>
    <w:rsid w:val="00E93467"/>
    <w:rsid w:val="00E9372D"/>
    <w:rsid w:val="00E94764"/>
    <w:rsid w:val="00E947A7"/>
    <w:rsid w:val="00E94DA7"/>
    <w:rsid w:val="00E94F37"/>
    <w:rsid w:val="00E954F6"/>
    <w:rsid w:val="00E96910"/>
    <w:rsid w:val="00E96CC5"/>
    <w:rsid w:val="00E96D27"/>
    <w:rsid w:val="00EA0029"/>
    <w:rsid w:val="00EA013B"/>
    <w:rsid w:val="00EA01B7"/>
    <w:rsid w:val="00EA087D"/>
    <w:rsid w:val="00EA0956"/>
    <w:rsid w:val="00EA176A"/>
    <w:rsid w:val="00EA17CA"/>
    <w:rsid w:val="00EA2DE3"/>
    <w:rsid w:val="00EA3222"/>
    <w:rsid w:val="00EA33CB"/>
    <w:rsid w:val="00EA350D"/>
    <w:rsid w:val="00EA409B"/>
    <w:rsid w:val="00EA430D"/>
    <w:rsid w:val="00EA438F"/>
    <w:rsid w:val="00EA4F64"/>
    <w:rsid w:val="00EA757E"/>
    <w:rsid w:val="00EA7860"/>
    <w:rsid w:val="00EB018E"/>
    <w:rsid w:val="00EB0621"/>
    <w:rsid w:val="00EB0B40"/>
    <w:rsid w:val="00EB0D4A"/>
    <w:rsid w:val="00EB0E42"/>
    <w:rsid w:val="00EB142C"/>
    <w:rsid w:val="00EB2720"/>
    <w:rsid w:val="00EB45CE"/>
    <w:rsid w:val="00EB4A86"/>
    <w:rsid w:val="00EB4B16"/>
    <w:rsid w:val="00EB53DD"/>
    <w:rsid w:val="00EB5C37"/>
    <w:rsid w:val="00EB73E3"/>
    <w:rsid w:val="00EB744B"/>
    <w:rsid w:val="00EB750D"/>
    <w:rsid w:val="00EB792F"/>
    <w:rsid w:val="00EB7F7D"/>
    <w:rsid w:val="00EC025A"/>
    <w:rsid w:val="00EC0AE4"/>
    <w:rsid w:val="00EC25AD"/>
    <w:rsid w:val="00EC3791"/>
    <w:rsid w:val="00EC40B0"/>
    <w:rsid w:val="00EC43BE"/>
    <w:rsid w:val="00EC4485"/>
    <w:rsid w:val="00EC56D8"/>
    <w:rsid w:val="00EC5F80"/>
    <w:rsid w:val="00EC61AF"/>
    <w:rsid w:val="00EC64DE"/>
    <w:rsid w:val="00EC70EE"/>
    <w:rsid w:val="00EC78DB"/>
    <w:rsid w:val="00ED02F9"/>
    <w:rsid w:val="00ED12C0"/>
    <w:rsid w:val="00ED223E"/>
    <w:rsid w:val="00ED2C24"/>
    <w:rsid w:val="00ED414A"/>
    <w:rsid w:val="00ED5D70"/>
    <w:rsid w:val="00ED60E7"/>
    <w:rsid w:val="00ED6616"/>
    <w:rsid w:val="00ED6861"/>
    <w:rsid w:val="00ED69F9"/>
    <w:rsid w:val="00ED70B7"/>
    <w:rsid w:val="00ED7302"/>
    <w:rsid w:val="00ED7CE8"/>
    <w:rsid w:val="00EE076D"/>
    <w:rsid w:val="00EE0B44"/>
    <w:rsid w:val="00EE0F7C"/>
    <w:rsid w:val="00EE1358"/>
    <w:rsid w:val="00EE25B1"/>
    <w:rsid w:val="00EE3BDD"/>
    <w:rsid w:val="00EE4179"/>
    <w:rsid w:val="00EE45C2"/>
    <w:rsid w:val="00EE5C6B"/>
    <w:rsid w:val="00EE6D67"/>
    <w:rsid w:val="00EE70DB"/>
    <w:rsid w:val="00EE759B"/>
    <w:rsid w:val="00EE795F"/>
    <w:rsid w:val="00EF08C9"/>
    <w:rsid w:val="00EF0BCF"/>
    <w:rsid w:val="00EF1E99"/>
    <w:rsid w:val="00EF291A"/>
    <w:rsid w:val="00EF42D9"/>
    <w:rsid w:val="00EF4DBE"/>
    <w:rsid w:val="00EF525D"/>
    <w:rsid w:val="00EF60CC"/>
    <w:rsid w:val="00EF65A7"/>
    <w:rsid w:val="00EF693C"/>
    <w:rsid w:val="00EF7949"/>
    <w:rsid w:val="00F00686"/>
    <w:rsid w:val="00F00E9B"/>
    <w:rsid w:val="00F0122C"/>
    <w:rsid w:val="00F016A7"/>
    <w:rsid w:val="00F016D1"/>
    <w:rsid w:val="00F0170A"/>
    <w:rsid w:val="00F0191C"/>
    <w:rsid w:val="00F028EC"/>
    <w:rsid w:val="00F02B45"/>
    <w:rsid w:val="00F033CC"/>
    <w:rsid w:val="00F03916"/>
    <w:rsid w:val="00F03A94"/>
    <w:rsid w:val="00F03E83"/>
    <w:rsid w:val="00F052D2"/>
    <w:rsid w:val="00F06E5E"/>
    <w:rsid w:val="00F071BB"/>
    <w:rsid w:val="00F07CA3"/>
    <w:rsid w:val="00F10F81"/>
    <w:rsid w:val="00F11123"/>
    <w:rsid w:val="00F1141F"/>
    <w:rsid w:val="00F1143D"/>
    <w:rsid w:val="00F115AD"/>
    <w:rsid w:val="00F12D76"/>
    <w:rsid w:val="00F12DCB"/>
    <w:rsid w:val="00F13034"/>
    <w:rsid w:val="00F1461D"/>
    <w:rsid w:val="00F14DD3"/>
    <w:rsid w:val="00F15D6D"/>
    <w:rsid w:val="00F16116"/>
    <w:rsid w:val="00F163F0"/>
    <w:rsid w:val="00F175A3"/>
    <w:rsid w:val="00F17991"/>
    <w:rsid w:val="00F2146C"/>
    <w:rsid w:val="00F22639"/>
    <w:rsid w:val="00F226EA"/>
    <w:rsid w:val="00F22B0E"/>
    <w:rsid w:val="00F22DEF"/>
    <w:rsid w:val="00F24266"/>
    <w:rsid w:val="00F25205"/>
    <w:rsid w:val="00F2682E"/>
    <w:rsid w:val="00F271BF"/>
    <w:rsid w:val="00F27797"/>
    <w:rsid w:val="00F27C19"/>
    <w:rsid w:val="00F303C2"/>
    <w:rsid w:val="00F313FB"/>
    <w:rsid w:val="00F32110"/>
    <w:rsid w:val="00F3227F"/>
    <w:rsid w:val="00F322C2"/>
    <w:rsid w:val="00F32E11"/>
    <w:rsid w:val="00F33934"/>
    <w:rsid w:val="00F33D4B"/>
    <w:rsid w:val="00F344F2"/>
    <w:rsid w:val="00F35EF6"/>
    <w:rsid w:val="00F36BB8"/>
    <w:rsid w:val="00F3773D"/>
    <w:rsid w:val="00F377E7"/>
    <w:rsid w:val="00F37944"/>
    <w:rsid w:val="00F40717"/>
    <w:rsid w:val="00F4112C"/>
    <w:rsid w:val="00F4191D"/>
    <w:rsid w:val="00F41AE3"/>
    <w:rsid w:val="00F41B28"/>
    <w:rsid w:val="00F43E45"/>
    <w:rsid w:val="00F4498C"/>
    <w:rsid w:val="00F44D73"/>
    <w:rsid w:val="00F45E11"/>
    <w:rsid w:val="00F46114"/>
    <w:rsid w:val="00F47909"/>
    <w:rsid w:val="00F50B65"/>
    <w:rsid w:val="00F51227"/>
    <w:rsid w:val="00F5136E"/>
    <w:rsid w:val="00F515E6"/>
    <w:rsid w:val="00F51864"/>
    <w:rsid w:val="00F5224C"/>
    <w:rsid w:val="00F527F9"/>
    <w:rsid w:val="00F541BA"/>
    <w:rsid w:val="00F54609"/>
    <w:rsid w:val="00F56263"/>
    <w:rsid w:val="00F566E7"/>
    <w:rsid w:val="00F56FF3"/>
    <w:rsid w:val="00F57CFE"/>
    <w:rsid w:val="00F6029A"/>
    <w:rsid w:val="00F60E13"/>
    <w:rsid w:val="00F60E8E"/>
    <w:rsid w:val="00F61759"/>
    <w:rsid w:val="00F6270B"/>
    <w:rsid w:val="00F62A38"/>
    <w:rsid w:val="00F64D1B"/>
    <w:rsid w:val="00F6685E"/>
    <w:rsid w:val="00F70BAE"/>
    <w:rsid w:val="00F7223E"/>
    <w:rsid w:val="00F72902"/>
    <w:rsid w:val="00F7303B"/>
    <w:rsid w:val="00F74187"/>
    <w:rsid w:val="00F743BC"/>
    <w:rsid w:val="00F75883"/>
    <w:rsid w:val="00F80B98"/>
    <w:rsid w:val="00F820C3"/>
    <w:rsid w:val="00F8461D"/>
    <w:rsid w:val="00F8462C"/>
    <w:rsid w:val="00F84747"/>
    <w:rsid w:val="00F855CE"/>
    <w:rsid w:val="00F86012"/>
    <w:rsid w:val="00F86AB5"/>
    <w:rsid w:val="00F90EF7"/>
    <w:rsid w:val="00F91D60"/>
    <w:rsid w:val="00F92A73"/>
    <w:rsid w:val="00F92C64"/>
    <w:rsid w:val="00F93006"/>
    <w:rsid w:val="00F93367"/>
    <w:rsid w:val="00F93512"/>
    <w:rsid w:val="00F936BB"/>
    <w:rsid w:val="00F93CE6"/>
    <w:rsid w:val="00F94ED5"/>
    <w:rsid w:val="00F94EE2"/>
    <w:rsid w:val="00F95ED1"/>
    <w:rsid w:val="00F95F05"/>
    <w:rsid w:val="00F97180"/>
    <w:rsid w:val="00FA01E2"/>
    <w:rsid w:val="00FA0787"/>
    <w:rsid w:val="00FA15D3"/>
    <w:rsid w:val="00FA162E"/>
    <w:rsid w:val="00FA1A88"/>
    <w:rsid w:val="00FA31F5"/>
    <w:rsid w:val="00FA3C0B"/>
    <w:rsid w:val="00FA5152"/>
    <w:rsid w:val="00FA5296"/>
    <w:rsid w:val="00FA5FF1"/>
    <w:rsid w:val="00FA6FCA"/>
    <w:rsid w:val="00FA7161"/>
    <w:rsid w:val="00FB02D9"/>
    <w:rsid w:val="00FB12F1"/>
    <w:rsid w:val="00FB1868"/>
    <w:rsid w:val="00FB2922"/>
    <w:rsid w:val="00FB2EF3"/>
    <w:rsid w:val="00FB54CE"/>
    <w:rsid w:val="00FB6791"/>
    <w:rsid w:val="00FB6A18"/>
    <w:rsid w:val="00FB7964"/>
    <w:rsid w:val="00FC187E"/>
    <w:rsid w:val="00FC19B1"/>
    <w:rsid w:val="00FC1F0E"/>
    <w:rsid w:val="00FC1F62"/>
    <w:rsid w:val="00FC252E"/>
    <w:rsid w:val="00FC3707"/>
    <w:rsid w:val="00FC3A79"/>
    <w:rsid w:val="00FC3E6D"/>
    <w:rsid w:val="00FC57F1"/>
    <w:rsid w:val="00FC5989"/>
    <w:rsid w:val="00FC5D99"/>
    <w:rsid w:val="00FC5DDC"/>
    <w:rsid w:val="00FC5E3A"/>
    <w:rsid w:val="00FC7A49"/>
    <w:rsid w:val="00FC7B97"/>
    <w:rsid w:val="00FC7C9C"/>
    <w:rsid w:val="00FD0923"/>
    <w:rsid w:val="00FD2905"/>
    <w:rsid w:val="00FD2D55"/>
    <w:rsid w:val="00FD32BA"/>
    <w:rsid w:val="00FD38F0"/>
    <w:rsid w:val="00FD764F"/>
    <w:rsid w:val="00FD7C6A"/>
    <w:rsid w:val="00FE023B"/>
    <w:rsid w:val="00FE15F3"/>
    <w:rsid w:val="00FE1FA5"/>
    <w:rsid w:val="00FE20E6"/>
    <w:rsid w:val="00FE2A9F"/>
    <w:rsid w:val="00FE2D1E"/>
    <w:rsid w:val="00FE2D98"/>
    <w:rsid w:val="00FE312B"/>
    <w:rsid w:val="00FE3315"/>
    <w:rsid w:val="00FE37D7"/>
    <w:rsid w:val="00FE3E52"/>
    <w:rsid w:val="00FE438C"/>
    <w:rsid w:val="00FE4623"/>
    <w:rsid w:val="00FE4CEB"/>
    <w:rsid w:val="00FE4E0B"/>
    <w:rsid w:val="00FE5280"/>
    <w:rsid w:val="00FE61C1"/>
    <w:rsid w:val="00FE6B2C"/>
    <w:rsid w:val="00FE6F16"/>
    <w:rsid w:val="00FE7048"/>
    <w:rsid w:val="00FE77B1"/>
    <w:rsid w:val="00FE78F2"/>
    <w:rsid w:val="00FF0B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70B11"/>
    <w:pPr>
      <w:spacing w:after="180"/>
    </w:pPr>
    <w:rPr>
      <w:lang w:val="en-GB" w:eastAsia="ko-KR"/>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autoRedefine/>
    <w:semiHidden/>
    <w:pPr>
      <w:spacing w:before="180"/>
      <w:ind w:left="2693" w:hanging="2693"/>
    </w:pPr>
    <w:rPr>
      <w:b/>
    </w:rPr>
  </w:style>
  <w:style w:type="paragraph" w:styleId="Verzeichnis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Verzeichnis5">
    <w:name w:val="toc 5"/>
    <w:basedOn w:val="Verzeichnis4"/>
    <w:autoRedefine/>
    <w:semiHidden/>
    <w:pPr>
      <w:ind w:left="1701" w:hanging="1701"/>
    </w:pPr>
  </w:style>
  <w:style w:type="paragraph" w:styleId="Verzeichnis4">
    <w:name w:val="toc 4"/>
    <w:basedOn w:val="Verzeichnis3"/>
    <w:autoRedefine/>
    <w:semiHidden/>
    <w:pPr>
      <w:ind w:left="1418" w:hanging="1418"/>
    </w:pPr>
  </w:style>
  <w:style w:type="paragraph" w:styleId="Verzeichnis3">
    <w:name w:val="toc 3"/>
    <w:basedOn w:val="Verzeichnis2"/>
    <w:autoRedefine/>
    <w:semiHidden/>
    <w:pPr>
      <w:ind w:left="1134" w:hanging="1134"/>
    </w:pPr>
  </w:style>
  <w:style w:type="paragraph" w:styleId="Verzeichnis2">
    <w:name w:val="toc 2"/>
    <w:basedOn w:val="Verzeichnis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Standard"/>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pPr>
      <w:widowControl w:val="0"/>
    </w:pPr>
    <w:rPr>
      <w:rFonts w:ascii="Arial" w:hAnsi="Arial"/>
      <w:b/>
      <w:noProof/>
      <w:sz w:val="18"/>
      <w:lang w:val="en-US" w:eastAsia="ko-KR"/>
    </w:rPr>
  </w:style>
  <w:style w:type="character" w:styleId="Funotenzeichen">
    <w:name w:val="footnote reference"/>
    <w:uiPriority w:val="99"/>
    <w:semiHidden/>
    <w:rPr>
      <w:b/>
      <w:position w:val="6"/>
      <w:sz w:val="16"/>
    </w:rPr>
  </w:style>
  <w:style w:type="paragraph" w:styleId="Funotentext">
    <w:name w:val="footnote text"/>
    <w:basedOn w:val="Standard"/>
    <w:link w:val="FunotentextZchn"/>
    <w:uiPriority w:val="99"/>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autoRedefine/>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autoRedefine/>
    <w:semiHidden/>
    <w:pPr>
      <w:ind w:left="1985" w:hanging="1985"/>
    </w:pPr>
  </w:style>
  <w:style w:type="paragraph" w:styleId="Verzeichnis7">
    <w:name w:val="toc 7"/>
    <w:basedOn w:val="Verzeichnis6"/>
    <w:next w:val="Standard"/>
    <w:autoRedefine/>
    <w:semiHidden/>
    <w:pPr>
      <w:ind w:left="2268" w:hanging="2268"/>
    </w:pPr>
  </w:style>
  <w:style w:type="paragraph" w:styleId="Aufzhlungszeichen2">
    <w:name w:val="List Bullet 2"/>
    <w:basedOn w:val="Aufzhlungszeichen"/>
    <w:autoRedefine/>
    <w:pPr>
      <w:ind w:left="851"/>
    </w:pPr>
  </w:style>
  <w:style w:type="paragraph" w:styleId="Aufzhlungszeichen3">
    <w:name w:val="List Bullet 3"/>
    <w:basedOn w:val="Aufzhlungszeichen2"/>
    <w:autoRedefine/>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autoRedefine/>
  </w:style>
  <w:style w:type="paragraph" w:styleId="Aufzhlungszeichen4">
    <w:name w:val="List Bullet 4"/>
    <w:basedOn w:val="Aufzhlungszeichen3"/>
    <w:autoRedefine/>
    <w:pPr>
      <w:ind w:left="1418"/>
    </w:pPr>
  </w:style>
  <w:style w:type="paragraph" w:styleId="Aufzhlungszeichen5">
    <w:name w:val="List Bullet 5"/>
    <w:basedOn w:val="Aufzhlungszeichen4"/>
    <w:autoRedefine/>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0F7ECB"/>
    <w:rPr>
      <w:rFonts w:ascii="Arial" w:hAnsi="Arial"/>
      <w:b/>
      <w:noProof/>
      <w:sz w:val="18"/>
      <w:lang w:eastAsia="ko-KR" w:bidi="ar-SA"/>
    </w:rPr>
  </w:style>
  <w:style w:type="paragraph" w:styleId="Kommentartext">
    <w:name w:val="annotation text"/>
    <w:basedOn w:val="Standard"/>
    <w:link w:val="KommentartextZchn"/>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KommentartextZchn">
    <w:name w:val="Kommentartext Zchn"/>
    <w:link w:val="Kommentartext"/>
    <w:rsid w:val="000F7ECB"/>
    <w:rPr>
      <w:rFonts w:ascii="Arial" w:hAnsi="Arial"/>
      <w:lang w:eastAsia="en-US"/>
    </w:rPr>
  </w:style>
  <w:style w:type="character" w:styleId="Kommentarzeichen">
    <w:name w:val="annotation reference"/>
    <w:rsid w:val="000F7ECB"/>
    <w:rPr>
      <w:sz w:val="16"/>
    </w:rPr>
  </w:style>
  <w:style w:type="paragraph" w:styleId="Sprechblasentext">
    <w:name w:val="Balloon Text"/>
    <w:basedOn w:val="Standard"/>
    <w:link w:val="SprechblasentextZchn"/>
    <w:rsid w:val="000F7ECB"/>
    <w:pPr>
      <w:spacing w:after="0"/>
    </w:pPr>
    <w:rPr>
      <w:rFonts w:ascii="Segoe UI" w:hAnsi="Segoe UI"/>
      <w:sz w:val="18"/>
      <w:szCs w:val="18"/>
      <w:lang w:val="x-none"/>
    </w:rPr>
  </w:style>
  <w:style w:type="character" w:customStyle="1" w:styleId="SprechblasentextZchn">
    <w:name w:val="Sprechblasentext Zchn"/>
    <w:link w:val="Sprechblase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Tabellenraster">
    <w:name w:val="Table Grid"/>
    <w:basedOn w:val="NormaleTabelle"/>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KommentarthemaZchn">
    <w:name w:val="Kommentarthema Zchn"/>
    <w:link w:val="Kommentarthema"/>
    <w:rsid w:val="006834CE"/>
    <w:rPr>
      <w:rFonts w:ascii="Arial" w:hAnsi="Arial"/>
      <w:b/>
      <w:bCs/>
      <w:lang w:val="en-GB" w:eastAsia="ko-KR"/>
    </w:rPr>
  </w:style>
  <w:style w:type="paragraph" w:styleId="Beschriftung">
    <w:name w:val="caption"/>
    <w:basedOn w:val="Standard"/>
    <w:next w:val="Standard"/>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val="en-US" w:eastAsia="en-US"/>
    </w:rPr>
  </w:style>
  <w:style w:type="paragraph" w:styleId="StandardWeb">
    <w:name w:val="Normal (Web)"/>
    <w:basedOn w:val="Standard"/>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customStyle="1" w:styleId="Menzionenonrisolta1">
    <w:name w:val="Menzione non risolta1"/>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enabsatz">
    <w:name w:val="List Paragraph"/>
    <w:aliases w:val="- Bullets,목록 단락,Lista1,?? ??,?????,????,列出段落,列出段落1,中等深浅网格 1 - 着色 21,¥¡¡¡¡ì¬º¥¹¥È¶ÎÂä,ÁÐ³ö¶ÎÂä,列表段落1,—ño’i—Ž,¥ê¥¹¥È¶ÎÂä,列表段落,1st level - Bullet List Paragraph,Lettre d'introduction,Normal bullet 2,Bullet list,목록단락,列表段落11"/>
    <w:basedOn w:val="Standard"/>
    <w:link w:val="ListenabsatzZchn"/>
    <w:uiPriority w:val="34"/>
    <w:qFormat/>
    <w:rsid w:val="00AD7937"/>
    <w:pPr>
      <w:overflowPunct w:val="0"/>
      <w:autoSpaceDE w:val="0"/>
      <w:autoSpaceDN w:val="0"/>
      <w:adjustRightInd w:val="0"/>
      <w:ind w:left="720"/>
      <w:textAlignment w:val="baseline"/>
    </w:pPr>
    <w:rPr>
      <w:lang w:eastAsia="en-GB"/>
    </w:rPr>
  </w:style>
  <w:style w:type="character" w:customStyle="1" w:styleId="ListenabsatzZchn">
    <w:name w:val="Listenabsatz Zchn"/>
    <w:aliases w:val="- Bullets Zchn,목록 단락 Zchn,Lista1 Zchn,?? ?? Zchn,????? Zchn,???? Zchn,列出段落 Zchn,列出段落1 Zchn,中等深浅网格 1 - 着色 21 Zchn,¥¡¡¡¡ì¬º¥¹¥È¶ÎÂä Zchn,ÁÐ³ö¶ÎÂä Zchn,列表段落1 Zchn,—ño’i—Ž Zchn,¥ê¥¹¥È¶ÎÂä Zchn,列表段落 Zchn,Lettre d'introduction Zchn"/>
    <w:link w:val="Listenabsatz"/>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BesuchterLink">
    <w:name w:val="FollowedHyperlink"/>
    <w:rsid w:val="00D314D4"/>
    <w:rPr>
      <w:color w:val="954F72"/>
      <w:u w:val="single"/>
    </w:rPr>
  </w:style>
  <w:style w:type="paragraph" w:styleId="berarbeitung">
    <w:name w:val="Revision"/>
    <w:hidden/>
    <w:uiPriority w:val="99"/>
    <w:semiHidden/>
    <w:rsid w:val="006A2BF9"/>
    <w:rPr>
      <w:lang w:val="en-GB" w:eastAsia="ko-KR"/>
    </w:rPr>
  </w:style>
  <w:style w:type="paragraph" w:customStyle="1" w:styleId="Textvorlage">
    <w:name w:val="Textvorlage"/>
    <w:basedOn w:val="Standard"/>
    <w:qFormat/>
    <w:rsid w:val="00D06EF3"/>
    <w:pPr>
      <w:spacing w:before="120" w:after="120"/>
      <w:jc w:val="both"/>
    </w:pPr>
    <w:rPr>
      <w:rFonts w:ascii="Arial" w:eastAsiaTheme="minorHAnsi" w:hAnsi="Arial" w:cstheme="minorBidi"/>
      <w:sz w:val="24"/>
      <w:szCs w:val="22"/>
      <w:lang w:val="de-DE" w:eastAsia="en-US"/>
    </w:rPr>
  </w:style>
  <w:style w:type="character" w:customStyle="1" w:styleId="FunotentextZchn">
    <w:name w:val="Fußnotentext Zchn"/>
    <w:basedOn w:val="Absatz-Standardschriftart"/>
    <w:link w:val="Funotentext"/>
    <w:uiPriority w:val="99"/>
    <w:semiHidden/>
    <w:rsid w:val="008C46D0"/>
    <w:rPr>
      <w:sz w:val="16"/>
      <w:lang w:val="en-GB" w:eastAsia="ko-KR"/>
    </w:rPr>
  </w:style>
  <w:style w:type="character" w:styleId="NichtaufgelsteErwhnung">
    <w:name w:val="Unresolved Mention"/>
    <w:basedOn w:val="Absatz-Standardschriftart"/>
    <w:uiPriority w:val="99"/>
    <w:semiHidden/>
    <w:unhideWhenUsed/>
    <w:rsid w:val="002971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34575067">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714670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ortal.3gpp.org/desktopmodules/Specifications/SpecificationDetails.aspx?specificationId=3893" TargetMode="External"/><Relationship Id="rId2" Type="http://schemas.openxmlformats.org/officeDocument/2006/relationships/customXml" Target="../customXml/item2.xml"/><Relationship Id="rId16" Type="http://schemas.openxmlformats.org/officeDocument/2006/relationships/hyperlink" Target="https://www.etsi.org/deliver/etsi_en/303300_303399/303340/01.02.01_60/en_303340v010201p.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etsi.org/deliver/etsi_en/302200_302299/302296/02.02.01_60/en_302296v020201p.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ch.ebu.ch/docs/tech/tech3348.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2CF311C2E96794480CAE0B8AC185A0E" ma:contentTypeVersion="11" ma:contentTypeDescription="Creare un nuovo documento." ma:contentTypeScope="" ma:versionID="5dbfff00bc5026aaa15710abc30a4223">
  <xsd:schema xmlns:xsd="http://www.w3.org/2001/XMLSchema" xmlns:xs="http://www.w3.org/2001/XMLSchema" xmlns:p="http://schemas.microsoft.com/office/2006/metadata/properties" xmlns:ns2="ba802b35-fd16-4557-bbf2-f078fcb06949" xmlns:ns3="4ff9a3ba-662e-4f57-bd96-4b893c685a5e" targetNamespace="http://schemas.microsoft.com/office/2006/metadata/properties" ma:root="true" ma:fieldsID="0febc88a461c78ff4c76ae0ab87899ba" ns2:_="" ns3:_="">
    <xsd:import namespace="ba802b35-fd16-4557-bbf2-f078fcb06949"/>
    <xsd:import namespace="4ff9a3ba-662e-4f57-bd96-4b893c685a5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02b35-fd16-4557-bbf2-f078fcb069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d50a0a4-45c4-4fec-bbfb-10085411da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f9a3ba-662e-4f57-bd96-4b893c685a5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4" nillable="true" ma:displayName="Taxonomy Catch All Column" ma:hidden="true" ma:list="{e7d92be4-be69-42a1-9827-c7ad5bb3f5dd}" ma:internalName="TaxCatchAll" ma:showField="CatchAllData" ma:web="4ff9a3ba-662e-4f57-bd96-4b893c685a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ff9a3ba-662e-4f57-bd96-4b893c685a5e"/>
    <lcf76f155ced4ddcb4097134ff3c332f xmlns="ba802b35-fd16-4557-bbf2-f078fcb0694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1932A-115A-43BF-AB1D-13009986E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802b35-fd16-4557-bbf2-f078fcb06949"/>
    <ds:schemaRef ds:uri="4ff9a3ba-662e-4f57-bd96-4b893c685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AA2219-A112-4D37-B457-3CD26EA540E6}">
  <ds:schemaRefs>
    <ds:schemaRef ds:uri="http://schemas.openxmlformats.org/officeDocument/2006/bibliography"/>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 ds:uri="4ff9a3ba-662e-4f57-bd96-4b893c685a5e"/>
    <ds:schemaRef ds:uri="ba802b35-fd16-4557-bbf2-f078fcb06949"/>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2811</Words>
  <Characters>17716</Characters>
  <Application>Microsoft Office Word</Application>
  <DocSecurity>0</DocSecurity>
  <Lines>147</Lines>
  <Paragraphs>40</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20487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Dr. Roland Beutler</cp:lastModifiedBy>
  <cp:revision>2</cp:revision>
  <cp:lastPrinted>2022-08-02T08:17:00Z</cp:lastPrinted>
  <dcterms:created xsi:type="dcterms:W3CDTF">2023-02-16T07:20:00Z</dcterms:created>
  <dcterms:modified xsi:type="dcterms:W3CDTF">2023-02-16T07:20:00Z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0x010100B2CF311C2E96794480CAE0B8AC185A0E</vt:lpwstr>
  </property>
</Properties>
</file>