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51F3D" w14:textId="796446FB" w:rsidR="002249BA" w:rsidRPr="002249BA" w:rsidRDefault="002249BA" w:rsidP="002249BA">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49BA">
        <w:rPr>
          <w:rFonts w:ascii="Arial" w:eastAsia="MS Mincho" w:hAnsi="Arial" w:cs="Arial"/>
          <w:b/>
        </w:rPr>
        <w:t>3GPP TSG-RAN WG4 Meeting #</w:t>
      </w:r>
      <w:r w:rsidRPr="002249BA">
        <w:rPr>
          <w:rFonts w:ascii="Arial" w:eastAsia="MS Mincho" w:hAnsi="Arial" w:cs="Arial"/>
          <w:sz w:val="20"/>
          <w:szCs w:val="20"/>
        </w:rPr>
        <w:t xml:space="preserve"> </w:t>
      </w:r>
      <w:r w:rsidRPr="002249BA">
        <w:rPr>
          <w:rFonts w:ascii="Arial" w:eastAsia="MS Mincho" w:hAnsi="Arial" w:cs="Arial"/>
          <w:b/>
        </w:rPr>
        <w:t>106</w:t>
      </w:r>
      <w:r w:rsidRPr="002249BA">
        <w:rPr>
          <w:rFonts w:ascii="Arial" w:eastAsia="MS Mincho" w:hAnsi="Arial" w:cs="Arial"/>
          <w:b/>
        </w:rPr>
        <w:tab/>
      </w:r>
      <w:r w:rsidR="00650529" w:rsidRPr="00650529">
        <w:rPr>
          <w:rFonts w:ascii="Arial" w:eastAsia="MS Mincho" w:hAnsi="Arial" w:cs="Arial"/>
          <w:b/>
        </w:rPr>
        <w:t>R4-2300250</w:t>
      </w:r>
    </w:p>
    <w:p w14:paraId="4B5C4E09" w14:textId="77777777" w:rsidR="002249BA" w:rsidRPr="002249BA" w:rsidRDefault="002249BA" w:rsidP="002249BA">
      <w:pPr>
        <w:tabs>
          <w:tab w:val="right" w:pos="9781"/>
          <w:tab w:val="right" w:pos="13323"/>
        </w:tabs>
        <w:spacing w:before="60" w:after="60"/>
        <w:outlineLvl w:val="0"/>
        <w:rPr>
          <w:rFonts w:ascii="Arial" w:eastAsia="SimSun" w:hAnsi="Arial" w:cs="Arial"/>
          <w:b/>
          <w:lang w:eastAsia="zh-CN"/>
        </w:rPr>
      </w:pPr>
      <w:r w:rsidRPr="002249BA">
        <w:rPr>
          <w:rFonts w:ascii="Arial" w:eastAsia="SimSun" w:hAnsi="Arial" w:cs="Arial"/>
          <w:b/>
          <w:lang w:eastAsia="zh-CN"/>
        </w:rPr>
        <w:t>Athens, Greece, February 27 – March 3, 2022</w:t>
      </w:r>
    </w:p>
    <w:p w14:paraId="2305CEA3" w14:textId="694229FC" w:rsidR="009F52D7" w:rsidRPr="00D037BE" w:rsidRDefault="009F52D7" w:rsidP="001715D4">
      <w:pPr>
        <w:pStyle w:val="CH"/>
        <w:spacing w:before="240"/>
        <w:rPr>
          <w:sz w:val="24"/>
          <w:szCs w:val="24"/>
          <w:lang w:val="en-US"/>
        </w:rPr>
      </w:pPr>
      <w:r w:rsidRPr="00D037BE">
        <w:rPr>
          <w:sz w:val="24"/>
          <w:szCs w:val="24"/>
          <w:lang w:val="en-US"/>
        </w:rPr>
        <w:t>Agenda item:</w:t>
      </w:r>
      <w:r w:rsidRPr="00D037BE">
        <w:rPr>
          <w:sz w:val="24"/>
          <w:szCs w:val="24"/>
          <w:lang w:val="en-US"/>
        </w:rPr>
        <w:tab/>
      </w:r>
      <w:r w:rsidR="00CE3B90" w:rsidRPr="00D037BE">
        <w:rPr>
          <w:sz w:val="24"/>
          <w:szCs w:val="24"/>
          <w:lang w:val="en-US"/>
        </w:rPr>
        <w:t>5.2.3.1</w:t>
      </w:r>
    </w:p>
    <w:p w14:paraId="30D50B86" w14:textId="77777777" w:rsidR="009F52D7" w:rsidRPr="00D037BE" w:rsidRDefault="009F52D7" w:rsidP="009F52D7">
      <w:pPr>
        <w:pStyle w:val="CH"/>
        <w:rPr>
          <w:sz w:val="24"/>
          <w:szCs w:val="24"/>
          <w:lang w:val="en-US"/>
        </w:rPr>
      </w:pPr>
      <w:r w:rsidRPr="00D037BE">
        <w:rPr>
          <w:sz w:val="24"/>
          <w:szCs w:val="24"/>
          <w:lang w:val="en-US"/>
        </w:rPr>
        <w:t>Source:</w:t>
      </w:r>
      <w:r w:rsidRPr="00D037BE">
        <w:rPr>
          <w:sz w:val="24"/>
          <w:szCs w:val="24"/>
          <w:lang w:val="en-US"/>
        </w:rPr>
        <w:tab/>
        <w:t>Apple Inc.</w:t>
      </w:r>
    </w:p>
    <w:p w14:paraId="7827D204" w14:textId="2E1AC37C" w:rsidR="009F52D7" w:rsidRPr="00D037BE" w:rsidRDefault="009F52D7" w:rsidP="00C94AC7">
      <w:pPr>
        <w:pStyle w:val="CH"/>
        <w:ind w:left="2250" w:hanging="2250"/>
        <w:rPr>
          <w:sz w:val="24"/>
          <w:szCs w:val="24"/>
          <w:lang w:val="en-US"/>
        </w:rPr>
      </w:pPr>
      <w:r w:rsidRPr="00D037BE">
        <w:rPr>
          <w:sz w:val="24"/>
          <w:szCs w:val="24"/>
          <w:lang w:val="en-US"/>
        </w:rPr>
        <w:t>Title:</w:t>
      </w:r>
      <w:r w:rsidRPr="00D037BE">
        <w:rPr>
          <w:sz w:val="24"/>
          <w:szCs w:val="24"/>
          <w:lang w:val="en-US"/>
        </w:rPr>
        <w:tab/>
      </w:r>
      <w:r w:rsidR="00CE3B90" w:rsidRPr="00D037BE">
        <w:rPr>
          <w:sz w:val="24"/>
          <w:szCs w:val="24"/>
          <w:lang w:val="en-US"/>
        </w:rPr>
        <w:t xml:space="preserve">On </w:t>
      </w:r>
      <w:proofErr w:type="spellStart"/>
      <w:r w:rsidR="00CE3B90" w:rsidRPr="00D037BE">
        <w:rPr>
          <w:sz w:val="24"/>
          <w:szCs w:val="24"/>
          <w:lang w:val="en-US"/>
        </w:rPr>
        <w:t>FeMIMO</w:t>
      </w:r>
      <w:proofErr w:type="spellEnd"/>
      <w:r w:rsidR="00CE3B90" w:rsidRPr="00D037BE">
        <w:rPr>
          <w:sz w:val="24"/>
          <w:szCs w:val="24"/>
          <w:lang w:val="en-US"/>
        </w:rPr>
        <w:t xml:space="preserve"> RRM Core Requirements</w:t>
      </w:r>
    </w:p>
    <w:p w14:paraId="2AB0E874" w14:textId="531E0CC2" w:rsidR="009F52D7" w:rsidRPr="00D037BE" w:rsidRDefault="009F52D7" w:rsidP="009F52D7">
      <w:pPr>
        <w:pStyle w:val="CH"/>
        <w:rPr>
          <w:sz w:val="24"/>
          <w:szCs w:val="24"/>
          <w:lang w:val="en-US"/>
        </w:rPr>
      </w:pPr>
      <w:r w:rsidRPr="00D037BE">
        <w:rPr>
          <w:sz w:val="24"/>
          <w:szCs w:val="24"/>
          <w:lang w:val="en-US"/>
        </w:rPr>
        <w:t>Release:</w:t>
      </w:r>
      <w:r w:rsidRPr="00D037BE">
        <w:rPr>
          <w:sz w:val="24"/>
          <w:szCs w:val="24"/>
          <w:lang w:val="en-US"/>
        </w:rPr>
        <w:tab/>
        <w:t>Rel-1</w:t>
      </w:r>
      <w:r w:rsidR="00626BDE" w:rsidRPr="00D037BE">
        <w:rPr>
          <w:sz w:val="24"/>
          <w:szCs w:val="24"/>
          <w:lang w:val="en-US"/>
        </w:rPr>
        <w:t>7</w:t>
      </w:r>
    </w:p>
    <w:p w14:paraId="5FD26D80" w14:textId="69E72605" w:rsidR="009F52D7" w:rsidRPr="00D037BE" w:rsidRDefault="009F52D7" w:rsidP="009F52D7">
      <w:pPr>
        <w:pStyle w:val="CH"/>
        <w:rPr>
          <w:sz w:val="24"/>
          <w:szCs w:val="24"/>
          <w:lang w:val="en-US"/>
        </w:rPr>
      </w:pPr>
      <w:r w:rsidRPr="00D037BE">
        <w:rPr>
          <w:sz w:val="24"/>
          <w:szCs w:val="24"/>
          <w:lang w:val="en-US"/>
        </w:rPr>
        <w:t>Document for:</w:t>
      </w:r>
      <w:r w:rsidRPr="00D037BE">
        <w:rPr>
          <w:sz w:val="24"/>
          <w:szCs w:val="24"/>
          <w:lang w:val="en-US"/>
        </w:rPr>
        <w:tab/>
      </w:r>
      <w:r w:rsidR="00AD261E" w:rsidRPr="00D037BE">
        <w:rPr>
          <w:sz w:val="24"/>
          <w:szCs w:val="24"/>
          <w:lang w:val="en-US"/>
        </w:rPr>
        <w:t>Discussion</w:t>
      </w:r>
    </w:p>
    <w:p w14:paraId="26BFACA8" w14:textId="77777777" w:rsidR="009F52D7" w:rsidRPr="00D037BE" w:rsidRDefault="009F52D7" w:rsidP="009F52D7">
      <w:pPr>
        <w:pStyle w:val="CH"/>
        <w:rPr>
          <w:lang w:val="en-US"/>
        </w:rPr>
      </w:pPr>
    </w:p>
    <w:p w14:paraId="7D03A8FD" w14:textId="77777777" w:rsidR="002249BA" w:rsidRPr="00D037BE" w:rsidRDefault="002249BA" w:rsidP="002249BA">
      <w:pPr>
        <w:pStyle w:val="Heading1"/>
        <w:rPr>
          <w:lang w:val="en-US"/>
        </w:rPr>
      </w:pPr>
      <w:r w:rsidRPr="00D037BE">
        <w:rPr>
          <w:lang w:val="en-US"/>
        </w:rPr>
        <w:t xml:space="preserve">1. Introduction </w:t>
      </w:r>
    </w:p>
    <w:p w14:paraId="1076DCC3" w14:textId="595B9A97" w:rsidR="002249BA" w:rsidRPr="00D037BE" w:rsidRDefault="002249BA" w:rsidP="002249BA">
      <w:pPr>
        <w:spacing w:after="120"/>
        <w:rPr>
          <w:sz w:val="20"/>
          <w:szCs w:val="20"/>
        </w:rPr>
      </w:pPr>
      <w:r w:rsidRPr="00D037BE">
        <w:rPr>
          <w:sz w:val="20"/>
          <w:szCs w:val="20"/>
        </w:rPr>
        <w:t>In RAN4#10</w:t>
      </w:r>
      <w:r w:rsidR="00A37048" w:rsidRPr="00D037BE">
        <w:rPr>
          <w:sz w:val="20"/>
          <w:szCs w:val="20"/>
        </w:rPr>
        <w:t xml:space="preserve">5 </w:t>
      </w:r>
      <w:r w:rsidRPr="00D037BE">
        <w:rPr>
          <w:sz w:val="20"/>
          <w:szCs w:val="20"/>
        </w:rPr>
        <w:t xml:space="preserve">requirements for unified TCI framework and inter cell beam management were discussed and way forward [1] were agreed.  In this contribution we present our views on open issues on requirements for unified TCI and inter cell beam management.   </w:t>
      </w:r>
    </w:p>
    <w:p w14:paraId="3AFFD937" w14:textId="77777777" w:rsidR="002249BA" w:rsidRPr="00D037BE" w:rsidRDefault="002249BA" w:rsidP="002249BA">
      <w:pPr>
        <w:pStyle w:val="Heading1"/>
        <w:rPr>
          <w:lang w:val="en-US"/>
        </w:rPr>
      </w:pPr>
      <w:r w:rsidRPr="00D037BE">
        <w:rPr>
          <w:lang w:val="en-US"/>
        </w:rPr>
        <w:t>2. Discussion</w:t>
      </w:r>
    </w:p>
    <w:p w14:paraId="043CEB8D" w14:textId="77777777" w:rsidR="002249BA" w:rsidRPr="00D037BE" w:rsidRDefault="002249BA" w:rsidP="002249BA">
      <w:pPr>
        <w:pStyle w:val="Heading2"/>
        <w:rPr>
          <w:lang w:val="en-US"/>
        </w:rPr>
      </w:pPr>
      <w:r w:rsidRPr="00D037BE">
        <w:rPr>
          <w:lang w:val="en-US"/>
        </w:rPr>
        <w:t>Unified TCI</w:t>
      </w:r>
    </w:p>
    <w:p w14:paraId="362A87EC" w14:textId="1CE56FED" w:rsidR="002249BA" w:rsidRPr="00D037BE" w:rsidRDefault="00A37048" w:rsidP="005B410D">
      <w:pPr>
        <w:spacing w:after="120"/>
        <w:rPr>
          <w:rFonts w:eastAsia="SimSun"/>
          <w:sz w:val="20"/>
          <w:szCs w:val="20"/>
          <w:lang w:eastAsia="en-GB"/>
        </w:rPr>
      </w:pPr>
      <w:r w:rsidRPr="00D037BE">
        <w:rPr>
          <w:rFonts w:eastAsia="SimSun"/>
          <w:sz w:val="20"/>
          <w:szCs w:val="20"/>
          <w:lang w:eastAsia="en-GB"/>
        </w:rPr>
        <w:t>In RAN4#105 many of the open issues related to unified TCI were resolved, and the following issues are still open:</w:t>
      </w:r>
    </w:p>
    <w:p w14:paraId="29039C7C" w14:textId="04CF2550" w:rsidR="00A37048" w:rsidRPr="00D037BE" w:rsidRDefault="00A37048" w:rsidP="00A37048">
      <w:pPr>
        <w:numPr>
          <w:ilvl w:val="1"/>
          <w:numId w:val="7"/>
        </w:numPr>
        <w:spacing w:after="120"/>
        <w:jc w:val="both"/>
        <w:rPr>
          <w:sz w:val="20"/>
          <w:szCs w:val="20"/>
        </w:rPr>
      </w:pPr>
      <w:r w:rsidRPr="00D037BE">
        <w:rPr>
          <w:sz w:val="20"/>
          <w:szCs w:val="20"/>
        </w:rPr>
        <w:t xml:space="preserve">UL time/frequency </w:t>
      </w:r>
      <w:r w:rsidR="00096420" w:rsidRPr="00D037BE">
        <w:rPr>
          <w:sz w:val="20"/>
          <w:szCs w:val="20"/>
        </w:rPr>
        <w:t>tracking of</w:t>
      </w:r>
      <w:r w:rsidRPr="00D037BE">
        <w:rPr>
          <w:sz w:val="20"/>
          <w:szCs w:val="20"/>
        </w:rPr>
        <w:t xml:space="preserve"> source RS in UL TCI state </w:t>
      </w:r>
    </w:p>
    <w:p w14:paraId="5341BEE2" w14:textId="19D71747" w:rsidR="00A37048" w:rsidRPr="00D037BE" w:rsidRDefault="00A37048" w:rsidP="00A37048">
      <w:pPr>
        <w:numPr>
          <w:ilvl w:val="1"/>
          <w:numId w:val="7"/>
        </w:numPr>
        <w:spacing w:after="120"/>
        <w:jc w:val="both"/>
        <w:rPr>
          <w:sz w:val="20"/>
          <w:szCs w:val="20"/>
        </w:rPr>
      </w:pPr>
      <w:r w:rsidRPr="00D037BE">
        <w:rPr>
          <w:sz w:val="20"/>
          <w:szCs w:val="20"/>
        </w:rPr>
        <w:t>MAC-CE based UL TCI state switching delay when SSB is indicated as PL-RS in UL TCI state for FR2</w:t>
      </w:r>
    </w:p>
    <w:p w14:paraId="2AA1FC8E" w14:textId="6BA4AE85" w:rsidR="00A37048" w:rsidRPr="00D037BE" w:rsidRDefault="00A37048" w:rsidP="00A37048">
      <w:pPr>
        <w:numPr>
          <w:ilvl w:val="1"/>
          <w:numId w:val="7"/>
        </w:numPr>
        <w:spacing w:after="120"/>
        <w:jc w:val="both"/>
        <w:rPr>
          <w:sz w:val="20"/>
          <w:szCs w:val="20"/>
        </w:rPr>
      </w:pPr>
      <w:r w:rsidRPr="00D037BE">
        <w:rPr>
          <w:sz w:val="20"/>
          <w:szCs w:val="20"/>
        </w:rPr>
        <w:t>Definition of maintained PL-RS</w:t>
      </w:r>
    </w:p>
    <w:p w14:paraId="3FA9EFF5" w14:textId="77777777" w:rsidR="000319AB" w:rsidRDefault="000319AB" w:rsidP="000319AB">
      <w:pPr>
        <w:spacing w:after="120"/>
        <w:jc w:val="both"/>
        <w:rPr>
          <w:sz w:val="20"/>
          <w:szCs w:val="20"/>
        </w:rPr>
      </w:pPr>
    </w:p>
    <w:p w14:paraId="78FCB0D7" w14:textId="756754A1" w:rsidR="000319AB" w:rsidRPr="000319AB" w:rsidRDefault="000319AB" w:rsidP="00096420">
      <w:pPr>
        <w:spacing w:after="120"/>
        <w:jc w:val="both"/>
        <w:rPr>
          <w:b/>
          <w:bCs/>
          <w:sz w:val="22"/>
          <w:szCs w:val="22"/>
        </w:rPr>
      </w:pPr>
      <w:r w:rsidRPr="000319AB">
        <w:rPr>
          <w:b/>
          <w:bCs/>
          <w:sz w:val="22"/>
          <w:szCs w:val="22"/>
        </w:rPr>
        <w:t xml:space="preserve">UL time/frequency tracking of source RS in UL TCI state </w:t>
      </w:r>
    </w:p>
    <w:p w14:paraId="2F8849E9" w14:textId="42169FC9" w:rsidR="00A37048" w:rsidRPr="00D037BE" w:rsidRDefault="00096420" w:rsidP="00096420">
      <w:pPr>
        <w:spacing w:after="120"/>
        <w:jc w:val="both"/>
        <w:rPr>
          <w:sz w:val="20"/>
          <w:szCs w:val="20"/>
        </w:rPr>
      </w:pPr>
      <w:r w:rsidRPr="00D037BE">
        <w:rPr>
          <w:sz w:val="20"/>
          <w:szCs w:val="20"/>
        </w:rPr>
        <w:t>On UL time/frequency tracking of source RS in UL TCI state the following proposals were discussed:</w:t>
      </w:r>
    </w:p>
    <w:p w14:paraId="5A5EE981" w14:textId="480AE32A" w:rsidR="00096420" w:rsidRPr="00D037BE" w:rsidRDefault="00096420" w:rsidP="00096420">
      <w:pPr>
        <w:pStyle w:val="ListParagraph"/>
        <w:numPr>
          <w:ilvl w:val="0"/>
          <w:numId w:val="5"/>
        </w:numPr>
        <w:spacing w:after="120" w:line="259" w:lineRule="auto"/>
        <w:ind w:firstLineChars="0"/>
        <w:rPr>
          <w:rFonts w:ascii="Times New Roman" w:eastAsiaTheme="minorEastAsia" w:hAnsi="Times New Roman" w:cs="Times New Roman"/>
          <w:sz w:val="20"/>
          <w:szCs w:val="20"/>
        </w:rPr>
      </w:pPr>
      <w:r w:rsidRPr="00D037BE">
        <w:rPr>
          <w:rFonts w:ascii="Times New Roman" w:eastAsiaTheme="minorEastAsia" w:hAnsi="Times New Roman" w:cs="Times New Roman"/>
          <w:sz w:val="20"/>
          <w:szCs w:val="20"/>
        </w:rPr>
        <w:t>Proposal 1:</w:t>
      </w:r>
    </w:p>
    <w:p w14:paraId="0630E05F" w14:textId="77777777" w:rsidR="00096420" w:rsidRPr="00D037BE" w:rsidRDefault="00096420" w:rsidP="00096420">
      <w:pPr>
        <w:pStyle w:val="ListParagraph"/>
        <w:numPr>
          <w:ilvl w:val="1"/>
          <w:numId w:val="5"/>
        </w:numPr>
        <w:spacing w:after="120" w:line="259" w:lineRule="auto"/>
        <w:ind w:firstLineChars="0"/>
        <w:rPr>
          <w:rFonts w:ascii="Times New Roman" w:eastAsiaTheme="minorEastAsia" w:hAnsi="Times New Roman" w:cs="Times New Roman"/>
          <w:bCs/>
          <w:sz w:val="20"/>
          <w:szCs w:val="20"/>
        </w:rPr>
      </w:pPr>
      <w:r w:rsidRPr="00D037BE">
        <w:rPr>
          <w:rFonts w:ascii="Times New Roman" w:eastAsiaTheme="minorEastAsia" w:hAnsi="Times New Roman" w:cs="Times New Roman"/>
          <w:bCs/>
          <w:sz w:val="20"/>
          <w:szCs w:val="20"/>
        </w:rPr>
        <w:t>No time/frequency tracking is needed.</w:t>
      </w:r>
    </w:p>
    <w:p w14:paraId="1C1C5336" w14:textId="6A40B627" w:rsidR="00096420" w:rsidRPr="00D037BE" w:rsidRDefault="00096420" w:rsidP="00096420">
      <w:pPr>
        <w:pStyle w:val="ListParagraph"/>
        <w:numPr>
          <w:ilvl w:val="0"/>
          <w:numId w:val="5"/>
        </w:numPr>
        <w:spacing w:after="120" w:line="259" w:lineRule="auto"/>
        <w:ind w:firstLineChars="0"/>
        <w:rPr>
          <w:rFonts w:ascii="Times New Roman" w:eastAsiaTheme="minorEastAsia" w:hAnsi="Times New Roman" w:cs="Times New Roman"/>
          <w:sz w:val="20"/>
          <w:szCs w:val="20"/>
        </w:rPr>
      </w:pPr>
      <w:r w:rsidRPr="00D037BE">
        <w:rPr>
          <w:rFonts w:ascii="Times New Roman" w:eastAsiaTheme="minorEastAsia" w:hAnsi="Times New Roman" w:cs="Times New Roman"/>
          <w:sz w:val="20"/>
          <w:szCs w:val="20"/>
        </w:rPr>
        <w:t xml:space="preserve">Proposal 2: </w:t>
      </w:r>
    </w:p>
    <w:p w14:paraId="05B10906" w14:textId="77777777" w:rsidR="00096420" w:rsidRPr="00D037BE" w:rsidRDefault="00096420" w:rsidP="00096420">
      <w:pPr>
        <w:pStyle w:val="ListParagraph"/>
        <w:numPr>
          <w:ilvl w:val="1"/>
          <w:numId w:val="5"/>
        </w:numPr>
        <w:spacing w:after="120" w:line="259" w:lineRule="auto"/>
        <w:ind w:firstLineChars="0"/>
        <w:rPr>
          <w:rFonts w:ascii="Times New Roman" w:eastAsiaTheme="minorEastAsia" w:hAnsi="Times New Roman" w:cs="Times New Roman"/>
          <w:bCs/>
          <w:sz w:val="20"/>
          <w:szCs w:val="20"/>
        </w:rPr>
      </w:pPr>
      <w:r w:rsidRPr="00D037BE">
        <w:rPr>
          <w:rFonts w:ascii="Times New Roman" w:eastAsiaTheme="minorEastAsia" w:hAnsi="Times New Roman" w:cs="Times New Roman"/>
          <w:bCs/>
          <w:sz w:val="20"/>
          <w:szCs w:val="20"/>
        </w:rPr>
        <w:t>No RRM requirement is defined for this case.</w:t>
      </w:r>
    </w:p>
    <w:p w14:paraId="73B3ECD0" w14:textId="2CF37CC7" w:rsidR="00096420" w:rsidRPr="00D037BE" w:rsidRDefault="00096420" w:rsidP="00096420">
      <w:pPr>
        <w:pStyle w:val="ListParagraph"/>
        <w:numPr>
          <w:ilvl w:val="0"/>
          <w:numId w:val="5"/>
        </w:numPr>
        <w:spacing w:after="120" w:line="259" w:lineRule="auto"/>
        <w:ind w:firstLineChars="0"/>
        <w:rPr>
          <w:rFonts w:ascii="Times New Roman" w:eastAsiaTheme="minorEastAsia" w:hAnsi="Times New Roman" w:cs="Times New Roman"/>
          <w:sz w:val="20"/>
          <w:szCs w:val="20"/>
        </w:rPr>
      </w:pPr>
      <w:r w:rsidRPr="00D037BE">
        <w:rPr>
          <w:rFonts w:ascii="Times New Roman" w:eastAsiaTheme="minorEastAsia" w:hAnsi="Times New Roman" w:cs="Times New Roman"/>
          <w:sz w:val="20"/>
          <w:szCs w:val="20"/>
        </w:rPr>
        <w:t>Proposal</w:t>
      </w:r>
      <w:r w:rsidR="00D037BE" w:rsidRPr="00D037BE">
        <w:rPr>
          <w:rFonts w:ascii="Times New Roman" w:eastAsiaTheme="minorEastAsia" w:hAnsi="Times New Roman" w:cs="Times New Roman"/>
          <w:sz w:val="20"/>
          <w:szCs w:val="20"/>
        </w:rPr>
        <w:t xml:space="preserve"> 3</w:t>
      </w:r>
      <w:r w:rsidRPr="00D037BE">
        <w:rPr>
          <w:rFonts w:ascii="Times New Roman" w:eastAsiaTheme="minorEastAsia" w:hAnsi="Times New Roman" w:cs="Times New Roman"/>
          <w:sz w:val="20"/>
          <w:szCs w:val="20"/>
        </w:rPr>
        <w:t>:</w:t>
      </w:r>
    </w:p>
    <w:p w14:paraId="5890EC42" w14:textId="77777777" w:rsidR="00096420" w:rsidRPr="00D037BE" w:rsidRDefault="00096420" w:rsidP="00096420">
      <w:pPr>
        <w:pStyle w:val="ListParagraph"/>
        <w:numPr>
          <w:ilvl w:val="1"/>
          <w:numId w:val="5"/>
        </w:numPr>
        <w:spacing w:after="120" w:line="259" w:lineRule="auto"/>
        <w:ind w:firstLineChars="0"/>
        <w:rPr>
          <w:rFonts w:ascii="Times New Roman" w:eastAsiaTheme="minorEastAsia" w:hAnsi="Times New Roman" w:cs="Times New Roman"/>
          <w:bCs/>
          <w:sz w:val="20"/>
          <w:szCs w:val="20"/>
        </w:rPr>
      </w:pPr>
      <w:r w:rsidRPr="00D037BE">
        <w:rPr>
          <w:rFonts w:ascii="Times New Roman" w:eastAsiaTheme="minorEastAsia" w:hAnsi="Times New Roman" w:cs="Times New Roman"/>
          <w:bCs/>
          <w:sz w:val="20"/>
          <w:szCs w:val="20"/>
        </w:rPr>
        <w:t>There is no need to restrict the source RS in active UL TCI to be a subset of source RS in DL active TCI list.</w:t>
      </w:r>
    </w:p>
    <w:p w14:paraId="4AC49431" w14:textId="5E3C0560" w:rsidR="00096420" w:rsidRPr="00D037BE" w:rsidRDefault="00096420" w:rsidP="00096420">
      <w:pPr>
        <w:pStyle w:val="ListParagraph"/>
        <w:numPr>
          <w:ilvl w:val="0"/>
          <w:numId w:val="5"/>
        </w:numPr>
        <w:spacing w:after="120" w:line="259" w:lineRule="auto"/>
        <w:ind w:firstLineChars="0"/>
        <w:rPr>
          <w:rFonts w:ascii="Times New Roman" w:eastAsiaTheme="minorEastAsia" w:hAnsi="Times New Roman" w:cs="Times New Roman"/>
          <w:sz w:val="20"/>
          <w:szCs w:val="20"/>
        </w:rPr>
      </w:pPr>
      <w:r w:rsidRPr="00D037BE">
        <w:rPr>
          <w:rFonts w:ascii="Times New Roman" w:eastAsiaTheme="minorEastAsia" w:hAnsi="Times New Roman" w:cs="Times New Roman"/>
          <w:sz w:val="20"/>
          <w:szCs w:val="20"/>
        </w:rPr>
        <w:t>Proposal 4:</w:t>
      </w:r>
    </w:p>
    <w:p w14:paraId="7275EB12" w14:textId="77777777" w:rsidR="00096420" w:rsidRPr="00D037BE" w:rsidRDefault="00096420" w:rsidP="00096420">
      <w:pPr>
        <w:pStyle w:val="ListParagraph"/>
        <w:numPr>
          <w:ilvl w:val="1"/>
          <w:numId w:val="5"/>
        </w:numPr>
        <w:spacing w:after="120" w:line="259" w:lineRule="auto"/>
        <w:ind w:firstLineChars="0"/>
        <w:rPr>
          <w:rFonts w:ascii="Times New Roman" w:eastAsiaTheme="minorEastAsia" w:hAnsi="Times New Roman" w:cs="Times New Roman"/>
          <w:bCs/>
          <w:sz w:val="20"/>
          <w:szCs w:val="20"/>
        </w:rPr>
      </w:pPr>
      <w:r w:rsidRPr="00D037BE">
        <w:rPr>
          <w:rFonts w:ascii="Times New Roman" w:eastAsiaTheme="minorEastAsia" w:hAnsi="Times New Roman" w:cs="Times New Roman"/>
          <w:bCs/>
          <w:sz w:val="20"/>
          <w:szCs w:val="20"/>
        </w:rPr>
        <w:t>Additional time/frequency tracking is needed or check with RAN1.</w:t>
      </w:r>
    </w:p>
    <w:p w14:paraId="03046337" w14:textId="77777777" w:rsidR="00096420" w:rsidRPr="00D037BE" w:rsidRDefault="00096420" w:rsidP="00096420">
      <w:pPr>
        <w:spacing w:after="120"/>
        <w:jc w:val="both"/>
        <w:rPr>
          <w:sz w:val="20"/>
          <w:szCs w:val="20"/>
        </w:rPr>
      </w:pPr>
    </w:p>
    <w:p w14:paraId="4A3C613E" w14:textId="77777777" w:rsidR="00D037BE" w:rsidRPr="00D037BE" w:rsidRDefault="00D037BE" w:rsidP="00D037BE">
      <w:pPr>
        <w:spacing w:after="120"/>
        <w:rPr>
          <w:sz w:val="20"/>
          <w:szCs w:val="20"/>
        </w:rPr>
      </w:pPr>
      <w:r w:rsidRPr="00D037BE">
        <w:rPr>
          <w:sz w:val="20"/>
          <w:szCs w:val="20"/>
        </w:rPr>
        <w:t xml:space="preserve">The UL TCI state provides the spatial filter the UE should use for UL transmission – only QCL Type D. The UL timing is determined by DL serving cell timing and not by the DL-RS associated with the active UL TCI state. Also, the UL TCI state could also be provided by SRS. </w:t>
      </w:r>
    </w:p>
    <w:p w14:paraId="096B76CC" w14:textId="77777777" w:rsidR="00D037BE" w:rsidRPr="00D037BE" w:rsidRDefault="00D037BE" w:rsidP="00D037BE">
      <w:pPr>
        <w:spacing w:after="120"/>
        <w:rPr>
          <w:i/>
          <w:iCs/>
          <w:sz w:val="20"/>
          <w:szCs w:val="20"/>
        </w:rPr>
      </w:pPr>
      <w:r w:rsidRPr="00D037BE">
        <w:rPr>
          <w:b/>
          <w:bCs/>
          <w:i/>
          <w:iCs/>
          <w:sz w:val="20"/>
          <w:szCs w:val="20"/>
        </w:rPr>
        <w:t xml:space="preserve">Observation #1: </w:t>
      </w:r>
      <w:r w:rsidRPr="00D037BE">
        <w:rPr>
          <w:i/>
          <w:iCs/>
          <w:sz w:val="20"/>
          <w:szCs w:val="20"/>
        </w:rPr>
        <w:t>The UL TCI state provides the spatial TX filter to be used for UL transmission.</w:t>
      </w:r>
    </w:p>
    <w:p w14:paraId="7AB91977" w14:textId="77777777" w:rsidR="00D037BE" w:rsidRPr="00D037BE" w:rsidRDefault="00D037BE" w:rsidP="00D037BE">
      <w:pPr>
        <w:spacing w:after="120"/>
        <w:rPr>
          <w:i/>
          <w:iCs/>
          <w:sz w:val="20"/>
          <w:szCs w:val="20"/>
        </w:rPr>
      </w:pPr>
      <w:r w:rsidRPr="00D037BE">
        <w:rPr>
          <w:b/>
          <w:bCs/>
          <w:i/>
          <w:iCs/>
          <w:sz w:val="20"/>
          <w:szCs w:val="20"/>
        </w:rPr>
        <w:lastRenderedPageBreak/>
        <w:t xml:space="preserve">Observation #2: </w:t>
      </w:r>
      <w:r w:rsidRPr="00D037BE">
        <w:rPr>
          <w:i/>
          <w:iCs/>
          <w:sz w:val="20"/>
          <w:szCs w:val="20"/>
        </w:rPr>
        <w:t>The UL timing is determined by the DL serving cell timing and not by the RS associated with active UL TCI state.</w:t>
      </w:r>
    </w:p>
    <w:p w14:paraId="2A12F4A0" w14:textId="77777777" w:rsidR="00D037BE" w:rsidRPr="00D037BE" w:rsidRDefault="00D037BE" w:rsidP="00D037BE">
      <w:pPr>
        <w:spacing w:after="120"/>
        <w:rPr>
          <w:i/>
          <w:iCs/>
          <w:sz w:val="20"/>
          <w:szCs w:val="20"/>
        </w:rPr>
      </w:pPr>
      <w:r w:rsidRPr="00D037BE">
        <w:rPr>
          <w:b/>
          <w:bCs/>
          <w:i/>
          <w:iCs/>
          <w:sz w:val="20"/>
          <w:szCs w:val="20"/>
        </w:rPr>
        <w:t>Observation #3</w:t>
      </w:r>
      <w:r w:rsidRPr="00D037BE">
        <w:rPr>
          <w:i/>
          <w:iCs/>
          <w:sz w:val="20"/>
          <w:szCs w:val="20"/>
        </w:rPr>
        <w:t xml:space="preserve">:  The UL TCI state could be associated with DL-RS or SRS. </w:t>
      </w:r>
    </w:p>
    <w:p w14:paraId="692D5AB1" w14:textId="77777777" w:rsidR="005A1E50" w:rsidRPr="00D037BE" w:rsidRDefault="005A1E50" w:rsidP="005A1E50">
      <w:pPr>
        <w:spacing w:after="120"/>
        <w:rPr>
          <w:sz w:val="20"/>
          <w:szCs w:val="20"/>
        </w:rPr>
      </w:pPr>
      <w:r w:rsidRPr="00D037BE">
        <w:rPr>
          <w:sz w:val="20"/>
          <w:szCs w:val="20"/>
        </w:rPr>
        <w:t xml:space="preserve">Irrespective of whether the UL TCI state is a subset of the active DL TCI state list or not, the UL TCI state is only used to determine the UL TX beam and not the UL timing. Hence, no time / frequency tracking is needed for RS in UL TCI state for UL transmission. </w:t>
      </w:r>
    </w:p>
    <w:p w14:paraId="0854F8B8" w14:textId="77777777" w:rsidR="00D037BE" w:rsidRPr="00D037BE" w:rsidRDefault="00D037BE" w:rsidP="00D037BE">
      <w:pPr>
        <w:spacing w:after="120"/>
        <w:rPr>
          <w:sz w:val="20"/>
          <w:szCs w:val="20"/>
        </w:rPr>
      </w:pPr>
    </w:p>
    <w:p w14:paraId="4ED17783" w14:textId="77777777" w:rsidR="005A1E50" w:rsidRDefault="00D037BE" w:rsidP="00D037BE">
      <w:pPr>
        <w:spacing w:after="120"/>
        <w:rPr>
          <w:sz w:val="20"/>
          <w:szCs w:val="20"/>
        </w:rPr>
      </w:pPr>
      <w:r w:rsidRPr="00D037BE">
        <w:rPr>
          <w:sz w:val="20"/>
          <w:szCs w:val="20"/>
        </w:rPr>
        <w:t>In Rel-18 MIMO evolution RAN1 is discussing enhancements with 2 TA on the UL</w:t>
      </w:r>
      <w:r>
        <w:rPr>
          <w:sz w:val="20"/>
          <w:szCs w:val="20"/>
        </w:rPr>
        <w:t xml:space="preserve"> with multi-TRP</w:t>
      </w:r>
      <w:r w:rsidR="005A1E50">
        <w:rPr>
          <w:sz w:val="20"/>
          <w:szCs w:val="20"/>
        </w:rPr>
        <w:t xml:space="preserve"> </w:t>
      </w:r>
      <w:proofErr w:type="spellStart"/>
      <w:r w:rsidR="005A1E50">
        <w:rPr>
          <w:sz w:val="20"/>
          <w:szCs w:val="20"/>
        </w:rPr>
        <w:t>mDCI</w:t>
      </w:r>
      <w:proofErr w:type="spellEnd"/>
      <w:r w:rsidR="005A1E50">
        <w:rPr>
          <w:sz w:val="20"/>
          <w:szCs w:val="20"/>
        </w:rPr>
        <w:t xml:space="preserve"> transmission scheme.</w:t>
      </w:r>
    </w:p>
    <w:p w14:paraId="18862240" w14:textId="3F51BB72" w:rsidR="005A1E50" w:rsidRDefault="005A1E50" w:rsidP="00D037BE">
      <w:pPr>
        <w:spacing w:after="120"/>
        <w:rPr>
          <w:sz w:val="20"/>
          <w:szCs w:val="20"/>
        </w:rPr>
      </w:pPr>
      <w:r>
        <w:rPr>
          <w:sz w:val="20"/>
          <w:szCs w:val="20"/>
        </w:rPr>
        <w:t xml:space="preserve">Of the proposals discussed in last meeting, we think proposal #2 is very restrictive, allowing UL TCI state switch only for cases where target TCI state is in the active DL TCI state list.  We don’t think that there is any restriction in RAN1 design. </w:t>
      </w:r>
    </w:p>
    <w:p w14:paraId="7EFEB206" w14:textId="77777777" w:rsidR="00D037BE" w:rsidRPr="00D037BE" w:rsidRDefault="00D037BE" w:rsidP="00D037BE">
      <w:pPr>
        <w:spacing w:after="120"/>
        <w:rPr>
          <w:sz w:val="20"/>
          <w:szCs w:val="20"/>
        </w:rPr>
      </w:pPr>
    </w:p>
    <w:p w14:paraId="4D09A87E" w14:textId="1955CDEC" w:rsidR="000D4C99" w:rsidRDefault="000D4C99" w:rsidP="00D037BE">
      <w:pPr>
        <w:spacing w:after="120"/>
        <w:rPr>
          <w:b/>
          <w:bCs/>
          <w:sz w:val="20"/>
          <w:szCs w:val="20"/>
        </w:rPr>
      </w:pPr>
      <w:r>
        <w:rPr>
          <w:b/>
          <w:bCs/>
          <w:sz w:val="20"/>
          <w:szCs w:val="20"/>
        </w:rPr>
        <w:t>Proposal #1: Do not restrict UL TCI state switch to target TCI state in active DL TCI state list, as there is no suc</w:t>
      </w:r>
      <w:r w:rsidR="00107AFF">
        <w:rPr>
          <w:b/>
          <w:bCs/>
          <w:sz w:val="20"/>
          <w:szCs w:val="20"/>
        </w:rPr>
        <w:t>h</w:t>
      </w:r>
      <w:r>
        <w:rPr>
          <w:b/>
          <w:bCs/>
          <w:sz w:val="20"/>
          <w:szCs w:val="20"/>
        </w:rPr>
        <w:t xml:space="preserve"> restriction in RAN1</w:t>
      </w:r>
    </w:p>
    <w:p w14:paraId="0C008D3D" w14:textId="4DAAAE40" w:rsidR="00D037BE" w:rsidRPr="00D037BE" w:rsidRDefault="00D037BE" w:rsidP="00D037BE">
      <w:pPr>
        <w:spacing w:after="120"/>
        <w:rPr>
          <w:b/>
          <w:bCs/>
          <w:sz w:val="20"/>
          <w:szCs w:val="20"/>
        </w:rPr>
      </w:pPr>
      <w:r w:rsidRPr="00D037BE">
        <w:rPr>
          <w:b/>
          <w:bCs/>
          <w:sz w:val="20"/>
          <w:szCs w:val="20"/>
        </w:rPr>
        <w:t>Proposal #</w:t>
      </w:r>
      <w:r w:rsidR="00107AFF">
        <w:rPr>
          <w:b/>
          <w:bCs/>
          <w:sz w:val="20"/>
          <w:szCs w:val="20"/>
        </w:rPr>
        <w:t>2</w:t>
      </w:r>
      <w:r w:rsidRPr="00D037BE">
        <w:rPr>
          <w:b/>
          <w:bCs/>
          <w:sz w:val="20"/>
          <w:szCs w:val="20"/>
        </w:rPr>
        <w:t>: Irrespective of whether the source RS of UL TCI state is in the active DL TCI state list or not, no time/frequency tracking is needed for RS of UL TCI state for UL transmission.</w:t>
      </w:r>
    </w:p>
    <w:p w14:paraId="1D0A71BE" w14:textId="66A45C06" w:rsidR="000319AB" w:rsidRPr="000319AB" w:rsidRDefault="000319AB" w:rsidP="00096420">
      <w:pPr>
        <w:spacing w:after="120"/>
        <w:jc w:val="both"/>
        <w:rPr>
          <w:b/>
          <w:bCs/>
          <w:sz w:val="22"/>
          <w:szCs w:val="22"/>
        </w:rPr>
      </w:pPr>
      <w:r w:rsidRPr="000319AB">
        <w:rPr>
          <w:b/>
          <w:bCs/>
          <w:sz w:val="22"/>
          <w:szCs w:val="22"/>
        </w:rPr>
        <w:t>MAC-CE based UL TCI state switching delay when SSB is indicated as PL-RS in UL TCI state for FR2</w:t>
      </w:r>
    </w:p>
    <w:p w14:paraId="6158E397" w14:textId="1826A166" w:rsidR="00096420" w:rsidRDefault="004E5355" w:rsidP="00096420">
      <w:pPr>
        <w:spacing w:after="120"/>
        <w:jc w:val="both"/>
        <w:rPr>
          <w:sz w:val="20"/>
          <w:szCs w:val="20"/>
        </w:rPr>
      </w:pPr>
      <w:r>
        <w:rPr>
          <w:sz w:val="20"/>
          <w:szCs w:val="20"/>
        </w:rPr>
        <w:t xml:space="preserve">For </w:t>
      </w:r>
      <w:r w:rsidRPr="004E5355">
        <w:rPr>
          <w:sz w:val="20"/>
          <w:szCs w:val="20"/>
        </w:rPr>
        <w:t>MAC-CE based UL TCI state switching delay when SSB is indicated as PL-RS in UL TCI state for FR2</w:t>
      </w:r>
      <w:r>
        <w:rPr>
          <w:sz w:val="20"/>
          <w:szCs w:val="20"/>
        </w:rPr>
        <w:t>, the fowling options</w:t>
      </w:r>
      <w:r w:rsidR="00DD0FFF">
        <w:rPr>
          <w:sz w:val="20"/>
          <w:szCs w:val="20"/>
        </w:rPr>
        <w:t xml:space="preserve"> </w:t>
      </w:r>
      <w:r>
        <w:rPr>
          <w:sz w:val="20"/>
          <w:szCs w:val="20"/>
        </w:rPr>
        <w:t xml:space="preserve">were </w:t>
      </w:r>
      <w:r w:rsidR="00DD0FFF">
        <w:rPr>
          <w:sz w:val="20"/>
          <w:szCs w:val="20"/>
        </w:rPr>
        <w:t>discussed</w:t>
      </w:r>
      <w:r>
        <w:rPr>
          <w:sz w:val="20"/>
          <w:szCs w:val="20"/>
        </w:rPr>
        <w:t xml:space="preserve"> in [1]: </w:t>
      </w:r>
    </w:p>
    <w:p w14:paraId="1247D64E" w14:textId="68F52E9F" w:rsidR="004E5355" w:rsidRDefault="004E5355" w:rsidP="00096420">
      <w:pPr>
        <w:spacing w:after="120"/>
        <w:jc w:val="both"/>
        <w:rPr>
          <w:sz w:val="20"/>
          <w:szCs w:val="20"/>
        </w:rPr>
      </w:pPr>
    </w:p>
    <w:p w14:paraId="4FB915BB" w14:textId="77777777" w:rsidR="004E5355" w:rsidRPr="004E5355" w:rsidRDefault="004E5355" w:rsidP="004E5355">
      <w:pPr>
        <w:numPr>
          <w:ilvl w:val="1"/>
          <w:numId w:val="9"/>
        </w:numPr>
        <w:spacing w:after="120"/>
        <w:ind w:left="360"/>
        <w:jc w:val="both"/>
        <w:rPr>
          <w:sz w:val="20"/>
          <w:szCs w:val="20"/>
          <w:lang w:val="sv-SE"/>
        </w:rPr>
      </w:pPr>
      <w:proofErr w:type="spellStart"/>
      <w:r w:rsidRPr="004E5355">
        <w:rPr>
          <w:sz w:val="20"/>
          <w:szCs w:val="20"/>
          <w:lang w:val="sv-SE"/>
        </w:rPr>
        <w:t>Proposal</w:t>
      </w:r>
      <w:proofErr w:type="spellEnd"/>
      <w:r w:rsidRPr="004E5355">
        <w:rPr>
          <w:sz w:val="20"/>
          <w:szCs w:val="20"/>
          <w:lang w:val="sv-SE"/>
        </w:rPr>
        <w:t xml:space="preserve"> 1(Apple, </w:t>
      </w:r>
      <w:proofErr w:type="spellStart"/>
      <w:r w:rsidRPr="004E5355">
        <w:rPr>
          <w:sz w:val="20"/>
          <w:szCs w:val="20"/>
          <w:lang w:val="sv-SE"/>
        </w:rPr>
        <w:t>Huawei</w:t>
      </w:r>
      <w:proofErr w:type="spellEnd"/>
      <w:r w:rsidRPr="004E5355">
        <w:rPr>
          <w:sz w:val="20"/>
          <w:szCs w:val="20"/>
          <w:lang w:val="sv-SE"/>
        </w:rPr>
        <w:t>, Samsung):</w:t>
      </w:r>
    </w:p>
    <w:p w14:paraId="0A839768" w14:textId="77777777" w:rsidR="004E5355" w:rsidRPr="004E5355" w:rsidRDefault="004E5355" w:rsidP="004E5355">
      <w:pPr>
        <w:numPr>
          <w:ilvl w:val="2"/>
          <w:numId w:val="5"/>
        </w:numPr>
        <w:spacing w:after="120"/>
        <w:ind w:left="1080"/>
        <w:jc w:val="both"/>
        <w:rPr>
          <w:iCs/>
          <w:sz w:val="20"/>
          <w:szCs w:val="20"/>
          <w:lang w:val="en-GB"/>
        </w:rPr>
      </w:pPr>
      <w:r w:rsidRPr="004E5355">
        <w:rPr>
          <w:iCs/>
          <w:sz w:val="20"/>
          <w:szCs w:val="20"/>
          <w:lang w:val="en-GB"/>
        </w:rPr>
        <w:t>When PL-RS in UL TCI state switch is SSB in FR2, longer delay is expected.</w:t>
      </w:r>
    </w:p>
    <w:p w14:paraId="7554168B" w14:textId="77777777" w:rsidR="004E5355" w:rsidRPr="004E5355" w:rsidRDefault="004E5355" w:rsidP="004E5355">
      <w:pPr>
        <w:numPr>
          <w:ilvl w:val="2"/>
          <w:numId w:val="5"/>
        </w:numPr>
        <w:spacing w:after="120"/>
        <w:ind w:left="1080"/>
        <w:jc w:val="both"/>
        <w:rPr>
          <w:iCs/>
          <w:sz w:val="20"/>
          <w:szCs w:val="20"/>
          <w:lang w:val="en-GB"/>
        </w:rPr>
      </w:pPr>
      <w:r w:rsidRPr="004E5355">
        <w:rPr>
          <w:iCs/>
          <w:sz w:val="20"/>
          <w:szCs w:val="20"/>
          <w:lang w:val="en-GB"/>
        </w:rPr>
        <w:t>If no consensus can be achieved in RAN4, no requirements are defined for this case.</w:t>
      </w:r>
    </w:p>
    <w:p w14:paraId="35F1C151" w14:textId="77777777" w:rsidR="004E5355" w:rsidRPr="004E5355" w:rsidRDefault="004E5355" w:rsidP="004E5355">
      <w:pPr>
        <w:numPr>
          <w:ilvl w:val="1"/>
          <w:numId w:val="9"/>
        </w:numPr>
        <w:spacing w:after="120"/>
        <w:ind w:left="360"/>
        <w:jc w:val="both"/>
        <w:rPr>
          <w:sz w:val="20"/>
          <w:szCs w:val="20"/>
          <w:lang w:val="sv-SE"/>
        </w:rPr>
      </w:pPr>
      <w:proofErr w:type="spellStart"/>
      <w:r w:rsidRPr="004E5355">
        <w:rPr>
          <w:sz w:val="20"/>
          <w:szCs w:val="20"/>
          <w:lang w:val="sv-SE"/>
        </w:rPr>
        <w:t>Proposal</w:t>
      </w:r>
      <w:proofErr w:type="spellEnd"/>
      <w:r w:rsidRPr="004E5355">
        <w:rPr>
          <w:sz w:val="20"/>
          <w:szCs w:val="20"/>
          <w:lang w:val="sv-SE"/>
        </w:rPr>
        <w:t xml:space="preserve"> 2(</w:t>
      </w:r>
      <w:proofErr w:type="spellStart"/>
      <w:proofErr w:type="gramStart"/>
      <w:r w:rsidRPr="004E5355">
        <w:rPr>
          <w:sz w:val="20"/>
          <w:szCs w:val="20"/>
          <w:lang w:val="sv-SE"/>
        </w:rPr>
        <w:t>MTK,vivo</w:t>
      </w:r>
      <w:proofErr w:type="spellEnd"/>
      <w:proofErr w:type="gramEnd"/>
      <w:r w:rsidRPr="004E5355">
        <w:rPr>
          <w:sz w:val="20"/>
          <w:szCs w:val="20"/>
          <w:lang w:val="sv-SE"/>
        </w:rPr>
        <w:t xml:space="preserve">, ZTE, Ericsson): </w:t>
      </w:r>
    </w:p>
    <w:p w14:paraId="16920CC8" w14:textId="77777777" w:rsidR="004E5355" w:rsidRPr="004E5355" w:rsidRDefault="004E5355" w:rsidP="004E5355">
      <w:pPr>
        <w:numPr>
          <w:ilvl w:val="2"/>
          <w:numId w:val="5"/>
        </w:numPr>
        <w:spacing w:after="120"/>
        <w:ind w:left="1080"/>
        <w:jc w:val="both"/>
        <w:rPr>
          <w:iCs/>
          <w:sz w:val="20"/>
          <w:szCs w:val="20"/>
          <w:lang w:val="en-GB"/>
        </w:rPr>
      </w:pPr>
      <w:r w:rsidRPr="004E5355">
        <w:rPr>
          <w:iCs/>
          <w:sz w:val="20"/>
          <w:szCs w:val="20"/>
          <w:lang w:val="en-GB"/>
        </w:rPr>
        <w:t>Reuse the existing delay requirement of MAC CE based UL TCI state switch.</w:t>
      </w:r>
    </w:p>
    <w:p w14:paraId="7C010BA6" w14:textId="77777777" w:rsidR="004E5355" w:rsidRPr="004E5355" w:rsidRDefault="004E5355" w:rsidP="004E5355">
      <w:pPr>
        <w:numPr>
          <w:ilvl w:val="1"/>
          <w:numId w:val="9"/>
        </w:numPr>
        <w:spacing w:after="120"/>
        <w:ind w:left="360"/>
        <w:jc w:val="both"/>
        <w:rPr>
          <w:sz w:val="20"/>
          <w:szCs w:val="20"/>
          <w:lang w:val="sv-SE"/>
        </w:rPr>
      </w:pPr>
      <w:proofErr w:type="spellStart"/>
      <w:r w:rsidRPr="004E5355">
        <w:rPr>
          <w:sz w:val="20"/>
          <w:szCs w:val="20"/>
          <w:lang w:val="sv-SE"/>
        </w:rPr>
        <w:t>Proposal</w:t>
      </w:r>
      <w:proofErr w:type="spellEnd"/>
      <w:r w:rsidRPr="004E5355">
        <w:rPr>
          <w:bCs/>
          <w:sz w:val="20"/>
          <w:szCs w:val="20"/>
          <w:lang w:val="en-GB"/>
        </w:rPr>
        <w:t xml:space="preserve"> </w:t>
      </w:r>
      <w:r w:rsidRPr="004E5355">
        <w:rPr>
          <w:sz w:val="20"/>
          <w:szCs w:val="20"/>
          <w:lang w:val="sv-SE"/>
        </w:rPr>
        <w:t>3(Nokia):</w:t>
      </w:r>
    </w:p>
    <w:p w14:paraId="4F28EBF2" w14:textId="77777777" w:rsidR="004E5355" w:rsidRPr="004E5355" w:rsidRDefault="004E5355" w:rsidP="004E5355">
      <w:pPr>
        <w:numPr>
          <w:ilvl w:val="2"/>
          <w:numId w:val="5"/>
        </w:numPr>
        <w:spacing w:after="120"/>
        <w:ind w:left="1080"/>
        <w:jc w:val="both"/>
        <w:rPr>
          <w:sz w:val="20"/>
          <w:szCs w:val="20"/>
          <w:lang w:val="en-GB"/>
        </w:rPr>
      </w:pPr>
      <w:r w:rsidRPr="004E5355">
        <w:rPr>
          <w:sz w:val="20"/>
          <w:szCs w:val="20"/>
          <w:lang w:val="en-GB"/>
        </w:rPr>
        <w:t>There is no need for beam sweeping for PL-RS measurements in FR2 if the PL-RS is SSB (assuming UE is having no more than 4 different PL-RS activated).</w:t>
      </w:r>
    </w:p>
    <w:p w14:paraId="6FF07A81" w14:textId="77777777" w:rsidR="004E5355" w:rsidRPr="004E5355" w:rsidRDefault="004E5355" w:rsidP="004E5355">
      <w:pPr>
        <w:numPr>
          <w:ilvl w:val="2"/>
          <w:numId w:val="5"/>
        </w:numPr>
        <w:spacing w:after="120"/>
        <w:ind w:left="1080"/>
        <w:jc w:val="both"/>
        <w:rPr>
          <w:sz w:val="20"/>
          <w:szCs w:val="20"/>
          <w:lang w:val="en-GB"/>
        </w:rPr>
      </w:pPr>
      <w:r w:rsidRPr="004E5355">
        <w:rPr>
          <w:sz w:val="20"/>
          <w:szCs w:val="20"/>
          <w:lang w:val="en-GB"/>
        </w:rPr>
        <w:t>RAN4 does not discuss UE requirements for the scenario where the UE is configured with more than 4 different PL-RS for all active UL (or joint) TCI states.</w:t>
      </w:r>
    </w:p>
    <w:p w14:paraId="77988DA9" w14:textId="77777777" w:rsidR="004E5355" w:rsidRPr="004E5355" w:rsidRDefault="004E5355" w:rsidP="004E5355">
      <w:pPr>
        <w:numPr>
          <w:ilvl w:val="2"/>
          <w:numId w:val="5"/>
        </w:numPr>
        <w:spacing w:after="120"/>
        <w:ind w:left="1080"/>
        <w:jc w:val="both"/>
        <w:rPr>
          <w:sz w:val="20"/>
          <w:szCs w:val="20"/>
          <w:lang w:val="en-GB"/>
        </w:rPr>
      </w:pPr>
      <w:r w:rsidRPr="004E5355">
        <w:rPr>
          <w:sz w:val="20"/>
          <w:szCs w:val="20"/>
          <w:lang w:val="en-GB"/>
        </w:rPr>
        <w:t xml:space="preserve">When SSB is indicated as PL-RS in UL TCI state for FR2, </w:t>
      </w:r>
    </w:p>
    <w:p w14:paraId="327F94B1" w14:textId="77777777" w:rsidR="004E5355" w:rsidRPr="004E5355" w:rsidRDefault="004E5355" w:rsidP="004E5355">
      <w:pPr>
        <w:numPr>
          <w:ilvl w:val="0"/>
          <w:numId w:val="10"/>
        </w:numPr>
        <w:spacing w:after="120"/>
        <w:ind w:left="1494"/>
        <w:jc w:val="both"/>
        <w:rPr>
          <w:sz w:val="20"/>
          <w:szCs w:val="20"/>
          <w:lang w:val="en-GB"/>
        </w:rPr>
      </w:pPr>
      <w:r w:rsidRPr="004E5355">
        <w:rPr>
          <w:sz w:val="20"/>
          <w:szCs w:val="20"/>
          <w:lang w:val="en-GB"/>
        </w:rPr>
        <w:t xml:space="preserve">The number of sample M will not always be fixed as 5 samples. </w:t>
      </w:r>
    </w:p>
    <w:p w14:paraId="63780D5C" w14:textId="77777777" w:rsidR="004E5355" w:rsidRPr="004E5355" w:rsidRDefault="004E5355" w:rsidP="004E5355">
      <w:pPr>
        <w:numPr>
          <w:ilvl w:val="0"/>
          <w:numId w:val="10"/>
        </w:numPr>
        <w:spacing w:after="120"/>
        <w:ind w:left="1494"/>
        <w:jc w:val="both"/>
        <w:rPr>
          <w:sz w:val="20"/>
          <w:szCs w:val="20"/>
          <w:lang w:val="en-GB"/>
        </w:rPr>
      </w:pPr>
      <w:r w:rsidRPr="004E5355">
        <w:rPr>
          <w:sz w:val="20"/>
          <w:szCs w:val="20"/>
          <w:lang w:val="en-GB"/>
        </w:rPr>
        <w:t>If a UE performs both L1-RSRP measurements and PL-RS measurements on the same SSB, the number of samples used for L1-RSRP is counted for pathloss measurement.</w:t>
      </w:r>
    </w:p>
    <w:p w14:paraId="0FA57211" w14:textId="77777777" w:rsidR="004E5355" w:rsidRPr="004E5355" w:rsidRDefault="004E5355" w:rsidP="004E5355">
      <w:pPr>
        <w:numPr>
          <w:ilvl w:val="0"/>
          <w:numId w:val="10"/>
        </w:numPr>
        <w:spacing w:after="120"/>
        <w:ind w:left="1494"/>
        <w:jc w:val="both"/>
        <w:rPr>
          <w:sz w:val="20"/>
          <w:szCs w:val="20"/>
          <w:lang w:val="en-GB"/>
        </w:rPr>
      </w:pPr>
      <w:r w:rsidRPr="004E5355">
        <w:rPr>
          <w:sz w:val="20"/>
          <w:szCs w:val="20"/>
          <w:lang w:val="en-GB"/>
        </w:rPr>
        <w:t xml:space="preserve">If a UE has reported L1-RSRP measurement on a PL-RS within a time window, the PL-RS is regarded as maintained. </w:t>
      </w:r>
    </w:p>
    <w:p w14:paraId="41B09CA9" w14:textId="5CACC922" w:rsidR="004E5355" w:rsidRPr="00E47316" w:rsidRDefault="004E5355" w:rsidP="004E5355">
      <w:pPr>
        <w:spacing w:after="120"/>
        <w:rPr>
          <w:sz w:val="20"/>
          <w:szCs w:val="20"/>
        </w:rPr>
      </w:pPr>
      <w:r w:rsidRPr="00942D5C">
        <w:rPr>
          <w:sz w:val="20"/>
          <w:szCs w:val="20"/>
        </w:rPr>
        <w:t xml:space="preserve">The switching delay for UL TCI state switch when SSB is indicated as PL-RS in UL TCI state in FR2 is FFS. When L1 measurement is based on SSB in FR2, we always allow time for RX beam sweeping. If PL-RS is not maintained by the UE, then additional time is needed for pathloss measurement. If the indicated PL-RS is SSB in FR2, then the measurement time should also account for RX beam sweep time. Hence, we propose to include that additional delay </w:t>
      </w:r>
      <w:r w:rsidRPr="00942D5C">
        <w:rPr>
          <w:sz w:val="20"/>
          <w:szCs w:val="20"/>
        </w:rPr>
        <w:lastRenderedPageBreak/>
        <w:t>is expected when SSB is PL-RS in UL TCI state switch in FR2.</w:t>
      </w:r>
      <w:r>
        <w:rPr>
          <w:sz w:val="20"/>
          <w:szCs w:val="20"/>
        </w:rPr>
        <w:t xml:space="preserve"> If no consensus is reached in RAN4, we suggest that no requirements are defined for this case.  </w:t>
      </w:r>
    </w:p>
    <w:p w14:paraId="7FFF675E" w14:textId="6BAD0D11" w:rsidR="004E5355" w:rsidRPr="002045D3" w:rsidRDefault="004E5355" w:rsidP="004E5355">
      <w:pPr>
        <w:spacing w:after="120"/>
        <w:rPr>
          <w:b/>
          <w:bCs/>
          <w:sz w:val="20"/>
          <w:szCs w:val="20"/>
        </w:rPr>
      </w:pPr>
      <w:r w:rsidRPr="002045D3">
        <w:rPr>
          <w:b/>
          <w:bCs/>
          <w:sz w:val="20"/>
          <w:szCs w:val="20"/>
        </w:rPr>
        <w:t>Proposal #</w:t>
      </w:r>
      <w:r>
        <w:rPr>
          <w:b/>
          <w:bCs/>
          <w:sz w:val="20"/>
          <w:szCs w:val="20"/>
        </w:rPr>
        <w:t>4</w:t>
      </w:r>
      <w:r w:rsidRPr="002045D3">
        <w:rPr>
          <w:b/>
          <w:bCs/>
          <w:sz w:val="20"/>
          <w:szCs w:val="20"/>
        </w:rPr>
        <w:t>: When PL-RS in UL TCI state switch is SSB in FR2, longer delay is expected.</w:t>
      </w:r>
    </w:p>
    <w:p w14:paraId="042D7A63" w14:textId="77777777" w:rsidR="004E5355" w:rsidRPr="002045D3" w:rsidRDefault="004E5355" w:rsidP="004E5355">
      <w:pPr>
        <w:spacing w:after="120"/>
        <w:rPr>
          <w:b/>
          <w:bCs/>
          <w:sz w:val="20"/>
          <w:szCs w:val="20"/>
        </w:rPr>
      </w:pPr>
      <w:r w:rsidRPr="002C71F7">
        <w:rPr>
          <w:b/>
          <w:bCs/>
          <w:sz w:val="20"/>
          <w:szCs w:val="20"/>
        </w:rPr>
        <w:t>Proposal #</w:t>
      </w:r>
      <w:r>
        <w:rPr>
          <w:b/>
          <w:bCs/>
          <w:sz w:val="20"/>
          <w:szCs w:val="20"/>
        </w:rPr>
        <w:t>5</w:t>
      </w:r>
      <w:r w:rsidRPr="002C71F7">
        <w:rPr>
          <w:b/>
          <w:bCs/>
          <w:sz w:val="20"/>
          <w:szCs w:val="20"/>
        </w:rPr>
        <w:t xml:space="preserve">: </w:t>
      </w:r>
      <w:r>
        <w:rPr>
          <w:b/>
          <w:bCs/>
          <w:sz w:val="20"/>
          <w:szCs w:val="20"/>
        </w:rPr>
        <w:t>If no consensus is reached in RAN4 for SSB based PL-RS measurement in FR2, no requirements are defined for this case</w:t>
      </w:r>
      <w:r w:rsidRPr="002C71F7">
        <w:rPr>
          <w:b/>
          <w:bCs/>
          <w:sz w:val="20"/>
          <w:szCs w:val="20"/>
        </w:rPr>
        <w:t>.</w:t>
      </w:r>
    </w:p>
    <w:p w14:paraId="0B24D371" w14:textId="5DA26C65" w:rsidR="00A64241" w:rsidRPr="000319AB" w:rsidRDefault="00A64241" w:rsidP="00096420">
      <w:pPr>
        <w:spacing w:after="120"/>
        <w:jc w:val="both"/>
        <w:rPr>
          <w:b/>
          <w:bCs/>
          <w:sz w:val="22"/>
          <w:szCs w:val="22"/>
        </w:rPr>
      </w:pPr>
      <w:r w:rsidRPr="000319AB">
        <w:rPr>
          <w:b/>
          <w:bCs/>
          <w:sz w:val="22"/>
          <w:szCs w:val="22"/>
        </w:rPr>
        <w:t>Definition of maintained PL-RS.</w:t>
      </w:r>
    </w:p>
    <w:p w14:paraId="3B254D36" w14:textId="749176C2" w:rsidR="00A64241" w:rsidRDefault="00A64241" w:rsidP="00096420">
      <w:pPr>
        <w:spacing w:after="120"/>
        <w:jc w:val="both"/>
        <w:rPr>
          <w:sz w:val="20"/>
          <w:szCs w:val="20"/>
        </w:rPr>
      </w:pPr>
      <w:r>
        <w:rPr>
          <w:sz w:val="20"/>
          <w:szCs w:val="20"/>
        </w:rPr>
        <w:t>The definition of maintained PL-RS was tentatively agreed in [1]</w:t>
      </w:r>
      <w:r w:rsidR="000319AB">
        <w:rPr>
          <w:sz w:val="20"/>
          <w:szCs w:val="20"/>
        </w:rPr>
        <w:t>.</w:t>
      </w:r>
      <w:r>
        <w:rPr>
          <w:sz w:val="20"/>
          <w:szCs w:val="20"/>
        </w:rPr>
        <w:t xml:space="preserve"> We propose to confirm the definition</w:t>
      </w:r>
      <w:r w:rsidR="000319AB">
        <w:rPr>
          <w:sz w:val="20"/>
          <w:szCs w:val="20"/>
        </w:rPr>
        <w:t xml:space="preserve"> captured in “</w:t>
      </w:r>
      <w:proofErr w:type="gramStart"/>
      <w:r w:rsidR="000319AB">
        <w:rPr>
          <w:sz w:val="20"/>
          <w:szCs w:val="20"/>
        </w:rPr>
        <w:t>[ ]</w:t>
      </w:r>
      <w:proofErr w:type="gramEnd"/>
      <w:r w:rsidR="000319AB">
        <w:rPr>
          <w:sz w:val="20"/>
          <w:szCs w:val="20"/>
        </w:rPr>
        <w:t>” in spec:</w:t>
      </w:r>
    </w:p>
    <w:p w14:paraId="277B6897" w14:textId="77777777" w:rsidR="000319AB" w:rsidRPr="000319AB" w:rsidRDefault="000319AB" w:rsidP="000319AB">
      <w:pPr>
        <w:pStyle w:val="B1"/>
        <w:rPr>
          <w:sz w:val="20"/>
          <w:szCs w:val="20"/>
        </w:rPr>
      </w:pPr>
      <w:r w:rsidRPr="000319AB">
        <w:rPr>
          <w:sz w:val="20"/>
          <w:szCs w:val="20"/>
        </w:rPr>
        <w:t>[-</w:t>
      </w:r>
      <w:r w:rsidRPr="000319AB">
        <w:rPr>
          <w:sz w:val="20"/>
          <w:szCs w:val="20"/>
        </w:rPr>
        <w:tab/>
        <w:t xml:space="preserve">PL-RS is maintained provided: </w:t>
      </w:r>
    </w:p>
    <w:p w14:paraId="44683655" w14:textId="77777777" w:rsidR="000319AB" w:rsidRPr="000319AB" w:rsidRDefault="000319AB" w:rsidP="000319AB">
      <w:pPr>
        <w:pStyle w:val="B2"/>
        <w:rPr>
          <w:sz w:val="20"/>
          <w:szCs w:val="20"/>
        </w:rPr>
      </w:pPr>
      <w:r w:rsidRPr="000319AB">
        <w:rPr>
          <w:sz w:val="20"/>
          <w:szCs w:val="20"/>
        </w:rPr>
        <w:t>-</w:t>
      </w:r>
      <w:r w:rsidRPr="000319AB">
        <w:rPr>
          <w:sz w:val="20"/>
          <w:szCs w:val="20"/>
        </w:rPr>
        <w:tab/>
        <w:t>the target PL-RS is associated with or included in the UL or joint TCI states in the active TCI list for PUSCH/PUCCH/SRS transmissions</w:t>
      </w:r>
    </w:p>
    <w:p w14:paraId="6CF92DAC" w14:textId="77777777" w:rsidR="000319AB" w:rsidRPr="000319AB" w:rsidRDefault="000319AB" w:rsidP="000319AB">
      <w:pPr>
        <w:pStyle w:val="B2"/>
        <w:rPr>
          <w:sz w:val="20"/>
          <w:szCs w:val="20"/>
        </w:rPr>
      </w:pPr>
      <w:r w:rsidRPr="000319AB">
        <w:rPr>
          <w:sz w:val="20"/>
          <w:szCs w:val="20"/>
        </w:rPr>
        <w:t>-</w:t>
      </w:r>
      <w:r w:rsidRPr="000319AB">
        <w:rPr>
          <w:sz w:val="20"/>
          <w:szCs w:val="20"/>
        </w:rPr>
        <w:tab/>
        <w:t>There are no more than 4 different RS configured as PL-RS per serving cell among all active UL (or joint) TCI states for PUSCH/PUCCH/SRS transmissions</w:t>
      </w:r>
    </w:p>
    <w:p w14:paraId="2E5A14AC" w14:textId="77777777" w:rsidR="000319AB" w:rsidRPr="000319AB" w:rsidRDefault="000319AB" w:rsidP="000319AB">
      <w:pPr>
        <w:pStyle w:val="NO"/>
        <w:rPr>
          <w:sz w:val="20"/>
          <w:szCs w:val="20"/>
        </w:rPr>
      </w:pPr>
      <w:r w:rsidRPr="000319AB">
        <w:rPr>
          <w:sz w:val="20"/>
          <w:szCs w:val="20"/>
        </w:rPr>
        <w:t>-</w:t>
      </w:r>
      <w:r w:rsidRPr="000319AB">
        <w:rPr>
          <w:sz w:val="20"/>
          <w:szCs w:val="20"/>
        </w:rPr>
        <w:tab/>
        <w:t xml:space="preserve">Conditions for known path loss reference signal in section 8.14.2 are </w:t>
      </w:r>
      <w:proofErr w:type="spellStart"/>
      <w:proofErr w:type="gramStart"/>
      <w:r w:rsidRPr="000319AB">
        <w:rPr>
          <w:sz w:val="20"/>
          <w:szCs w:val="20"/>
        </w:rPr>
        <w:t>fulfilled.Note</w:t>
      </w:r>
      <w:proofErr w:type="spellEnd"/>
      <w:proofErr w:type="gramEnd"/>
      <w:r w:rsidRPr="000319AB">
        <w:rPr>
          <w:sz w:val="20"/>
          <w:szCs w:val="20"/>
        </w:rPr>
        <w:t>:</w:t>
      </w:r>
      <w:r w:rsidRPr="000319AB">
        <w:rPr>
          <w:sz w:val="20"/>
          <w:szCs w:val="20"/>
        </w:rPr>
        <w:tab/>
        <w:t>The requirements specified in this clause are not applicable if more than 4 different RSs are configured as PL-RS per serving cell among all active UL (or joint) TCI states.]</w:t>
      </w:r>
    </w:p>
    <w:p w14:paraId="0B85F747" w14:textId="77777777" w:rsidR="000319AB" w:rsidRDefault="000319AB" w:rsidP="00096420">
      <w:pPr>
        <w:spacing w:after="120"/>
        <w:jc w:val="both"/>
        <w:rPr>
          <w:sz w:val="20"/>
          <w:szCs w:val="20"/>
        </w:rPr>
      </w:pPr>
    </w:p>
    <w:p w14:paraId="603D0B90" w14:textId="673BD3D4" w:rsidR="00A64241" w:rsidRPr="00A64241" w:rsidRDefault="00A64241" w:rsidP="00096420">
      <w:pPr>
        <w:spacing w:after="120"/>
        <w:jc w:val="both"/>
        <w:rPr>
          <w:b/>
          <w:bCs/>
          <w:sz w:val="20"/>
          <w:szCs w:val="20"/>
        </w:rPr>
      </w:pPr>
      <w:r>
        <w:rPr>
          <w:b/>
          <w:bCs/>
          <w:sz w:val="20"/>
          <w:szCs w:val="20"/>
        </w:rPr>
        <w:t>Proposal #6: Confirm the definition of maintained PL-RS</w:t>
      </w:r>
      <w:r w:rsidR="000319AB">
        <w:rPr>
          <w:b/>
          <w:bCs/>
          <w:sz w:val="20"/>
          <w:szCs w:val="20"/>
        </w:rPr>
        <w:t>.</w:t>
      </w:r>
    </w:p>
    <w:p w14:paraId="29A06EC2" w14:textId="76DD8637" w:rsidR="00CD6DF1" w:rsidRPr="000319AB" w:rsidRDefault="00CD6DF1" w:rsidP="00096420">
      <w:pPr>
        <w:spacing w:after="120"/>
        <w:jc w:val="both"/>
        <w:rPr>
          <w:b/>
          <w:bCs/>
          <w:sz w:val="22"/>
          <w:szCs w:val="22"/>
        </w:rPr>
      </w:pPr>
      <w:r w:rsidRPr="000319AB">
        <w:rPr>
          <w:b/>
          <w:bCs/>
          <w:sz w:val="22"/>
          <w:szCs w:val="22"/>
        </w:rPr>
        <w:t>Common TCI</w:t>
      </w:r>
    </w:p>
    <w:p w14:paraId="2B72E8D0" w14:textId="01CAA435" w:rsidR="00A64241" w:rsidRDefault="003D2560" w:rsidP="00096420">
      <w:pPr>
        <w:spacing w:after="120"/>
        <w:jc w:val="both"/>
        <w:rPr>
          <w:sz w:val="20"/>
          <w:szCs w:val="20"/>
        </w:rPr>
      </w:pPr>
      <w:r>
        <w:rPr>
          <w:sz w:val="20"/>
          <w:szCs w:val="20"/>
        </w:rPr>
        <w:t xml:space="preserve">In the current requirements specification, the </w:t>
      </w:r>
      <w:r w:rsidR="00E47316">
        <w:rPr>
          <w:sz w:val="20"/>
          <w:szCs w:val="20"/>
        </w:rPr>
        <w:t xml:space="preserve">same requirements as single CC are applicable to </w:t>
      </w:r>
      <w:r>
        <w:rPr>
          <w:sz w:val="20"/>
          <w:szCs w:val="20"/>
        </w:rPr>
        <w:t>common TCI</w:t>
      </w:r>
      <w:r w:rsidR="00E47316">
        <w:rPr>
          <w:sz w:val="20"/>
          <w:szCs w:val="20"/>
        </w:rPr>
        <w:t>:</w:t>
      </w:r>
      <w:r>
        <w:rPr>
          <w:sz w:val="20"/>
          <w:szCs w:val="20"/>
        </w:rPr>
        <w:t xml:space="preserve"> </w:t>
      </w:r>
    </w:p>
    <w:p w14:paraId="33F79764" w14:textId="560A2C97" w:rsidR="003D2560" w:rsidRDefault="003D2560" w:rsidP="00096420">
      <w:pPr>
        <w:spacing w:after="120"/>
        <w:jc w:val="both"/>
        <w:rPr>
          <w:sz w:val="20"/>
          <w:szCs w:val="20"/>
        </w:rPr>
      </w:pPr>
      <w:r w:rsidRPr="003D2560">
        <w:rPr>
          <w:noProof/>
          <w:sz w:val="20"/>
          <w:szCs w:val="20"/>
        </w:rPr>
        <w:drawing>
          <wp:inline distT="0" distB="0" distL="0" distR="0" wp14:anchorId="3C3056D6" wp14:editId="49B99C93">
            <wp:extent cx="5943600" cy="1816100"/>
            <wp:effectExtent l="12700" t="12700" r="12700"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1816100"/>
                    </a:xfrm>
                    <a:prstGeom prst="rect">
                      <a:avLst/>
                    </a:prstGeom>
                    <a:ln>
                      <a:solidFill>
                        <a:schemeClr val="tx1"/>
                      </a:solidFill>
                    </a:ln>
                  </pic:spPr>
                </pic:pic>
              </a:graphicData>
            </a:graphic>
          </wp:inline>
        </w:drawing>
      </w:r>
    </w:p>
    <w:p w14:paraId="0BAC6320" w14:textId="36B7EEF2" w:rsidR="00E47316" w:rsidRDefault="00E47316" w:rsidP="00096420">
      <w:pPr>
        <w:spacing w:after="120"/>
        <w:jc w:val="both"/>
        <w:rPr>
          <w:sz w:val="20"/>
          <w:szCs w:val="20"/>
        </w:rPr>
      </w:pPr>
      <w:r>
        <w:rPr>
          <w:sz w:val="20"/>
          <w:szCs w:val="20"/>
        </w:rPr>
        <w:t>In previous meetings when requirements for common TCI were discussed, it was agreed that if shared RS is configured for all CCs with common TCI, then the same switching delay requirements as single CC will be applicable to all the CCs. In case of different RS, the TCI state switching delay for each CC follows the requirements of single CC. The current wording in specification doesn’t differentiate between shared RS and different RS. It suggests that the requirements are applicable irrespective of shared or different RS</w:t>
      </w:r>
      <w:r w:rsidR="001000DE">
        <w:rPr>
          <w:sz w:val="20"/>
          <w:szCs w:val="20"/>
        </w:rPr>
        <w:t xml:space="preserve">. </w:t>
      </w:r>
    </w:p>
    <w:p w14:paraId="3F3B4968" w14:textId="77777777" w:rsidR="001000DE" w:rsidRDefault="00E47316" w:rsidP="00096420">
      <w:pPr>
        <w:spacing w:after="120"/>
        <w:jc w:val="both"/>
        <w:rPr>
          <w:i/>
          <w:iCs/>
          <w:sz w:val="20"/>
          <w:szCs w:val="20"/>
        </w:rPr>
      </w:pPr>
      <w:r>
        <w:rPr>
          <w:b/>
          <w:bCs/>
          <w:i/>
          <w:iCs/>
          <w:sz w:val="20"/>
          <w:szCs w:val="20"/>
        </w:rPr>
        <w:t xml:space="preserve">Observation #4: </w:t>
      </w:r>
      <w:r>
        <w:rPr>
          <w:i/>
          <w:iCs/>
          <w:sz w:val="20"/>
          <w:szCs w:val="20"/>
        </w:rPr>
        <w:t>In previous RAN4 meetings the agreement for common TCI was made for shared RS and different RS.</w:t>
      </w:r>
      <w:r w:rsidR="001000DE">
        <w:rPr>
          <w:i/>
          <w:iCs/>
          <w:sz w:val="20"/>
          <w:szCs w:val="20"/>
        </w:rPr>
        <w:t xml:space="preserve"> For shared RS, the requirements for single CC apply to all CCs. For different RS the TCI state switching delay for each CC follows single CC requirements. </w:t>
      </w:r>
    </w:p>
    <w:p w14:paraId="5F5D848F" w14:textId="5C0208C1" w:rsidR="00E47316" w:rsidRDefault="001000DE" w:rsidP="00096420">
      <w:pPr>
        <w:spacing w:after="120"/>
        <w:jc w:val="both"/>
        <w:rPr>
          <w:sz w:val="20"/>
          <w:szCs w:val="20"/>
        </w:rPr>
      </w:pPr>
      <w:r>
        <w:rPr>
          <w:b/>
          <w:bCs/>
          <w:i/>
          <w:iCs/>
          <w:sz w:val="20"/>
          <w:szCs w:val="20"/>
        </w:rPr>
        <w:t xml:space="preserve">Observation #5: </w:t>
      </w:r>
      <w:r w:rsidRPr="001000DE">
        <w:rPr>
          <w:i/>
          <w:iCs/>
          <w:sz w:val="20"/>
          <w:szCs w:val="20"/>
        </w:rPr>
        <w:t>The current wording in 38.133 suggests that the requirements are applicable to all CCs irrespective of shared RS or different RS.</w:t>
      </w:r>
      <w:r>
        <w:rPr>
          <w:b/>
          <w:bCs/>
          <w:i/>
          <w:iCs/>
          <w:sz w:val="20"/>
          <w:szCs w:val="20"/>
        </w:rPr>
        <w:t xml:space="preserve">  </w:t>
      </w:r>
      <w:r w:rsidR="00E47316">
        <w:rPr>
          <w:sz w:val="20"/>
          <w:szCs w:val="20"/>
        </w:rPr>
        <w:t xml:space="preserve">  </w:t>
      </w:r>
    </w:p>
    <w:p w14:paraId="63ADE222" w14:textId="26D1F821" w:rsidR="00F21D5E" w:rsidRDefault="00F21D5E" w:rsidP="00F21D5E">
      <w:pPr>
        <w:spacing w:after="120"/>
        <w:jc w:val="both"/>
        <w:rPr>
          <w:sz w:val="20"/>
          <w:szCs w:val="20"/>
        </w:rPr>
      </w:pPr>
      <w:r>
        <w:rPr>
          <w:sz w:val="20"/>
          <w:szCs w:val="20"/>
        </w:rPr>
        <w:t xml:space="preserve">The IE </w:t>
      </w:r>
      <w:r w:rsidRPr="00F21D5E">
        <w:rPr>
          <w:i/>
          <w:iCs/>
          <w:sz w:val="20"/>
          <w:szCs w:val="20"/>
        </w:rPr>
        <w:t>simultaneousU-TCI-UpdateList1</w:t>
      </w:r>
      <w:r>
        <w:rPr>
          <w:i/>
          <w:iCs/>
          <w:sz w:val="20"/>
          <w:szCs w:val="20"/>
        </w:rPr>
        <w:t xml:space="preserve">/2/3/4 </w:t>
      </w:r>
      <w:r>
        <w:rPr>
          <w:sz w:val="20"/>
          <w:szCs w:val="20"/>
        </w:rPr>
        <w:t>are used in indicate common TCI ID applicable to list of CCs:</w:t>
      </w:r>
    </w:p>
    <w:p w14:paraId="6028CA46" w14:textId="5B8B7419" w:rsidR="00F21D5E" w:rsidRPr="00F21D5E" w:rsidRDefault="00F21D5E" w:rsidP="00F21D5E">
      <w:pPr>
        <w:spacing w:after="120"/>
        <w:jc w:val="both"/>
        <w:rPr>
          <w:sz w:val="20"/>
          <w:szCs w:val="20"/>
        </w:rPr>
      </w:pPr>
      <w:r w:rsidRPr="00F21D5E">
        <w:rPr>
          <w:noProof/>
          <w:sz w:val="20"/>
          <w:szCs w:val="20"/>
        </w:rPr>
        <w:lastRenderedPageBreak/>
        <w:drawing>
          <wp:inline distT="0" distB="0" distL="0" distR="0" wp14:anchorId="0FF1C3D1" wp14:editId="7CFFE550">
            <wp:extent cx="5943600" cy="3041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304165"/>
                    </a:xfrm>
                    <a:prstGeom prst="rect">
                      <a:avLst/>
                    </a:prstGeom>
                  </pic:spPr>
                </pic:pic>
              </a:graphicData>
            </a:graphic>
          </wp:inline>
        </w:drawing>
      </w:r>
    </w:p>
    <w:p w14:paraId="5516B1D9" w14:textId="31C04BF6" w:rsidR="001000DE" w:rsidRDefault="00F21D5E" w:rsidP="00096420">
      <w:pPr>
        <w:spacing w:after="120"/>
        <w:jc w:val="both"/>
        <w:rPr>
          <w:sz w:val="20"/>
          <w:szCs w:val="20"/>
        </w:rPr>
      </w:pPr>
      <w:r>
        <w:rPr>
          <w:sz w:val="20"/>
          <w:szCs w:val="20"/>
        </w:rPr>
        <w:t>For the CC</w:t>
      </w:r>
      <w:r w:rsidR="00FE78C4">
        <w:rPr>
          <w:sz w:val="20"/>
          <w:szCs w:val="20"/>
        </w:rPr>
        <w:t>s</w:t>
      </w:r>
      <w:r>
        <w:rPr>
          <w:sz w:val="20"/>
          <w:szCs w:val="20"/>
        </w:rPr>
        <w:t xml:space="preserve"> to share the same RS, the CCs in the list should be configured with </w:t>
      </w:r>
      <w:r w:rsidRPr="00FE78C4">
        <w:rPr>
          <w:i/>
          <w:iCs/>
          <w:sz w:val="20"/>
          <w:szCs w:val="20"/>
        </w:rPr>
        <w:t>unifiedTCI-StateRef-r17</w:t>
      </w:r>
      <w:r w:rsidR="00FE78C4">
        <w:rPr>
          <w:i/>
          <w:iCs/>
          <w:sz w:val="20"/>
          <w:szCs w:val="20"/>
        </w:rPr>
        <w:t xml:space="preserve"> </w:t>
      </w:r>
      <w:r w:rsidR="00FE78C4">
        <w:rPr>
          <w:sz w:val="20"/>
          <w:szCs w:val="20"/>
        </w:rPr>
        <w:t>to the same serving cell and BWP.</w:t>
      </w:r>
    </w:p>
    <w:p w14:paraId="392EFD7A" w14:textId="02D5E1E9" w:rsidR="00FE78C4" w:rsidRDefault="00FE78C4" w:rsidP="00096420">
      <w:pPr>
        <w:spacing w:after="120"/>
        <w:jc w:val="both"/>
        <w:rPr>
          <w:sz w:val="20"/>
          <w:szCs w:val="20"/>
        </w:rPr>
      </w:pPr>
      <w:r w:rsidRPr="00FE78C4">
        <w:rPr>
          <w:noProof/>
          <w:sz w:val="20"/>
          <w:szCs w:val="20"/>
        </w:rPr>
        <w:drawing>
          <wp:inline distT="0" distB="0" distL="0" distR="0" wp14:anchorId="51874F2B" wp14:editId="65C64870">
            <wp:extent cx="5943600" cy="30353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03530"/>
                    </a:xfrm>
                    <a:prstGeom prst="rect">
                      <a:avLst/>
                    </a:prstGeom>
                  </pic:spPr>
                </pic:pic>
              </a:graphicData>
            </a:graphic>
          </wp:inline>
        </w:drawing>
      </w:r>
    </w:p>
    <w:p w14:paraId="25CBFB92" w14:textId="7DD855BA" w:rsidR="00FE78C4" w:rsidRDefault="00FE78C4" w:rsidP="00FE78C4">
      <w:pPr>
        <w:spacing w:after="120"/>
        <w:jc w:val="both"/>
        <w:rPr>
          <w:sz w:val="20"/>
          <w:szCs w:val="20"/>
        </w:rPr>
      </w:pPr>
      <w:r>
        <w:rPr>
          <w:sz w:val="20"/>
          <w:szCs w:val="20"/>
        </w:rPr>
        <w:t xml:space="preserve">Hence, for the requirements of single CC to be applicable to all CCs with shared RS, the CCs in the list should also be configured with </w:t>
      </w:r>
      <w:r w:rsidRPr="00FE78C4">
        <w:rPr>
          <w:i/>
          <w:iCs/>
          <w:sz w:val="20"/>
          <w:szCs w:val="20"/>
        </w:rPr>
        <w:t>unifiedTCI-StateRef-r17</w:t>
      </w:r>
      <w:r>
        <w:rPr>
          <w:i/>
          <w:iCs/>
          <w:sz w:val="20"/>
          <w:szCs w:val="20"/>
        </w:rPr>
        <w:t xml:space="preserve"> </w:t>
      </w:r>
      <w:r>
        <w:rPr>
          <w:sz w:val="20"/>
          <w:szCs w:val="20"/>
        </w:rPr>
        <w:t xml:space="preserve">to the same serving cell and BWP. We propose to update the condition </w:t>
      </w:r>
      <w:r w:rsidR="00A97DCE">
        <w:rPr>
          <w:sz w:val="20"/>
          <w:szCs w:val="20"/>
        </w:rPr>
        <w:t xml:space="preserve">for when requirements are applicable to CCs configured with common TCI – if all CCs in the list are configured with </w:t>
      </w:r>
      <w:r w:rsidR="00A97DCE" w:rsidRPr="00FE78C4">
        <w:rPr>
          <w:i/>
          <w:iCs/>
          <w:sz w:val="20"/>
          <w:szCs w:val="20"/>
        </w:rPr>
        <w:t>unifiedTCI-StateRef-r17</w:t>
      </w:r>
      <w:r w:rsidR="00A97DCE">
        <w:rPr>
          <w:i/>
          <w:iCs/>
          <w:sz w:val="20"/>
          <w:szCs w:val="20"/>
        </w:rPr>
        <w:t xml:space="preserve"> </w:t>
      </w:r>
      <w:r w:rsidR="00A97DCE">
        <w:rPr>
          <w:sz w:val="20"/>
          <w:szCs w:val="20"/>
        </w:rPr>
        <w:t>to the same serving cell and BWP</w:t>
      </w:r>
      <w:r w:rsidR="000319AB">
        <w:rPr>
          <w:sz w:val="20"/>
          <w:szCs w:val="20"/>
        </w:rPr>
        <w:t xml:space="preserve">. Our proposal is captured in our companion CR [2]. </w:t>
      </w:r>
    </w:p>
    <w:p w14:paraId="6248465D" w14:textId="1D7ECE4F" w:rsidR="00FE78C4" w:rsidRPr="00FE78C4" w:rsidRDefault="00FE78C4" w:rsidP="00096420">
      <w:pPr>
        <w:spacing w:after="120"/>
        <w:jc w:val="both"/>
        <w:rPr>
          <w:sz w:val="20"/>
          <w:szCs w:val="20"/>
        </w:rPr>
      </w:pPr>
    </w:p>
    <w:p w14:paraId="2C953EA5" w14:textId="77777777" w:rsidR="00A97DCE" w:rsidRPr="00A97DCE" w:rsidRDefault="009F5852" w:rsidP="00A97DCE">
      <w:pPr>
        <w:spacing w:after="120"/>
        <w:jc w:val="both"/>
        <w:rPr>
          <w:b/>
          <w:bCs/>
          <w:sz w:val="20"/>
          <w:szCs w:val="20"/>
        </w:rPr>
      </w:pPr>
      <w:r>
        <w:rPr>
          <w:b/>
          <w:bCs/>
          <w:sz w:val="20"/>
          <w:szCs w:val="20"/>
        </w:rPr>
        <w:t xml:space="preserve">Proposal #7: Update the condition when DL/ UL unified TCI state switch requirements apply to common TCI – when </w:t>
      </w:r>
      <w:r w:rsidR="00A97DCE" w:rsidRPr="00A97DCE">
        <w:rPr>
          <w:b/>
          <w:bCs/>
          <w:sz w:val="20"/>
          <w:szCs w:val="20"/>
        </w:rPr>
        <w:t xml:space="preserve">all CCs in the list are configured with </w:t>
      </w:r>
      <w:r w:rsidR="00A97DCE" w:rsidRPr="00A97DCE">
        <w:rPr>
          <w:b/>
          <w:bCs/>
          <w:i/>
          <w:iCs/>
          <w:sz w:val="20"/>
          <w:szCs w:val="20"/>
        </w:rPr>
        <w:t xml:space="preserve">unifiedTCI-StateRef-r17 </w:t>
      </w:r>
      <w:r w:rsidR="00A97DCE" w:rsidRPr="00A97DCE">
        <w:rPr>
          <w:b/>
          <w:bCs/>
          <w:sz w:val="20"/>
          <w:szCs w:val="20"/>
        </w:rPr>
        <w:t>to the same serving cell and BWP</w:t>
      </w:r>
    </w:p>
    <w:p w14:paraId="6D2C9734" w14:textId="74910DCA" w:rsidR="009F5852" w:rsidRDefault="009F5852" w:rsidP="00096420">
      <w:pPr>
        <w:spacing w:after="120"/>
        <w:jc w:val="both"/>
        <w:rPr>
          <w:b/>
          <w:bCs/>
          <w:sz w:val="20"/>
          <w:szCs w:val="20"/>
        </w:rPr>
      </w:pPr>
    </w:p>
    <w:p w14:paraId="337AE145" w14:textId="77777777" w:rsidR="009F5852" w:rsidRPr="009F5852" w:rsidRDefault="009F5852" w:rsidP="00096420">
      <w:pPr>
        <w:spacing w:after="120"/>
        <w:jc w:val="both"/>
        <w:rPr>
          <w:b/>
          <w:bCs/>
          <w:sz w:val="20"/>
          <w:szCs w:val="20"/>
        </w:rPr>
      </w:pPr>
    </w:p>
    <w:p w14:paraId="62120F39" w14:textId="77777777" w:rsidR="002249BA" w:rsidRPr="00D037BE" w:rsidRDefault="002249BA" w:rsidP="002249BA">
      <w:pPr>
        <w:pStyle w:val="Heading2"/>
        <w:rPr>
          <w:lang w:val="en-US"/>
        </w:rPr>
      </w:pPr>
      <w:r w:rsidRPr="00D037BE">
        <w:rPr>
          <w:lang w:val="en-US"/>
        </w:rPr>
        <w:t>Inter cell Beam management</w:t>
      </w:r>
    </w:p>
    <w:p w14:paraId="249E423E" w14:textId="77777777" w:rsidR="002249BA" w:rsidRPr="00D037BE" w:rsidRDefault="002249BA" w:rsidP="002249BA">
      <w:pPr>
        <w:spacing w:after="120"/>
        <w:rPr>
          <w:sz w:val="20"/>
          <w:szCs w:val="20"/>
        </w:rPr>
      </w:pPr>
      <w:r w:rsidRPr="00D037BE">
        <w:rPr>
          <w:sz w:val="20"/>
          <w:szCs w:val="20"/>
        </w:rPr>
        <w:t>The open issues related to requirements for inter-cell beam management are:</w:t>
      </w:r>
    </w:p>
    <w:p w14:paraId="634598D6" w14:textId="77777777" w:rsidR="002249BA" w:rsidRPr="00D037BE" w:rsidRDefault="002249BA" w:rsidP="002249BA">
      <w:pPr>
        <w:numPr>
          <w:ilvl w:val="1"/>
          <w:numId w:val="7"/>
        </w:numPr>
        <w:spacing w:after="120"/>
        <w:jc w:val="both"/>
        <w:rPr>
          <w:sz w:val="20"/>
          <w:szCs w:val="20"/>
        </w:rPr>
      </w:pPr>
      <w:r w:rsidRPr="00D037BE">
        <w:rPr>
          <w:sz w:val="20"/>
          <w:szCs w:val="20"/>
        </w:rPr>
        <w:t>SSB and PDCCH/PDSCH are overlapped on same RE</w:t>
      </w:r>
    </w:p>
    <w:p w14:paraId="000523CF" w14:textId="77777777" w:rsidR="002249BA" w:rsidRPr="00D037BE" w:rsidRDefault="002249BA" w:rsidP="002249BA">
      <w:pPr>
        <w:numPr>
          <w:ilvl w:val="1"/>
          <w:numId w:val="7"/>
        </w:numPr>
        <w:spacing w:after="120"/>
        <w:jc w:val="both"/>
        <w:rPr>
          <w:sz w:val="20"/>
          <w:szCs w:val="20"/>
        </w:rPr>
      </w:pPr>
      <w:r w:rsidRPr="00D037BE">
        <w:rPr>
          <w:sz w:val="20"/>
          <w:szCs w:val="20"/>
        </w:rPr>
        <w:t>Measurement Restriction</w:t>
      </w:r>
    </w:p>
    <w:p w14:paraId="136FF40C" w14:textId="7616BA03" w:rsidR="00283A6A" w:rsidRPr="000319AB" w:rsidRDefault="00283A6A" w:rsidP="005B410D">
      <w:pPr>
        <w:spacing w:after="120"/>
        <w:rPr>
          <w:b/>
          <w:bCs/>
          <w:sz w:val="22"/>
          <w:szCs w:val="22"/>
        </w:rPr>
      </w:pPr>
      <w:r w:rsidRPr="000319AB">
        <w:rPr>
          <w:b/>
          <w:bCs/>
          <w:sz w:val="22"/>
          <w:szCs w:val="22"/>
        </w:rPr>
        <w:t>SSB and PDCCH/PDSCH from different cells overlapped in same RE in FR1</w:t>
      </w:r>
    </w:p>
    <w:p w14:paraId="2FEF85C2" w14:textId="7058DDBC" w:rsidR="00283A6A" w:rsidRPr="00283A6A" w:rsidRDefault="00283A6A" w:rsidP="005B410D">
      <w:pPr>
        <w:spacing w:after="120"/>
        <w:rPr>
          <w:sz w:val="20"/>
          <w:szCs w:val="20"/>
        </w:rPr>
      </w:pPr>
      <w:r w:rsidRPr="00283A6A">
        <w:rPr>
          <w:sz w:val="20"/>
          <w:szCs w:val="20"/>
        </w:rPr>
        <w:t>In RAN4#105, the following options were discussed for SSB and PDCCH/PDSCH overlapped on the same RE:</w:t>
      </w:r>
    </w:p>
    <w:p w14:paraId="1C3F597B" w14:textId="4558719D" w:rsidR="00283A6A" w:rsidRDefault="00283A6A" w:rsidP="005B410D">
      <w:pPr>
        <w:spacing w:after="120"/>
        <w:rPr>
          <w:b/>
          <w:bCs/>
          <w:sz w:val="20"/>
          <w:szCs w:val="20"/>
        </w:rPr>
      </w:pPr>
    </w:p>
    <w:p w14:paraId="6C7FC527" w14:textId="77777777" w:rsidR="00283A6A" w:rsidRPr="00283A6A" w:rsidRDefault="00283A6A" w:rsidP="00283A6A">
      <w:pPr>
        <w:spacing w:after="120"/>
        <w:rPr>
          <w:sz w:val="16"/>
          <w:szCs w:val="18"/>
          <w:lang w:eastAsia="zh-CN"/>
        </w:rPr>
      </w:pPr>
      <w:r w:rsidRPr="00283A6A">
        <w:rPr>
          <w:rFonts w:eastAsiaTheme="minorEastAsia"/>
          <w:b/>
          <w:sz w:val="18"/>
          <w:szCs w:val="18"/>
          <w:u w:val="single"/>
          <w:lang w:eastAsia="zh-CN"/>
        </w:rPr>
        <w:t>Issue 2-4-1</w:t>
      </w:r>
      <w:r w:rsidRPr="00283A6A">
        <w:rPr>
          <w:b/>
          <w:bCs/>
          <w:sz w:val="18"/>
          <w:szCs w:val="18"/>
          <w:u w:val="single"/>
          <w:lang w:eastAsia="zh-CN"/>
        </w:rPr>
        <w:t>: Whether any clarification or update is needed in RAN4 spec when SSB and PDCCH/PDSCH are overlapped on the same RE</w:t>
      </w:r>
    </w:p>
    <w:p w14:paraId="7CBB6878" w14:textId="77777777" w:rsidR="00283A6A" w:rsidRPr="00283A6A" w:rsidRDefault="00283A6A" w:rsidP="00283A6A">
      <w:pPr>
        <w:numPr>
          <w:ilvl w:val="0"/>
          <w:numId w:val="5"/>
        </w:numPr>
        <w:spacing w:after="120" w:line="259" w:lineRule="auto"/>
        <w:ind w:left="740"/>
        <w:rPr>
          <w:rFonts w:eastAsia="DengXian"/>
          <w:sz w:val="18"/>
          <w:szCs w:val="18"/>
          <w:lang w:eastAsia="zh-CN"/>
        </w:rPr>
      </w:pPr>
      <w:r w:rsidRPr="00283A6A">
        <w:rPr>
          <w:rFonts w:eastAsia="DengXian"/>
          <w:sz w:val="18"/>
          <w:szCs w:val="18"/>
          <w:lang w:eastAsia="zh-CN"/>
        </w:rPr>
        <w:t>Proposals:</w:t>
      </w:r>
    </w:p>
    <w:p w14:paraId="3CA3B4D0" w14:textId="77777777" w:rsidR="00283A6A" w:rsidRPr="00283A6A" w:rsidRDefault="00283A6A" w:rsidP="00283A6A">
      <w:pPr>
        <w:numPr>
          <w:ilvl w:val="1"/>
          <w:numId w:val="5"/>
        </w:numPr>
        <w:spacing w:after="120"/>
        <w:ind w:left="1440"/>
        <w:rPr>
          <w:sz w:val="18"/>
          <w:szCs w:val="18"/>
        </w:rPr>
      </w:pPr>
      <w:r w:rsidRPr="00283A6A">
        <w:rPr>
          <w:rFonts w:eastAsiaTheme="minorEastAsia"/>
          <w:sz w:val="18"/>
          <w:szCs w:val="18"/>
          <w:lang w:eastAsia="zh-CN"/>
        </w:rPr>
        <w:t>Proposal 1(Apple):</w:t>
      </w:r>
    </w:p>
    <w:p w14:paraId="6F5C54B8" w14:textId="77777777" w:rsidR="00283A6A" w:rsidRPr="00283A6A" w:rsidRDefault="00283A6A" w:rsidP="00283A6A">
      <w:pPr>
        <w:numPr>
          <w:ilvl w:val="2"/>
          <w:numId w:val="5"/>
        </w:numPr>
        <w:spacing w:after="120" w:line="259" w:lineRule="auto"/>
        <w:rPr>
          <w:sz w:val="18"/>
          <w:szCs w:val="18"/>
          <w:lang w:eastAsia="en-GB"/>
        </w:rPr>
      </w:pPr>
      <w:r w:rsidRPr="00283A6A">
        <w:rPr>
          <w:sz w:val="18"/>
          <w:szCs w:val="18"/>
          <w:lang w:eastAsia="en-GB"/>
        </w:rPr>
        <w:t>No further clarification or update is needed in RAN4 when SSB and PDCCH/PDSCH overlap on the same RE.</w:t>
      </w:r>
    </w:p>
    <w:p w14:paraId="442B09C9" w14:textId="77777777" w:rsidR="00283A6A" w:rsidRPr="00283A6A" w:rsidRDefault="00283A6A" w:rsidP="00283A6A">
      <w:pPr>
        <w:numPr>
          <w:ilvl w:val="1"/>
          <w:numId w:val="5"/>
        </w:numPr>
        <w:spacing w:after="120"/>
        <w:ind w:left="1440"/>
        <w:rPr>
          <w:sz w:val="18"/>
          <w:szCs w:val="18"/>
        </w:rPr>
      </w:pPr>
      <w:r w:rsidRPr="00283A6A">
        <w:rPr>
          <w:sz w:val="18"/>
          <w:szCs w:val="18"/>
        </w:rPr>
        <w:t>Proposal 2(vivo):</w:t>
      </w:r>
    </w:p>
    <w:p w14:paraId="68FE0CB6" w14:textId="48AD70D0" w:rsidR="000319AB" w:rsidRPr="000319AB" w:rsidRDefault="00283A6A" w:rsidP="005B410D">
      <w:pPr>
        <w:numPr>
          <w:ilvl w:val="2"/>
          <w:numId w:val="5"/>
        </w:numPr>
        <w:spacing w:after="120" w:line="259" w:lineRule="auto"/>
        <w:rPr>
          <w:sz w:val="18"/>
          <w:szCs w:val="18"/>
          <w:lang w:eastAsia="en-GB"/>
        </w:rPr>
      </w:pPr>
      <w:r w:rsidRPr="00283A6A">
        <w:rPr>
          <w:sz w:val="18"/>
          <w:szCs w:val="18"/>
          <w:lang w:eastAsia="en-GB"/>
        </w:rPr>
        <w:t xml:space="preserve">Introduce scheduling restriction for the cases when UE simultaneously receive SSB and PDSCH/PDCCH, while SSB is associated to a PCI different from the PCI to which the active TCI of PDSCH/PDCCH is associated. RRM requirements do not apply for these cases. </w:t>
      </w:r>
    </w:p>
    <w:p w14:paraId="114B5040" w14:textId="6BE07592" w:rsidR="003E3FE8" w:rsidRDefault="00283A6A" w:rsidP="005B410D">
      <w:pPr>
        <w:spacing w:after="120"/>
        <w:rPr>
          <w:sz w:val="20"/>
          <w:szCs w:val="20"/>
        </w:rPr>
      </w:pPr>
      <w:r w:rsidRPr="00283A6A">
        <w:rPr>
          <w:sz w:val="20"/>
          <w:szCs w:val="20"/>
        </w:rPr>
        <w:t xml:space="preserve">Currently, we have scheduling restriction in FR1 if UE doesn’t support </w:t>
      </w:r>
      <w:proofErr w:type="spellStart"/>
      <w:r w:rsidRPr="00283A6A">
        <w:rPr>
          <w:i/>
          <w:sz w:val="20"/>
          <w:szCs w:val="20"/>
        </w:rPr>
        <w:t>simultaneousRxDataSSB-DiffNumerology</w:t>
      </w:r>
      <w:proofErr w:type="spellEnd"/>
      <w:r w:rsidRPr="00283A6A">
        <w:rPr>
          <w:sz w:val="20"/>
          <w:szCs w:val="20"/>
        </w:rPr>
        <w:t xml:space="preserve"> and in FR2. This </w:t>
      </w:r>
      <w:r w:rsidR="000319AB">
        <w:rPr>
          <w:sz w:val="20"/>
          <w:szCs w:val="20"/>
        </w:rPr>
        <w:t xml:space="preserve">discussion </w:t>
      </w:r>
      <w:r w:rsidRPr="00283A6A">
        <w:rPr>
          <w:sz w:val="20"/>
          <w:szCs w:val="20"/>
        </w:rPr>
        <w:t xml:space="preserve">is for FR1 when UE supports </w:t>
      </w:r>
      <w:proofErr w:type="spellStart"/>
      <w:r w:rsidRPr="00283A6A">
        <w:rPr>
          <w:i/>
          <w:sz w:val="20"/>
          <w:szCs w:val="20"/>
        </w:rPr>
        <w:t>simultaneousRxDataSSB-DiffNumerology</w:t>
      </w:r>
      <w:proofErr w:type="spellEnd"/>
      <w:r>
        <w:rPr>
          <w:sz w:val="20"/>
          <w:szCs w:val="20"/>
        </w:rPr>
        <w:t xml:space="preserve"> or the SSB and PDSCH/PDCCH SCS are the same.</w:t>
      </w:r>
      <w:r w:rsidRPr="00283A6A">
        <w:rPr>
          <w:sz w:val="20"/>
          <w:szCs w:val="20"/>
        </w:rPr>
        <w:t xml:space="preserve"> </w:t>
      </w:r>
      <w:r>
        <w:rPr>
          <w:sz w:val="20"/>
          <w:szCs w:val="20"/>
        </w:rPr>
        <w:t xml:space="preserve">If the UE </w:t>
      </w:r>
      <w:r w:rsidR="003E3FE8">
        <w:rPr>
          <w:sz w:val="20"/>
          <w:szCs w:val="20"/>
        </w:rPr>
        <w:t>can receive</w:t>
      </w:r>
      <w:r>
        <w:rPr>
          <w:sz w:val="20"/>
          <w:szCs w:val="20"/>
        </w:rPr>
        <w:t xml:space="preserve"> SSB and PDSCH with different SCS, or SCS is the same, we are not</w:t>
      </w:r>
      <w:r w:rsidR="003E3FE8">
        <w:rPr>
          <w:sz w:val="20"/>
          <w:szCs w:val="20"/>
        </w:rPr>
        <w:t xml:space="preserve"> sure why scheduling restriction is needed. It is common understanding that there would be degradation in performance in such a case with overlapping REs, but RRM requirements are only applicable for a minimum SINR condition. Moreover, this is also the case with L3 intra-frequency measurements without gap. We don’t have any scheduling restriction in that case. Hence, we don’t think any further update is needed in RAN4 spec to address the overlap of SSB and PDSCH/PDCCH from different PCI.</w:t>
      </w:r>
    </w:p>
    <w:p w14:paraId="598EF94B" w14:textId="35B1CADC" w:rsidR="003E3FE8" w:rsidRDefault="003E3FE8" w:rsidP="005B410D">
      <w:pPr>
        <w:spacing w:after="120"/>
        <w:rPr>
          <w:i/>
          <w:iCs/>
          <w:sz w:val="20"/>
          <w:szCs w:val="20"/>
        </w:rPr>
      </w:pPr>
      <w:r>
        <w:rPr>
          <w:b/>
          <w:bCs/>
          <w:i/>
          <w:iCs/>
          <w:sz w:val="20"/>
          <w:szCs w:val="20"/>
        </w:rPr>
        <w:t xml:space="preserve">Observation #6: </w:t>
      </w:r>
      <w:r>
        <w:rPr>
          <w:i/>
          <w:iCs/>
          <w:sz w:val="20"/>
          <w:szCs w:val="20"/>
        </w:rPr>
        <w:t xml:space="preserve">The RRM requirements are applicable for minimum SINR side condition. </w:t>
      </w:r>
    </w:p>
    <w:p w14:paraId="00C03364" w14:textId="597B18E2" w:rsidR="003E3FE8" w:rsidRPr="003E3FE8" w:rsidRDefault="003E3FE8" w:rsidP="005B410D">
      <w:pPr>
        <w:spacing w:after="120"/>
        <w:rPr>
          <w:i/>
          <w:iCs/>
          <w:sz w:val="20"/>
          <w:szCs w:val="20"/>
        </w:rPr>
      </w:pPr>
      <w:r w:rsidRPr="003E3FE8">
        <w:rPr>
          <w:b/>
          <w:bCs/>
          <w:i/>
          <w:iCs/>
          <w:sz w:val="20"/>
          <w:szCs w:val="20"/>
        </w:rPr>
        <w:t>Observation #7:</w:t>
      </w:r>
      <w:r>
        <w:rPr>
          <w:i/>
          <w:iCs/>
          <w:sz w:val="20"/>
          <w:szCs w:val="20"/>
        </w:rPr>
        <w:t xml:space="preserve"> We don’t have any scheduling restriction in case of L3 measurements without gap</w:t>
      </w:r>
      <w:r w:rsidR="003B67BB">
        <w:rPr>
          <w:i/>
          <w:iCs/>
          <w:sz w:val="20"/>
          <w:szCs w:val="20"/>
        </w:rPr>
        <w:t xml:space="preserve"> for FR1 </w:t>
      </w:r>
      <w:proofErr w:type="spellStart"/>
      <w:r w:rsidR="003B67BB">
        <w:rPr>
          <w:i/>
          <w:iCs/>
          <w:sz w:val="20"/>
          <w:szCs w:val="20"/>
        </w:rPr>
        <w:t>whenUE</w:t>
      </w:r>
      <w:proofErr w:type="spellEnd"/>
      <w:r w:rsidR="003B67BB">
        <w:rPr>
          <w:i/>
          <w:iCs/>
          <w:sz w:val="20"/>
          <w:szCs w:val="20"/>
        </w:rPr>
        <w:t xml:space="preserve"> can receive PDCCH/PDSCH and SSB </w:t>
      </w:r>
      <w:r w:rsidR="003353FD">
        <w:rPr>
          <w:i/>
          <w:iCs/>
          <w:sz w:val="20"/>
          <w:szCs w:val="20"/>
        </w:rPr>
        <w:t>simultaneously</w:t>
      </w:r>
      <w:r>
        <w:rPr>
          <w:i/>
          <w:iCs/>
          <w:sz w:val="20"/>
          <w:szCs w:val="20"/>
        </w:rPr>
        <w:t xml:space="preserve">. </w:t>
      </w:r>
    </w:p>
    <w:p w14:paraId="4536CAE2" w14:textId="044A5158" w:rsidR="002249BA" w:rsidRPr="00EF2642" w:rsidRDefault="00EF2642" w:rsidP="005B410D">
      <w:pPr>
        <w:spacing w:after="120"/>
        <w:rPr>
          <w:b/>
          <w:bCs/>
          <w:sz w:val="20"/>
          <w:szCs w:val="20"/>
        </w:rPr>
      </w:pPr>
      <w:r w:rsidRPr="00EF2642">
        <w:rPr>
          <w:b/>
          <w:bCs/>
          <w:sz w:val="20"/>
          <w:szCs w:val="20"/>
        </w:rPr>
        <w:lastRenderedPageBreak/>
        <w:t xml:space="preserve">Proposal #8: </w:t>
      </w:r>
      <w:r w:rsidR="003E3FE8" w:rsidRPr="003E3FE8">
        <w:rPr>
          <w:b/>
          <w:bCs/>
          <w:sz w:val="20"/>
          <w:szCs w:val="20"/>
        </w:rPr>
        <w:t xml:space="preserve">No further clarification or update is needed in RAN4 when SSB and PDCCH/PDSCH </w:t>
      </w:r>
      <w:r w:rsidR="003E3FE8">
        <w:rPr>
          <w:b/>
          <w:bCs/>
          <w:sz w:val="20"/>
          <w:szCs w:val="20"/>
        </w:rPr>
        <w:t xml:space="preserve">from different PCI </w:t>
      </w:r>
      <w:r w:rsidR="003E3FE8" w:rsidRPr="003E3FE8">
        <w:rPr>
          <w:b/>
          <w:bCs/>
          <w:sz w:val="20"/>
          <w:szCs w:val="20"/>
        </w:rPr>
        <w:t>overlap on the same RE.</w:t>
      </w:r>
    </w:p>
    <w:p w14:paraId="45C3EB45" w14:textId="34D09913" w:rsidR="00BA058C" w:rsidRDefault="00BA058C" w:rsidP="005B410D">
      <w:pPr>
        <w:spacing w:after="120"/>
        <w:rPr>
          <w:b/>
          <w:bCs/>
          <w:sz w:val="20"/>
          <w:szCs w:val="20"/>
        </w:rPr>
      </w:pPr>
    </w:p>
    <w:p w14:paraId="418D3D2D" w14:textId="7B091343" w:rsidR="00FF46EA" w:rsidRPr="000319AB" w:rsidRDefault="00FF46EA" w:rsidP="005B410D">
      <w:pPr>
        <w:spacing w:after="120"/>
        <w:rPr>
          <w:b/>
          <w:bCs/>
          <w:sz w:val="22"/>
          <w:szCs w:val="22"/>
        </w:rPr>
      </w:pPr>
      <w:r w:rsidRPr="000319AB">
        <w:rPr>
          <w:b/>
          <w:bCs/>
          <w:sz w:val="22"/>
          <w:szCs w:val="22"/>
        </w:rPr>
        <w:t>Measurement restriction in FR2</w:t>
      </w:r>
    </w:p>
    <w:p w14:paraId="257B9888" w14:textId="4585A796" w:rsidR="00BA058C" w:rsidRDefault="00907EE6" w:rsidP="005B410D">
      <w:pPr>
        <w:spacing w:after="120"/>
        <w:rPr>
          <w:sz w:val="20"/>
          <w:szCs w:val="20"/>
        </w:rPr>
      </w:pPr>
      <w:r>
        <w:rPr>
          <w:sz w:val="20"/>
          <w:szCs w:val="20"/>
        </w:rPr>
        <w:t xml:space="preserve"> In Rel-17 SSB of cell with different PCI can be configured for L1-RSRP, BFD/CBD measurements and could overlap with </w:t>
      </w:r>
      <w:r w:rsidR="002A0EBD">
        <w:rPr>
          <w:sz w:val="20"/>
          <w:szCs w:val="20"/>
        </w:rPr>
        <w:t xml:space="preserve">SSB from serving cell configured for L1 measurements. </w:t>
      </w:r>
    </w:p>
    <w:p w14:paraId="337B118A" w14:textId="692B6F07" w:rsidR="002A0EBD" w:rsidRDefault="002A0EBD" w:rsidP="005B410D">
      <w:pPr>
        <w:spacing w:after="120"/>
        <w:rPr>
          <w:sz w:val="20"/>
          <w:szCs w:val="20"/>
        </w:rPr>
      </w:pPr>
      <w:r>
        <w:rPr>
          <w:sz w:val="20"/>
          <w:szCs w:val="20"/>
        </w:rPr>
        <w:t>In RAN4#105, the following options were discussed and captured in [1]:</w:t>
      </w:r>
    </w:p>
    <w:p w14:paraId="35AEFE1C" w14:textId="77777777" w:rsidR="002A0EBD" w:rsidRPr="002A0EBD" w:rsidRDefault="002A0EBD" w:rsidP="002A0EBD">
      <w:pPr>
        <w:spacing w:after="120"/>
        <w:rPr>
          <w:rFonts w:eastAsiaTheme="minorEastAsia"/>
          <w:sz w:val="18"/>
          <w:szCs w:val="18"/>
          <w:lang w:eastAsia="zh-CN"/>
        </w:rPr>
      </w:pPr>
      <w:r w:rsidRPr="002A0EBD">
        <w:rPr>
          <w:b/>
          <w:bCs/>
          <w:sz w:val="18"/>
          <w:szCs w:val="18"/>
          <w:u w:val="single"/>
          <w:lang w:eastAsia="zh-CN"/>
        </w:rPr>
        <w:t>Issue 2-5-1a Measurement restriction when SSB for BFD/CBD/RLM is not Subset of L1-RSRP</w:t>
      </w:r>
    </w:p>
    <w:p w14:paraId="15575084" w14:textId="77777777" w:rsidR="002A0EBD" w:rsidRPr="002A0EBD" w:rsidRDefault="002A0EBD" w:rsidP="002A0EBD">
      <w:pPr>
        <w:numPr>
          <w:ilvl w:val="0"/>
          <w:numId w:val="5"/>
        </w:numPr>
        <w:spacing w:after="120" w:line="252" w:lineRule="auto"/>
        <w:ind w:left="860"/>
        <w:rPr>
          <w:rFonts w:ascii="Calibri" w:hAnsi="Calibri" w:cs="Calibri"/>
          <w:sz w:val="18"/>
          <w:szCs w:val="18"/>
          <w:lang w:eastAsia="zh-CN"/>
        </w:rPr>
      </w:pPr>
      <w:r w:rsidRPr="002A0EBD">
        <w:rPr>
          <w:sz w:val="18"/>
          <w:szCs w:val="18"/>
          <w:lang w:eastAsia="zh-CN"/>
        </w:rPr>
        <w:t>Proposals</w:t>
      </w:r>
    </w:p>
    <w:p w14:paraId="51B89159" w14:textId="77777777" w:rsidR="002A0EBD" w:rsidRPr="002A0EBD" w:rsidRDefault="002A0EBD" w:rsidP="002A0EBD">
      <w:pPr>
        <w:numPr>
          <w:ilvl w:val="2"/>
          <w:numId w:val="5"/>
        </w:numPr>
        <w:spacing w:after="120" w:line="252" w:lineRule="auto"/>
        <w:rPr>
          <w:sz w:val="16"/>
          <w:szCs w:val="16"/>
        </w:rPr>
      </w:pPr>
      <w:r w:rsidRPr="002A0EBD">
        <w:rPr>
          <w:sz w:val="18"/>
          <w:szCs w:val="18"/>
        </w:rPr>
        <w:t>Option 1: Define measurement restriction.</w:t>
      </w:r>
    </w:p>
    <w:p w14:paraId="30ACE26B" w14:textId="77777777" w:rsidR="002A0EBD" w:rsidRPr="002A0EBD" w:rsidRDefault="002A0EBD" w:rsidP="002A0EBD">
      <w:pPr>
        <w:numPr>
          <w:ilvl w:val="2"/>
          <w:numId w:val="5"/>
        </w:numPr>
        <w:spacing w:after="120" w:line="252" w:lineRule="auto"/>
        <w:rPr>
          <w:sz w:val="16"/>
          <w:szCs w:val="16"/>
        </w:rPr>
      </w:pPr>
      <w:r w:rsidRPr="002A0EBD">
        <w:rPr>
          <w:sz w:val="18"/>
          <w:szCs w:val="18"/>
        </w:rPr>
        <w:t>Option 2: others</w:t>
      </w:r>
    </w:p>
    <w:p w14:paraId="7376E99A" w14:textId="77777777" w:rsidR="002A0EBD" w:rsidRPr="002A0EBD" w:rsidRDefault="002A0EBD" w:rsidP="002A0EBD">
      <w:pPr>
        <w:spacing w:after="120" w:line="252" w:lineRule="auto"/>
        <w:rPr>
          <w:rFonts w:ascii="Calibri" w:eastAsiaTheme="minorEastAsia" w:hAnsi="Calibri" w:cs="Calibri"/>
          <w:sz w:val="16"/>
          <w:szCs w:val="16"/>
          <w:lang w:eastAsia="zh-CN"/>
        </w:rPr>
      </w:pPr>
    </w:p>
    <w:p w14:paraId="33ECA4C5" w14:textId="77777777" w:rsidR="002A0EBD" w:rsidRPr="002A0EBD" w:rsidRDefault="002A0EBD" w:rsidP="002A0EBD">
      <w:pPr>
        <w:spacing w:after="120"/>
        <w:rPr>
          <w:sz w:val="18"/>
          <w:szCs w:val="18"/>
          <w:lang w:eastAsia="zh-CN"/>
        </w:rPr>
      </w:pPr>
      <w:r w:rsidRPr="002A0EBD">
        <w:rPr>
          <w:b/>
          <w:bCs/>
          <w:sz w:val="18"/>
          <w:szCs w:val="18"/>
          <w:u w:val="single"/>
          <w:lang w:eastAsia="zh-CN"/>
        </w:rPr>
        <w:t>Issue 2-5-1b Measurement restriction when SSB for BFD/CBD/RLM is Subset of L1-RSRP</w:t>
      </w:r>
    </w:p>
    <w:p w14:paraId="1879DBBB" w14:textId="77777777" w:rsidR="002A0EBD" w:rsidRPr="002A0EBD" w:rsidRDefault="002A0EBD" w:rsidP="002A0EBD">
      <w:pPr>
        <w:numPr>
          <w:ilvl w:val="0"/>
          <w:numId w:val="5"/>
        </w:numPr>
        <w:spacing w:after="120" w:line="252" w:lineRule="auto"/>
        <w:ind w:left="740"/>
        <w:rPr>
          <w:rFonts w:ascii="Calibri" w:hAnsi="Calibri" w:cs="Calibri"/>
          <w:sz w:val="18"/>
          <w:szCs w:val="18"/>
          <w:lang w:eastAsia="zh-CN"/>
        </w:rPr>
      </w:pPr>
      <w:r w:rsidRPr="002A0EBD">
        <w:rPr>
          <w:sz w:val="18"/>
          <w:szCs w:val="18"/>
          <w:lang w:eastAsia="zh-CN"/>
        </w:rPr>
        <w:t>Proposals</w:t>
      </w:r>
    </w:p>
    <w:p w14:paraId="15EF5753" w14:textId="77777777" w:rsidR="002A0EBD" w:rsidRPr="002A0EBD" w:rsidRDefault="002A0EBD" w:rsidP="002A0EBD">
      <w:pPr>
        <w:numPr>
          <w:ilvl w:val="2"/>
          <w:numId w:val="5"/>
        </w:numPr>
        <w:spacing w:after="120" w:line="252" w:lineRule="auto"/>
        <w:rPr>
          <w:sz w:val="16"/>
          <w:szCs w:val="16"/>
        </w:rPr>
      </w:pPr>
      <w:r w:rsidRPr="002A0EBD">
        <w:rPr>
          <w:sz w:val="18"/>
          <w:szCs w:val="18"/>
        </w:rPr>
        <w:t>Option 1: Define measurement restriction.</w:t>
      </w:r>
    </w:p>
    <w:p w14:paraId="19F5BC15" w14:textId="77777777" w:rsidR="002A0EBD" w:rsidRPr="002A0EBD" w:rsidRDefault="002A0EBD" w:rsidP="002A0EBD">
      <w:pPr>
        <w:numPr>
          <w:ilvl w:val="2"/>
          <w:numId w:val="5"/>
        </w:numPr>
        <w:spacing w:after="120" w:line="252" w:lineRule="auto"/>
        <w:rPr>
          <w:sz w:val="18"/>
          <w:szCs w:val="18"/>
        </w:rPr>
      </w:pPr>
      <w:r w:rsidRPr="002A0EBD">
        <w:rPr>
          <w:sz w:val="18"/>
          <w:szCs w:val="18"/>
        </w:rPr>
        <w:t>Option 2: Define sharing scheme.</w:t>
      </w:r>
    </w:p>
    <w:p w14:paraId="7812D514" w14:textId="2DEA5DC3" w:rsidR="002A0EBD" w:rsidRDefault="002A0EBD" w:rsidP="005B410D">
      <w:pPr>
        <w:spacing w:after="120"/>
        <w:rPr>
          <w:sz w:val="20"/>
          <w:szCs w:val="20"/>
        </w:rPr>
      </w:pPr>
    </w:p>
    <w:p w14:paraId="131BDEAE" w14:textId="17E39FEA" w:rsidR="002A0EBD" w:rsidRDefault="002A0EBD" w:rsidP="005B410D">
      <w:pPr>
        <w:spacing w:after="120"/>
        <w:rPr>
          <w:sz w:val="20"/>
          <w:szCs w:val="20"/>
        </w:rPr>
      </w:pPr>
      <w:r>
        <w:rPr>
          <w:sz w:val="20"/>
          <w:szCs w:val="20"/>
        </w:rPr>
        <w:t xml:space="preserve">The following table captures the possible scenarios for SSB configured for different measurements from serving cell and cell with different PCI and how overlap is handled. </w:t>
      </w:r>
    </w:p>
    <w:p w14:paraId="6FB60A1D" w14:textId="77777777" w:rsidR="002A0EBD" w:rsidRPr="00907EE6" w:rsidRDefault="002A0EBD" w:rsidP="005B410D">
      <w:pPr>
        <w:spacing w:after="120"/>
        <w:rPr>
          <w:sz w:val="20"/>
          <w:szCs w:val="20"/>
        </w:rPr>
      </w:pPr>
    </w:p>
    <w:tbl>
      <w:tblPr>
        <w:tblStyle w:val="TableGrid1"/>
        <w:tblW w:w="0" w:type="auto"/>
        <w:jc w:val="center"/>
        <w:tblLook w:val="04A0" w:firstRow="1" w:lastRow="0" w:firstColumn="1" w:lastColumn="0" w:noHBand="0" w:noVBand="1"/>
      </w:tblPr>
      <w:tblGrid>
        <w:gridCol w:w="986"/>
        <w:gridCol w:w="1561"/>
        <w:gridCol w:w="1684"/>
        <w:gridCol w:w="2568"/>
      </w:tblGrid>
      <w:tr w:rsidR="00BA058C" w:rsidRPr="00FD6AF8" w14:paraId="7B6CA60F"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5EAFFAF7" w14:textId="77777777" w:rsidR="00BA058C" w:rsidRPr="00311E5D" w:rsidRDefault="00BA058C">
            <w:pPr>
              <w:spacing w:after="120"/>
              <w:jc w:val="center"/>
              <w:rPr>
                <w:rFonts w:eastAsiaTheme="minorEastAsia"/>
                <w:sz w:val="22"/>
                <w:szCs w:val="22"/>
              </w:rPr>
            </w:pPr>
            <w:r>
              <w:rPr>
                <w:rFonts w:eastAsiaTheme="minorEastAsia"/>
                <w:sz w:val="22"/>
                <w:szCs w:val="22"/>
              </w:rPr>
              <w:t>Case</w:t>
            </w:r>
          </w:p>
        </w:tc>
        <w:tc>
          <w:tcPr>
            <w:tcW w:w="1561" w:type="dxa"/>
            <w:tcBorders>
              <w:top w:val="single" w:sz="4" w:space="0" w:color="auto"/>
              <w:left w:val="single" w:sz="4" w:space="0" w:color="auto"/>
              <w:bottom w:val="single" w:sz="4" w:space="0" w:color="auto"/>
              <w:right w:val="single" w:sz="4" w:space="0" w:color="auto"/>
            </w:tcBorders>
          </w:tcPr>
          <w:p w14:paraId="203BC00E" w14:textId="77777777" w:rsidR="00BA058C" w:rsidRPr="00FD6AF8" w:rsidRDefault="00BA058C">
            <w:pPr>
              <w:spacing w:after="120"/>
              <w:jc w:val="center"/>
              <w:rPr>
                <w:sz w:val="22"/>
                <w:szCs w:val="22"/>
                <w:lang w:eastAsia="en-GB"/>
              </w:rPr>
            </w:pPr>
            <w:r>
              <w:rPr>
                <w:rFonts w:eastAsiaTheme="minorEastAsia" w:hint="eastAsia"/>
                <w:sz w:val="22"/>
              </w:rPr>
              <w:t>S</w:t>
            </w:r>
            <w:r>
              <w:rPr>
                <w:rFonts w:eastAsiaTheme="minorEastAsia"/>
                <w:sz w:val="22"/>
              </w:rPr>
              <w:t>C SSB</w:t>
            </w:r>
          </w:p>
        </w:tc>
        <w:tc>
          <w:tcPr>
            <w:tcW w:w="1684" w:type="dxa"/>
            <w:tcBorders>
              <w:top w:val="single" w:sz="4" w:space="0" w:color="auto"/>
              <w:left w:val="single" w:sz="4" w:space="0" w:color="auto"/>
              <w:bottom w:val="single" w:sz="4" w:space="0" w:color="auto"/>
              <w:right w:val="single" w:sz="4" w:space="0" w:color="auto"/>
            </w:tcBorders>
          </w:tcPr>
          <w:p w14:paraId="2F43A943" w14:textId="77777777" w:rsidR="00BA058C" w:rsidRPr="00FD6AF8" w:rsidRDefault="00BA058C">
            <w:pPr>
              <w:spacing w:after="120"/>
              <w:jc w:val="center"/>
              <w:rPr>
                <w:sz w:val="22"/>
                <w:szCs w:val="22"/>
                <w:lang w:eastAsia="en-GB"/>
              </w:rPr>
            </w:pPr>
            <w:r>
              <w:rPr>
                <w:rFonts w:eastAsiaTheme="minorEastAsia"/>
                <w:sz w:val="22"/>
              </w:rPr>
              <w:t>CDP SSB</w:t>
            </w:r>
          </w:p>
        </w:tc>
        <w:tc>
          <w:tcPr>
            <w:tcW w:w="2568" w:type="dxa"/>
            <w:tcBorders>
              <w:top w:val="single" w:sz="4" w:space="0" w:color="auto"/>
              <w:left w:val="single" w:sz="4" w:space="0" w:color="auto"/>
              <w:bottom w:val="single" w:sz="4" w:space="0" w:color="auto"/>
              <w:right w:val="single" w:sz="4" w:space="0" w:color="auto"/>
            </w:tcBorders>
          </w:tcPr>
          <w:p w14:paraId="51C13074" w14:textId="60E76E38" w:rsidR="00BA058C" w:rsidRPr="001A06E9" w:rsidRDefault="00313712">
            <w:pPr>
              <w:spacing w:after="120"/>
              <w:jc w:val="center"/>
              <w:rPr>
                <w:rFonts w:eastAsiaTheme="minorEastAsia"/>
                <w:sz w:val="22"/>
                <w:szCs w:val="22"/>
              </w:rPr>
            </w:pPr>
            <w:r>
              <w:rPr>
                <w:rFonts w:eastAsiaTheme="minorEastAsia"/>
                <w:sz w:val="22"/>
                <w:szCs w:val="22"/>
              </w:rPr>
              <w:t>Handling</w:t>
            </w:r>
            <w:r w:rsidR="00BA058C">
              <w:rPr>
                <w:rFonts w:eastAsiaTheme="minorEastAsia"/>
                <w:sz w:val="22"/>
                <w:szCs w:val="22"/>
              </w:rPr>
              <w:t xml:space="preserve"> for overlapping</w:t>
            </w:r>
            <w:r>
              <w:rPr>
                <w:rFonts w:eastAsiaTheme="minorEastAsia"/>
                <w:sz w:val="22"/>
                <w:szCs w:val="22"/>
              </w:rPr>
              <w:t xml:space="preserve"> SSB</w:t>
            </w:r>
          </w:p>
        </w:tc>
      </w:tr>
      <w:tr w:rsidR="00BA058C" w:rsidRPr="00FD6AF8" w14:paraId="3A9B2AF8"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122B7813" w14:textId="77777777" w:rsidR="00BA058C" w:rsidRPr="00FD6AF8" w:rsidRDefault="00BA058C">
            <w:pPr>
              <w:spacing w:after="120"/>
              <w:rPr>
                <w:sz w:val="22"/>
                <w:szCs w:val="22"/>
                <w:lang w:eastAsia="en-GB"/>
              </w:rPr>
            </w:pPr>
            <w:r>
              <w:rPr>
                <w:sz w:val="22"/>
                <w:szCs w:val="22"/>
                <w:lang w:eastAsia="en-GB"/>
              </w:rPr>
              <w:t>#</w:t>
            </w:r>
            <w:r w:rsidRPr="00FD6AF8">
              <w:rPr>
                <w:sz w:val="22"/>
                <w:szCs w:val="22"/>
                <w:lang w:eastAsia="en-GB"/>
              </w:rPr>
              <w:t>1</w:t>
            </w:r>
          </w:p>
        </w:tc>
        <w:tc>
          <w:tcPr>
            <w:tcW w:w="1561" w:type="dxa"/>
            <w:tcBorders>
              <w:top w:val="single" w:sz="4" w:space="0" w:color="auto"/>
              <w:left w:val="single" w:sz="4" w:space="0" w:color="auto"/>
              <w:bottom w:val="single" w:sz="4" w:space="0" w:color="auto"/>
              <w:right w:val="single" w:sz="4" w:space="0" w:color="auto"/>
            </w:tcBorders>
            <w:vAlign w:val="center"/>
          </w:tcPr>
          <w:p w14:paraId="28AA36AA" w14:textId="77777777" w:rsidR="00BA058C" w:rsidRPr="00242A02" w:rsidRDefault="00BA058C">
            <w:pPr>
              <w:spacing w:after="120"/>
              <w:rPr>
                <w:rFonts w:eastAsiaTheme="minorEastAsia"/>
                <w:sz w:val="22"/>
                <w:szCs w:val="22"/>
              </w:rPr>
            </w:pPr>
            <w:r>
              <w:rPr>
                <w:rFonts w:eastAsiaTheme="minorEastAsia"/>
                <w:sz w:val="22"/>
                <w:szCs w:val="22"/>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24FFCF5B" w14:textId="77777777" w:rsidR="00BA058C" w:rsidRPr="00FD6AF8" w:rsidRDefault="00BA058C">
            <w:pPr>
              <w:spacing w:after="120"/>
              <w:rPr>
                <w:sz w:val="22"/>
                <w:szCs w:val="22"/>
                <w:lang w:eastAsia="en-GB"/>
              </w:rPr>
            </w:pPr>
            <w:r>
              <w:rPr>
                <w:rFonts w:eastAsiaTheme="minorEastAsia"/>
                <w:sz w:val="22"/>
                <w:szCs w:val="22"/>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04C2A75C" w14:textId="605AB40B" w:rsidR="00BA058C" w:rsidRPr="00242A02" w:rsidRDefault="00BA058C">
            <w:pPr>
              <w:spacing w:after="120"/>
              <w:rPr>
                <w:rFonts w:eastAsiaTheme="minorEastAsia"/>
                <w:sz w:val="22"/>
                <w:szCs w:val="22"/>
              </w:rPr>
            </w:pPr>
            <w:r>
              <w:rPr>
                <w:rFonts w:eastAsiaTheme="minorEastAsia"/>
                <w:sz w:val="22"/>
                <w:szCs w:val="22"/>
              </w:rPr>
              <w:t>Sharing</w:t>
            </w:r>
            <w:r w:rsidR="002A0EBD">
              <w:rPr>
                <w:rFonts w:eastAsiaTheme="minorEastAsia"/>
                <w:sz w:val="22"/>
                <w:szCs w:val="22"/>
              </w:rPr>
              <w:t xml:space="preserve"> factor</w:t>
            </w:r>
          </w:p>
        </w:tc>
      </w:tr>
      <w:tr w:rsidR="00BA058C" w:rsidRPr="00FD6AF8" w14:paraId="098E57E2"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6DCC4EEC" w14:textId="77777777" w:rsidR="00BA058C" w:rsidRPr="00242A02" w:rsidRDefault="00BA058C">
            <w:pPr>
              <w:spacing w:after="120"/>
              <w:rPr>
                <w:rFonts w:eastAsiaTheme="minorEastAsia"/>
                <w:sz w:val="22"/>
                <w:szCs w:val="22"/>
              </w:rPr>
            </w:pPr>
            <w:r>
              <w:rPr>
                <w:rFonts w:eastAsiaTheme="minorEastAsia" w:hint="eastAsia"/>
                <w:sz w:val="22"/>
                <w:szCs w:val="22"/>
              </w:rPr>
              <w:t>#</w:t>
            </w:r>
            <w:r>
              <w:rPr>
                <w:rFonts w:eastAsiaTheme="minorEastAsia"/>
                <w:sz w:val="22"/>
                <w:szCs w:val="22"/>
              </w:rPr>
              <w:t>2</w:t>
            </w:r>
          </w:p>
        </w:tc>
        <w:tc>
          <w:tcPr>
            <w:tcW w:w="1561" w:type="dxa"/>
            <w:tcBorders>
              <w:top w:val="single" w:sz="4" w:space="0" w:color="auto"/>
              <w:left w:val="single" w:sz="4" w:space="0" w:color="auto"/>
              <w:bottom w:val="single" w:sz="4" w:space="0" w:color="auto"/>
              <w:right w:val="single" w:sz="4" w:space="0" w:color="auto"/>
            </w:tcBorders>
            <w:vAlign w:val="center"/>
          </w:tcPr>
          <w:p w14:paraId="51FCA3FA" w14:textId="77777777" w:rsidR="00BA058C" w:rsidRDefault="00BA058C">
            <w:pPr>
              <w:spacing w:after="120"/>
              <w:rPr>
                <w:rFonts w:eastAsiaTheme="minorEastAsia"/>
                <w:sz w:val="22"/>
                <w:szCs w:val="22"/>
              </w:rPr>
            </w:pPr>
            <w:r>
              <w:rPr>
                <w:rFonts w:eastAsiaTheme="minorEastAsia"/>
                <w:sz w:val="22"/>
                <w:szCs w:val="22"/>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642B8B8E" w14:textId="77777777" w:rsidR="00BA058C" w:rsidRDefault="00BA058C">
            <w:pPr>
              <w:spacing w:after="120"/>
              <w:rPr>
                <w:rFonts w:eastAsiaTheme="minorEastAsia"/>
                <w:sz w:val="22"/>
                <w:szCs w:val="22"/>
              </w:rPr>
            </w:pPr>
            <w:r>
              <w:rPr>
                <w:rFonts w:eastAsiaTheme="minorEastAsia"/>
                <w:sz w:val="22"/>
                <w:szCs w:val="22"/>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7595A957" w14:textId="4854DC7D" w:rsidR="00BA058C" w:rsidRDefault="00BA058C">
            <w:pPr>
              <w:spacing w:after="120"/>
              <w:rPr>
                <w:rFonts w:eastAsiaTheme="minorEastAsia"/>
                <w:sz w:val="22"/>
                <w:szCs w:val="22"/>
              </w:rPr>
            </w:pPr>
            <w:r>
              <w:rPr>
                <w:rFonts w:eastAsiaTheme="minorEastAsia"/>
                <w:sz w:val="22"/>
                <w:szCs w:val="22"/>
              </w:rPr>
              <w:t>Sharing</w:t>
            </w:r>
            <w:r w:rsidR="002A0EBD">
              <w:rPr>
                <w:rFonts w:eastAsiaTheme="minorEastAsia"/>
                <w:sz w:val="22"/>
                <w:szCs w:val="22"/>
              </w:rPr>
              <w:t xml:space="preserve"> factor</w:t>
            </w:r>
          </w:p>
        </w:tc>
      </w:tr>
      <w:tr w:rsidR="00BA058C" w:rsidRPr="00FD6AF8" w14:paraId="2BAF6CA4"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34CE3485" w14:textId="77777777" w:rsidR="00BA058C" w:rsidRDefault="00BA058C">
            <w:pPr>
              <w:spacing w:after="120"/>
              <w:rPr>
                <w:rFonts w:eastAsiaTheme="minorEastAsia"/>
                <w:sz w:val="22"/>
                <w:szCs w:val="22"/>
              </w:rPr>
            </w:pPr>
            <w:r>
              <w:rPr>
                <w:rFonts w:eastAsiaTheme="minorEastAsia" w:hint="eastAsia"/>
                <w:sz w:val="22"/>
                <w:szCs w:val="22"/>
              </w:rPr>
              <w:t>#</w:t>
            </w:r>
            <w:r>
              <w:rPr>
                <w:rFonts w:eastAsiaTheme="minorEastAsia"/>
                <w:sz w:val="22"/>
                <w:szCs w:val="22"/>
              </w:rPr>
              <w:t>3</w:t>
            </w:r>
          </w:p>
        </w:tc>
        <w:tc>
          <w:tcPr>
            <w:tcW w:w="1561" w:type="dxa"/>
            <w:tcBorders>
              <w:top w:val="single" w:sz="4" w:space="0" w:color="auto"/>
              <w:left w:val="single" w:sz="4" w:space="0" w:color="auto"/>
              <w:bottom w:val="single" w:sz="4" w:space="0" w:color="auto"/>
              <w:right w:val="single" w:sz="4" w:space="0" w:color="auto"/>
            </w:tcBorders>
            <w:vAlign w:val="center"/>
          </w:tcPr>
          <w:p w14:paraId="65C1ADBA" w14:textId="77777777" w:rsidR="00BA058C" w:rsidRDefault="00BA058C">
            <w:pPr>
              <w:spacing w:after="120"/>
              <w:rPr>
                <w:rFonts w:eastAsiaTheme="minorEastAsia"/>
                <w:sz w:val="22"/>
                <w:szCs w:val="22"/>
              </w:rPr>
            </w:pPr>
            <w:r>
              <w:rPr>
                <w:rFonts w:eastAsiaTheme="minorEastAsia"/>
                <w:sz w:val="22"/>
                <w:szCs w:val="22"/>
              </w:rPr>
              <w:t>Configured as L1-RSRP</w:t>
            </w:r>
          </w:p>
        </w:tc>
        <w:tc>
          <w:tcPr>
            <w:tcW w:w="1684" w:type="dxa"/>
            <w:tcBorders>
              <w:top w:val="single" w:sz="4" w:space="0" w:color="auto"/>
              <w:left w:val="single" w:sz="4" w:space="0" w:color="auto"/>
              <w:bottom w:val="single" w:sz="4" w:space="0" w:color="auto"/>
              <w:right w:val="single" w:sz="4" w:space="0" w:color="auto"/>
            </w:tcBorders>
            <w:vAlign w:val="center"/>
          </w:tcPr>
          <w:p w14:paraId="5232A97D" w14:textId="77777777" w:rsidR="00BA058C" w:rsidRDefault="00BA058C">
            <w:pPr>
              <w:spacing w:after="120"/>
              <w:rPr>
                <w:rFonts w:eastAsiaTheme="minorEastAsia"/>
                <w:sz w:val="22"/>
                <w:szCs w:val="22"/>
              </w:rPr>
            </w:pPr>
            <w:r>
              <w:rPr>
                <w:rFonts w:eastAsiaTheme="minorEastAsia"/>
                <w:sz w:val="22"/>
                <w:szCs w:val="22"/>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7C9CEFFB" w14:textId="77777777" w:rsidR="00BA058C" w:rsidRDefault="00BA058C">
            <w:pPr>
              <w:spacing w:after="120"/>
              <w:rPr>
                <w:rFonts w:eastAsiaTheme="minorEastAsia"/>
                <w:sz w:val="22"/>
                <w:szCs w:val="22"/>
              </w:rPr>
            </w:pPr>
            <w:r>
              <w:rPr>
                <w:rFonts w:eastAsiaTheme="minorEastAsia" w:hint="eastAsia"/>
                <w:sz w:val="22"/>
                <w:szCs w:val="22"/>
              </w:rPr>
              <w:t>F</w:t>
            </w:r>
            <w:r>
              <w:rPr>
                <w:rFonts w:eastAsiaTheme="minorEastAsia"/>
                <w:sz w:val="22"/>
                <w:szCs w:val="22"/>
              </w:rPr>
              <w:t>FS</w:t>
            </w:r>
          </w:p>
        </w:tc>
      </w:tr>
      <w:tr w:rsidR="00BA058C" w:rsidRPr="00FD6AF8" w14:paraId="0E417AB5"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03E79E2F" w14:textId="77777777" w:rsidR="00BA058C" w:rsidRDefault="00BA058C">
            <w:pPr>
              <w:spacing w:after="120"/>
              <w:rPr>
                <w:rFonts w:eastAsiaTheme="minorEastAsia"/>
                <w:sz w:val="22"/>
                <w:szCs w:val="22"/>
              </w:rPr>
            </w:pPr>
            <w:r>
              <w:rPr>
                <w:rFonts w:eastAsiaTheme="minorEastAsia" w:hint="eastAsia"/>
                <w:sz w:val="22"/>
                <w:szCs w:val="22"/>
              </w:rPr>
              <w:t>#</w:t>
            </w:r>
            <w:r>
              <w:rPr>
                <w:rFonts w:eastAsiaTheme="minorEastAsia"/>
                <w:sz w:val="22"/>
                <w:szCs w:val="22"/>
              </w:rPr>
              <w:t>4</w:t>
            </w:r>
          </w:p>
        </w:tc>
        <w:tc>
          <w:tcPr>
            <w:tcW w:w="1561" w:type="dxa"/>
            <w:tcBorders>
              <w:top w:val="single" w:sz="4" w:space="0" w:color="auto"/>
              <w:left w:val="single" w:sz="4" w:space="0" w:color="auto"/>
              <w:bottom w:val="single" w:sz="4" w:space="0" w:color="auto"/>
              <w:right w:val="single" w:sz="4" w:space="0" w:color="auto"/>
            </w:tcBorders>
            <w:vAlign w:val="center"/>
          </w:tcPr>
          <w:p w14:paraId="67AC12F1" w14:textId="77777777" w:rsidR="00BA058C" w:rsidRDefault="00BA058C">
            <w:pPr>
              <w:spacing w:after="120"/>
              <w:rPr>
                <w:rFonts w:eastAsiaTheme="minorEastAsia"/>
                <w:sz w:val="22"/>
                <w:szCs w:val="22"/>
              </w:rPr>
            </w:pPr>
            <w:r>
              <w:rPr>
                <w:rFonts w:eastAsiaTheme="minorEastAsia"/>
                <w:sz w:val="22"/>
                <w:szCs w:val="22"/>
              </w:rPr>
              <w:t>Configured as BFD/CBD</w:t>
            </w:r>
          </w:p>
        </w:tc>
        <w:tc>
          <w:tcPr>
            <w:tcW w:w="1684" w:type="dxa"/>
            <w:tcBorders>
              <w:top w:val="single" w:sz="4" w:space="0" w:color="auto"/>
              <w:left w:val="single" w:sz="4" w:space="0" w:color="auto"/>
              <w:bottom w:val="single" w:sz="4" w:space="0" w:color="auto"/>
              <w:right w:val="single" w:sz="4" w:space="0" w:color="auto"/>
            </w:tcBorders>
            <w:vAlign w:val="center"/>
          </w:tcPr>
          <w:p w14:paraId="4F5F8549" w14:textId="77777777" w:rsidR="00BA058C" w:rsidRDefault="00BA058C">
            <w:pPr>
              <w:spacing w:after="120"/>
              <w:rPr>
                <w:rFonts w:eastAsiaTheme="minorEastAsia"/>
                <w:sz w:val="22"/>
                <w:szCs w:val="22"/>
              </w:rPr>
            </w:pPr>
            <w:r>
              <w:rPr>
                <w:rFonts w:eastAsiaTheme="minorEastAsia"/>
                <w:sz w:val="22"/>
                <w:szCs w:val="22"/>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1E892447" w14:textId="77777777" w:rsidR="00BA058C" w:rsidRDefault="00BA058C">
            <w:pPr>
              <w:spacing w:after="120"/>
              <w:rPr>
                <w:rFonts w:eastAsiaTheme="minorEastAsia"/>
                <w:sz w:val="22"/>
                <w:szCs w:val="22"/>
              </w:rPr>
            </w:pPr>
            <w:r>
              <w:rPr>
                <w:rFonts w:eastAsiaTheme="minorEastAsia" w:hint="eastAsia"/>
                <w:sz w:val="22"/>
                <w:szCs w:val="22"/>
              </w:rPr>
              <w:t>F</w:t>
            </w:r>
            <w:r>
              <w:rPr>
                <w:rFonts w:eastAsiaTheme="minorEastAsia"/>
                <w:sz w:val="22"/>
                <w:szCs w:val="22"/>
              </w:rPr>
              <w:t>FS</w:t>
            </w:r>
          </w:p>
        </w:tc>
      </w:tr>
      <w:tr w:rsidR="00BA058C" w:rsidRPr="00FD6AF8" w14:paraId="4C9D72B2"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010D2D1A" w14:textId="77777777" w:rsidR="00BA058C" w:rsidRDefault="00BA058C">
            <w:pPr>
              <w:spacing w:after="120"/>
              <w:rPr>
                <w:rFonts w:eastAsiaTheme="minorEastAsia"/>
                <w:sz w:val="22"/>
                <w:szCs w:val="22"/>
              </w:rPr>
            </w:pPr>
            <w:r>
              <w:rPr>
                <w:rFonts w:eastAsiaTheme="minorEastAsia" w:hint="eastAsia"/>
                <w:sz w:val="22"/>
                <w:szCs w:val="22"/>
              </w:rPr>
              <w:t>#</w:t>
            </w:r>
            <w:r>
              <w:rPr>
                <w:rFonts w:eastAsiaTheme="minorEastAsia"/>
                <w:sz w:val="22"/>
                <w:szCs w:val="22"/>
              </w:rPr>
              <w:t>5</w:t>
            </w:r>
          </w:p>
        </w:tc>
        <w:tc>
          <w:tcPr>
            <w:tcW w:w="1561" w:type="dxa"/>
            <w:tcBorders>
              <w:top w:val="single" w:sz="4" w:space="0" w:color="auto"/>
              <w:left w:val="single" w:sz="4" w:space="0" w:color="auto"/>
              <w:bottom w:val="single" w:sz="4" w:space="0" w:color="auto"/>
              <w:right w:val="single" w:sz="4" w:space="0" w:color="auto"/>
            </w:tcBorders>
            <w:vAlign w:val="center"/>
          </w:tcPr>
          <w:p w14:paraId="7187EC86" w14:textId="77777777" w:rsidR="00BA058C" w:rsidRDefault="00BA058C">
            <w:pPr>
              <w:spacing w:after="120"/>
              <w:rPr>
                <w:rFonts w:eastAsiaTheme="minorEastAsia"/>
                <w:sz w:val="22"/>
                <w:szCs w:val="22"/>
              </w:rPr>
            </w:pPr>
            <w:r>
              <w:rPr>
                <w:rFonts w:eastAsiaTheme="minorEastAsia"/>
                <w:sz w:val="22"/>
                <w:szCs w:val="22"/>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0689C5B9" w14:textId="77777777" w:rsidR="00BA058C" w:rsidRDefault="00BA058C">
            <w:pPr>
              <w:spacing w:after="120"/>
              <w:rPr>
                <w:rFonts w:eastAsiaTheme="minorEastAsia"/>
                <w:sz w:val="22"/>
                <w:szCs w:val="22"/>
              </w:rPr>
            </w:pPr>
            <w:r>
              <w:rPr>
                <w:rFonts w:eastAsiaTheme="minorEastAsia"/>
                <w:sz w:val="22"/>
                <w:szCs w:val="22"/>
              </w:rPr>
              <w:t>Configured as BFD/CBD</w:t>
            </w:r>
          </w:p>
        </w:tc>
        <w:tc>
          <w:tcPr>
            <w:tcW w:w="2568" w:type="dxa"/>
            <w:tcBorders>
              <w:top w:val="single" w:sz="4" w:space="0" w:color="auto"/>
              <w:left w:val="single" w:sz="4" w:space="0" w:color="auto"/>
              <w:bottom w:val="single" w:sz="4" w:space="0" w:color="auto"/>
              <w:right w:val="single" w:sz="4" w:space="0" w:color="auto"/>
            </w:tcBorders>
            <w:vAlign w:val="center"/>
          </w:tcPr>
          <w:p w14:paraId="6E72FE94" w14:textId="424F4F09" w:rsidR="00BA058C" w:rsidRDefault="00BA058C">
            <w:pPr>
              <w:spacing w:after="120"/>
              <w:rPr>
                <w:rFonts w:eastAsiaTheme="minorEastAsia"/>
                <w:sz w:val="22"/>
                <w:szCs w:val="22"/>
              </w:rPr>
            </w:pPr>
            <w:r>
              <w:rPr>
                <w:rFonts w:eastAsiaTheme="minorEastAsia" w:hint="eastAsia"/>
                <w:sz w:val="22"/>
                <w:szCs w:val="22"/>
              </w:rPr>
              <w:t>F</w:t>
            </w:r>
            <w:r>
              <w:rPr>
                <w:rFonts w:eastAsiaTheme="minorEastAsia"/>
                <w:sz w:val="22"/>
                <w:szCs w:val="22"/>
              </w:rPr>
              <w:t>FS</w:t>
            </w:r>
            <w:r w:rsidR="00FF46EA">
              <w:rPr>
                <w:rFonts w:eastAsiaTheme="minorEastAsia"/>
                <w:sz w:val="22"/>
                <w:szCs w:val="22"/>
              </w:rPr>
              <w:t xml:space="preserve"> </w:t>
            </w:r>
          </w:p>
        </w:tc>
      </w:tr>
      <w:tr w:rsidR="00BA058C" w:rsidRPr="00FD6AF8" w14:paraId="7551AEED" w14:textId="77777777">
        <w:trPr>
          <w:trHeight w:val="209"/>
          <w:jc w:val="center"/>
        </w:trPr>
        <w:tc>
          <w:tcPr>
            <w:tcW w:w="986" w:type="dxa"/>
            <w:tcBorders>
              <w:top w:val="single" w:sz="4" w:space="0" w:color="auto"/>
              <w:left w:val="single" w:sz="4" w:space="0" w:color="auto"/>
              <w:bottom w:val="single" w:sz="4" w:space="0" w:color="auto"/>
              <w:right w:val="single" w:sz="4" w:space="0" w:color="auto"/>
            </w:tcBorders>
            <w:vAlign w:val="center"/>
          </w:tcPr>
          <w:p w14:paraId="4F45E51D" w14:textId="77777777" w:rsidR="00BA058C" w:rsidRDefault="00BA058C">
            <w:pPr>
              <w:spacing w:after="120"/>
              <w:rPr>
                <w:rFonts w:eastAsiaTheme="minorEastAsia"/>
                <w:sz w:val="22"/>
                <w:szCs w:val="22"/>
              </w:rPr>
            </w:pPr>
            <w:r>
              <w:rPr>
                <w:rFonts w:eastAsiaTheme="minorEastAsia" w:hint="eastAsia"/>
                <w:sz w:val="22"/>
                <w:szCs w:val="22"/>
              </w:rPr>
              <w:t>#</w:t>
            </w:r>
            <w:r>
              <w:rPr>
                <w:rFonts w:eastAsiaTheme="minorEastAsia"/>
                <w:sz w:val="22"/>
                <w:szCs w:val="22"/>
              </w:rPr>
              <w:t>6</w:t>
            </w:r>
          </w:p>
        </w:tc>
        <w:tc>
          <w:tcPr>
            <w:tcW w:w="1561" w:type="dxa"/>
            <w:tcBorders>
              <w:top w:val="single" w:sz="4" w:space="0" w:color="auto"/>
              <w:left w:val="single" w:sz="4" w:space="0" w:color="auto"/>
              <w:bottom w:val="single" w:sz="4" w:space="0" w:color="auto"/>
              <w:right w:val="single" w:sz="4" w:space="0" w:color="auto"/>
            </w:tcBorders>
            <w:vAlign w:val="center"/>
          </w:tcPr>
          <w:p w14:paraId="47736A31" w14:textId="77777777" w:rsidR="00BA058C" w:rsidRDefault="00BA058C">
            <w:pPr>
              <w:spacing w:after="120"/>
              <w:rPr>
                <w:rFonts w:eastAsiaTheme="minorEastAsia"/>
                <w:sz w:val="22"/>
                <w:szCs w:val="22"/>
              </w:rPr>
            </w:pPr>
            <w:r>
              <w:rPr>
                <w:rFonts w:eastAsiaTheme="minorEastAsia"/>
                <w:sz w:val="22"/>
                <w:szCs w:val="22"/>
              </w:rPr>
              <w:t>Configured as RLM</w:t>
            </w:r>
          </w:p>
        </w:tc>
        <w:tc>
          <w:tcPr>
            <w:tcW w:w="1684" w:type="dxa"/>
            <w:tcBorders>
              <w:top w:val="single" w:sz="4" w:space="0" w:color="auto"/>
              <w:left w:val="single" w:sz="4" w:space="0" w:color="auto"/>
              <w:bottom w:val="single" w:sz="4" w:space="0" w:color="auto"/>
              <w:right w:val="single" w:sz="4" w:space="0" w:color="auto"/>
            </w:tcBorders>
            <w:vAlign w:val="center"/>
          </w:tcPr>
          <w:p w14:paraId="31BDBFC8" w14:textId="77777777" w:rsidR="00BA058C" w:rsidRDefault="00BA058C">
            <w:pPr>
              <w:spacing w:after="120"/>
              <w:rPr>
                <w:rFonts w:eastAsiaTheme="minorEastAsia"/>
                <w:sz w:val="22"/>
                <w:szCs w:val="22"/>
              </w:rPr>
            </w:pPr>
            <w:r>
              <w:rPr>
                <w:rFonts w:eastAsiaTheme="minorEastAsia"/>
                <w:sz w:val="22"/>
                <w:szCs w:val="22"/>
              </w:rPr>
              <w:t>Configured as L1-RSRP</w:t>
            </w:r>
          </w:p>
        </w:tc>
        <w:tc>
          <w:tcPr>
            <w:tcW w:w="2568" w:type="dxa"/>
            <w:tcBorders>
              <w:top w:val="single" w:sz="4" w:space="0" w:color="auto"/>
              <w:left w:val="single" w:sz="4" w:space="0" w:color="auto"/>
              <w:bottom w:val="single" w:sz="4" w:space="0" w:color="auto"/>
              <w:right w:val="single" w:sz="4" w:space="0" w:color="auto"/>
            </w:tcBorders>
            <w:vAlign w:val="center"/>
          </w:tcPr>
          <w:p w14:paraId="5773174C" w14:textId="77777777" w:rsidR="00BA058C" w:rsidRDefault="00BA058C">
            <w:pPr>
              <w:spacing w:after="120"/>
              <w:rPr>
                <w:rFonts w:eastAsiaTheme="minorEastAsia"/>
                <w:sz w:val="22"/>
                <w:szCs w:val="22"/>
              </w:rPr>
            </w:pPr>
            <w:r>
              <w:rPr>
                <w:rFonts w:eastAsiaTheme="minorEastAsia" w:hint="eastAsia"/>
                <w:sz w:val="22"/>
                <w:szCs w:val="22"/>
              </w:rPr>
              <w:t>F</w:t>
            </w:r>
            <w:r>
              <w:rPr>
                <w:rFonts w:eastAsiaTheme="minorEastAsia"/>
                <w:sz w:val="22"/>
                <w:szCs w:val="22"/>
              </w:rPr>
              <w:t>FS</w:t>
            </w:r>
          </w:p>
        </w:tc>
      </w:tr>
    </w:tbl>
    <w:p w14:paraId="766A14E1" w14:textId="7A9B8A76" w:rsidR="00BA058C" w:rsidRDefault="00BA058C" w:rsidP="005B410D">
      <w:pPr>
        <w:spacing w:after="120"/>
        <w:rPr>
          <w:b/>
          <w:bCs/>
          <w:sz w:val="20"/>
          <w:szCs w:val="20"/>
        </w:rPr>
      </w:pPr>
    </w:p>
    <w:p w14:paraId="3C1BD604" w14:textId="59F6BCB6" w:rsidR="002A0EBD" w:rsidRPr="00604934" w:rsidRDefault="002A0EBD" w:rsidP="005B410D">
      <w:pPr>
        <w:spacing w:after="120"/>
        <w:rPr>
          <w:sz w:val="20"/>
          <w:szCs w:val="20"/>
        </w:rPr>
      </w:pPr>
      <w:r w:rsidRPr="00604934">
        <w:rPr>
          <w:sz w:val="20"/>
          <w:szCs w:val="20"/>
        </w:rPr>
        <w:t xml:space="preserve">When we have cases of overlapping resources, we usually define a sharing factor to extend the measurement period or define measurement restriction. </w:t>
      </w:r>
      <w:r w:rsidR="00604934" w:rsidRPr="00604934">
        <w:rPr>
          <w:sz w:val="20"/>
          <w:szCs w:val="20"/>
        </w:rPr>
        <w:t>Defining a measurement restriction doesn’t define exact UE behavior</w:t>
      </w:r>
      <w:r w:rsidR="00604934">
        <w:rPr>
          <w:sz w:val="20"/>
          <w:szCs w:val="20"/>
        </w:rPr>
        <w:t xml:space="preserve"> and leaves it up to the UE to prioritize one measurement over the other</w:t>
      </w:r>
      <w:r w:rsidR="00604934" w:rsidRPr="00604934">
        <w:rPr>
          <w:sz w:val="20"/>
          <w:szCs w:val="20"/>
        </w:rPr>
        <w:t xml:space="preserve">. </w:t>
      </w:r>
      <w:r w:rsidR="00604934">
        <w:rPr>
          <w:sz w:val="20"/>
          <w:szCs w:val="20"/>
        </w:rPr>
        <w:t xml:space="preserve">For some cases of overlapping SSBs between serving cell and cell with different PCI we already have sharing factors introduced. It would be beneficial to introduce sharing factors for all overlapping cases, especially if the </w:t>
      </w:r>
      <w:r w:rsidR="002E63FC">
        <w:rPr>
          <w:sz w:val="20"/>
          <w:szCs w:val="20"/>
        </w:rPr>
        <w:t>SSB for RLM/BFD/CBD is a subset of resources for L1-</w:t>
      </w:r>
      <w:r w:rsidR="002E63FC">
        <w:rPr>
          <w:sz w:val="20"/>
          <w:szCs w:val="20"/>
        </w:rPr>
        <w:lastRenderedPageBreak/>
        <w:t xml:space="preserve">RSRP measurement. To be consistent and not to complicate the specification, we can define sharing factor for all cases. </w:t>
      </w:r>
    </w:p>
    <w:p w14:paraId="5609AB5A" w14:textId="72011FAA" w:rsidR="00FF46EA" w:rsidRDefault="00FF46EA" w:rsidP="005B410D">
      <w:pPr>
        <w:spacing w:after="120"/>
        <w:rPr>
          <w:b/>
          <w:bCs/>
          <w:sz w:val="20"/>
          <w:szCs w:val="20"/>
        </w:rPr>
      </w:pPr>
    </w:p>
    <w:p w14:paraId="256264FC" w14:textId="7FBF17C7" w:rsidR="002249BA" w:rsidRPr="00D037BE" w:rsidRDefault="00605645" w:rsidP="005B410D">
      <w:pPr>
        <w:spacing w:after="120"/>
        <w:rPr>
          <w:rFonts w:eastAsia="SimSun"/>
          <w:b/>
          <w:bCs/>
          <w:sz w:val="20"/>
          <w:szCs w:val="20"/>
          <w:u w:val="single"/>
          <w:lang w:eastAsia="en-GB"/>
        </w:rPr>
      </w:pPr>
      <w:r>
        <w:rPr>
          <w:b/>
          <w:bCs/>
          <w:sz w:val="20"/>
          <w:szCs w:val="20"/>
        </w:rPr>
        <w:t xml:space="preserve">Proposal #9: Define </w:t>
      </w:r>
      <w:r w:rsidR="002E63FC">
        <w:rPr>
          <w:b/>
          <w:bCs/>
          <w:sz w:val="20"/>
          <w:szCs w:val="20"/>
        </w:rPr>
        <w:t>sharing factor</w:t>
      </w:r>
      <w:r>
        <w:rPr>
          <w:b/>
          <w:bCs/>
          <w:sz w:val="20"/>
          <w:szCs w:val="20"/>
        </w:rPr>
        <w:t xml:space="preserve"> for SSB </w:t>
      </w:r>
      <w:r w:rsidR="00BA058C">
        <w:rPr>
          <w:b/>
          <w:bCs/>
          <w:sz w:val="20"/>
          <w:szCs w:val="20"/>
        </w:rPr>
        <w:t xml:space="preserve">between serving and cell with different PCI </w:t>
      </w:r>
      <w:r>
        <w:rPr>
          <w:b/>
          <w:bCs/>
          <w:sz w:val="20"/>
          <w:szCs w:val="20"/>
        </w:rPr>
        <w:t xml:space="preserve">overlapping </w:t>
      </w:r>
      <w:r w:rsidR="002E63FC">
        <w:rPr>
          <w:b/>
          <w:bCs/>
          <w:sz w:val="20"/>
          <w:szCs w:val="20"/>
        </w:rPr>
        <w:t>for</w:t>
      </w:r>
      <w:r>
        <w:rPr>
          <w:b/>
          <w:bCs/>
          <w:sz w:val="20"/>
          <w:szCs w:val="20"/>
        </w:rPr>
        <w:t xml:space="preserve"> </w:t>
      </w:r>
      <w:r w:rsidR="00BA058C">
        <w:rPr>
          <w:b/>
          <w:bCs/>
          <w:sz w:val="20"/>
          <w:szCs w:val="20"/>
        </w:rPr>
        <w:t>different L1 measurements.</w:t>
      </w:r>
    </w:p>
    <w:p w14:paraId="17B0ADDC" w14:textId="66A0526C" w:rsidR="002249BA" w:rsidRPr="00605645" w:rsidRDefault="002249BA" w:rsidP="005B410D">
      <w:pPr>
        <w:spacing w:after="120"/>
        <w:rPr>
          <w:rFonts w:eastAsia="SimSun"/>
          <w:sz w:val="20"/>
          <w:szCs w:val="20"/>
          <w:u w:val="single"/>
          <w:lang w:eastAsia="en-GB"/>
        </w:rPr>
      </w:pPr>
    </w:p>
    <w:p w14:paraId="20DC28A5" w14:textId="77777777" w:rsidR="002249BA" w:rsidRPr="00D037BE" w:rsidRDefault="002249BA" w:rsidP="002249BA">
      <w:pPr>
        <w:pStyle w:val="Heading1"/>
        <w:rPr>
          <w:lang w:val="en-US"/>
        </w:rPr>
      </w:pPr>
      <w:r w:rsidRPr="00D037BE">
        <w:rPr>
          <w:lang w:val="en-US"/>
        </w:rPr>
        <w:t>3. Conclusion</w:t>
      </w:r>
    </w:p>
    <w:p w14:paraId="39100AC6" w14:textId="77777777" w:rsidR="002249BA" w:rsidRPr="00D037BE" w:rsidRDefault="002249BA" w:rsidP="002249BA">
      <w:pPr>
        <w:spacing w:after="120"/>
        <w:rPr>
          <w:sz w:val="20"/>
          <w:szCs w:val="20"/>
        </w:rPr>
      </w:pPr>
      <w:r w:rsidRPr="00D037BE">
        <w:rPr>
          <w:sz w:val="20"/>
          <w:szCs w:val="20"/>
        </w:rPr>
        <w:t>In this paper, we provide our views on open issues on requirements for unified TCI and inter-cell beam management. Our observations and proposals are captured below:</w:t>
      </w:r>
    </w:p>
    <w:p w14:paraId="7F6E90DA" w14:textId="2F0657DD" w:rsidR="002249BA" w:rsidRPr="000319AB" w:rsidRDefault="000319AB" w:rsidP="002249BA">
      <w:pPr>
        <w:spacing w:after="120"/>
        <w:rPr>
          <w:b/>
          <w:bCs/>
          <w:sz w:val="20"/>
          <w:szCs w:val="20"/>
          <w:u w:val="single"/>
        </w:rPr>
      </w:pPr>
      <w:r w:rsidRPr="000319AB">
        <w:rPr>
          <w:b/>
          <w:bCs/>
          <w:sz w:val="20"/>
          <w:szCs w:val="20"/>
          <w:u w:val="single"/>
        </w:rPr>
        <w:t>Unified TCI</w:t>
      </w:r>
    </w:p>
    <w:p w14:paraId="45D2A670" w14:textId="77777777" w:rsidR="000319AB" w:rsidRPr="00D037BE" w:rsidRDefault="000319AB" w:rsidP="000319AB">
      <w:pPr>
        <w:spacing w:after="120"/>
        <w:rPr>
          <w:i/>
          <w:iCs/>
          <w:sz w:val="20"/>
          <w:szCs w:val="20"/>
        </w:rPr>
      </w:pPr>
      <w:r w:rsidRPr="00D037BE">
        <w:rPr>
          <w:b/>
          <w:bCs/>
          <w:i/>
          <w:iCs/>
          <w:sz w:val="20"/>
          <w:szCs w:val="20"/>
        </w:rPr>
        <w:t xml:space="preserve">Observation #1: </w:t>
      </w:r>
      <w:r w:rsidRPr="00D037BE">
        <w:rPr>
          <w:i/>
          <w:iCs/>
          <w:sz w:val="20"/>
          <w:szCs w:val="20"/>
        </w:rPr>
        <w:t>The UL TCI state provides the spatial TX filter to be used for UL transmission.</w:t>
      </w:r>
    </w:p>
    <w:p w14:paraId="3D47F7B8" w14:textId="77777777" w:rsidR="000319AB" w:rsidRPr="00D037BE" w:rsidRDefault="000319AB" w:rsidP="000319AB">
      <w:pPr>
        <w:spacing w:after="120"/>
        <w:rPr>
          <w:i/>
          <w:iCs/>
          <w:sz w:val="20"/>
          <w:szCs w:val="20"/>
        </w:rPr>
      </w:pPr>
      <w:r w:rsidRPr="00D037BE">
        <w:rPr>
          <w:b/>
          <w:bCs/>
          <w:i/>
          <w:iCs/>
          <w:sz w:val="20"/>
          <w:szCs w:val="20"/>
        </w:rPr>
        <w:t xml:space="preserve">Observation #2: </w:t>
      </w:r>
      <w:r w:rsidRPr="00D037BE">
        <w:rPr>
          <w:i/>
          <w:iCs/>
          <w:sz w:val="20"/>
          <w:szCs w:val="20"/>
        </w:rPr>
        <w:t>The UL timing is determined by the DL serving cell timing and not by the RS associated with active UL TCI state.</w:t>
      </w:r>
    </w:p>
    <w:p w14:paraId="0CF7304E" w14:textId="77777777" w:rsidR="000319AB" w:rsidRPr="00D037BE" w:rsidRDefault="000319AB" w:rsidP="000319AB">
      <w:pPr>
        <w:spacing w:after="120"/>
        <w:rPr>
          <w:i/>
          <w:iCs/>
          <w:sz w:val="20"/>
          <w:szCs w:val="20"/>
        </w:rPr>
      </w:pPr>
      <w:r w:rsidRPr="00D037BE">
        <w:rPr>
          <w:b/>
          <w:bCs/>
          <w:i/>
          <w:iCs/>
          <w:sz w:val="20"/>
          <w:szCs w:val="20"/>
        </w:rPr>
        <w:t>Observation #3</w:t>
      </w:r>
      <w:r w:rsidRPr="00D037BE">
        <w:rPr>
          <w:i/>
          <w:iCs/>
          <w:sz w:val="20"/>
          <w:szCs w:val="20"/>
        </w:rPr>
        <w:t xml:space="preserve">:  The UL TCI state could be associated with DL-RS or SRS. </w:t>
      </w:r>
    </w:p>
    <w:p w14:paraId="0204C761" w14:textId="77777777" w:rsidR="000319AB" w:rsidRDefault="000319AB" w:rsidP="000319AB">
      <w:pPr>
        <w:spacing w:after="120"/>
        <w:rPr>
          <w:b/>
          <w:bCs/>
          <w:sz w:val="20"/>
          <w:szCs w:val="20"/>
        </w:rPr>
      </w:pPr>
      <w:r>
        <w:rPr>
          <w:b/>
          <w:bCs/>
          <w:sz w:val="20"/>
          <w:szCs w:val="20"/>
        </w:rPr>
        <w:t>Proposal #1: Do not restrict UL TCI state switch to target TCI state in active DL TCI state list, as there is no such restriction in RAN1</w:t>
      </w:r>
    </w:p>
    <w:p w14:paraId="0C6179B5" w14:textId="77777777" w:rsidR="000319AB" w:rsidRPr="00D037BE" w:rsidRDefault="000319AB" w:rsidP="000319AB">
      <w:pPr>
        <w:spacing w:after="120"/>
        <w:rPr>
          <w:b/>
          <w:bCs/>
          <w:sz w:val="20"/>
          <w:szCs w:val="20"/>
        </w:rPr>
      </w:pPr>
      <w:r w:rsidRPr="00D037BE">
        <w:rPr>
          <w:b/>
          <w:bCs/>
          <w:sz w:val="20"/>
          <w:szCs w:val="20"/>
        </w:rPr>
        <w:t>Proposal #</w:t>
      </w:r>
      <w:r>
        <w:rPr>
          <w:b/>
          <w:bCs/>
          <w:sz w:val="20"/>
          <w:szCs w:val="20"/>
        </w:rPr>
        <w:t>2</w:t>
      </w:r>
      <w:r w:rsidRPr="00D037BE">
        <w:rPr>
          <w:b/>
          <w:bCs/>
          <w:sz w:val="20"/>
          <w:szCs w:val="20"/>
        </w:rPr>
        <w:t>: Irrespective of whether the source RS of UL TCI state is in the active DL TCI state list or not, no time/frequency tracking is needed for RS of UL TCI state for UL transmission.</w:t>
      </w:r>
    </w:p>
    <w:p w14:paraId="1286C157" w14:textId="77777777" w:rsidR="000319AB" w:rsidRPr="002045D3" w:rsidRDefault="000319AB" w:rsidP="000319AB">
      <w:pPr>
        <w:spacing w:after="120"/>
        <w:rPr>
          <w:b/>
          <w:bCs/>
          <w:sz w:val="20"/>
          <w:szCs w:val="20"/>
        </w:rPr>
      </w:pPr>
      <w:r w:rsidRPr="002045D3">
        <w:rPr>
          <w:b/>
          <w:bCs/>
          <w:sz w:val="20"/>
          <w:szCs w:val="20"/>
        </w:rPr>
        <w:t>Proposal #</w:t>
      </w:r>
      <w:r>
        <w:rPr>
          <w:b/>
          <w:bCs/>
          <w:sz w:val="20"/>
          <w:szCs w:val="20"/>
        </w:rPr>
        <w:t>4</w:t>
      </w:r>
      <w:r w:rsidRPr="002045D3">
        <w:rPr>
          <w:b/>
          <w:bCs/>
          <w:sz w:val="20"/>
          <w:szCs w:val="20"/>
        </w:rPr>
        <w:t>: When PL-RS in UL TCI state switch is SSB in FR2, longer delay is expected.</w:t>
      </w:r>
    </w:p>
    <w:p w14:paraId="56B3F3FF" w14:textId="77777777" w:rsidR="000319AB" w:rsidRPr="002045D3" w:rsidRDefault="000319AB" w:rsidP="000319AB">
      <w:pPr>
        <w:spacing w:after="120"/>
        <w:rPr>
          <w:b/>
          <w:bCs/>
          <w:sz w:val="20"/>
          <w:szCs w:val="20"/>
        </w:rPr>
      </w:pPr>
      <w:r w:rsidRPr="002C71F7">
        <w:rPr>
          <w:b/>
          <w:bCs/>
          <w:sz w:val="20"/>
          <w:szCs w:val="20"/>
        </w:rPr>
        <w:t>Proposal #</w:t>
      </w:r>
      <w:r>
        <w:rPr>
          <w:b/>
          <w:bCs/>
          <w:sz w:val="20"/>
          <w:szCs w:val="20"/>
        </w:rPr>
        <w:t>5</w:t>
      </w:r>
      <w:r w:rsidRPr="002C71F7">
        <w:rPr>
          <w:b/>
          <w:bCs/>
          <w:sz w:val="20"/>
          <w:szCs w:val="20"/>
        </w:rPr>
        <w:t xml:space="preserve">: </w:t>
      </w:r>
      <w:r>
        <w:rPr>
          <w:b/>
          <w:bCs/>
          <w:sz w:val="20"/>
          <w:szCs w:val="20"/>
        </w:rPr>
        <w:t>If no consensus is reached in RAN4 for SSB based PL-RS measurement in FR2, no requirements are defined for this case</w:t>
      </w:r>
      <w:r w:rsidRPr="002C71F7">
        <w:rPr>
          <w:b/>
          <w:bCs/>
          <w:sz w:val="20"/>
          <w:szCs w:val="20"/>
        </w:rPr>
        <w:t>.</w:t>
      </w:r>
    </w:p>
    <w:p w14:paraId="50A46094" w14:textId="77777777" w:rsidR="000319AB" w:rsidRPr="00A64241" w:rsidRDefault="000319AB" w:rsidP="000319AB">
      <w:pPr>
        <w:spacing w:after="120"/>
        <w:jc w:val="both"/>
        <w:rPr>
          <w:b/>
          <w:bCs/>
          <w:sz w:val="20"/>
          <w:szCs w:val="20"/>
        </w:rPr>
      </w:pPr>
      <w:r>
        <w:rPr>
          <w:b/>
          <w:bCs/>
          <w:sz w:val="20"/>
          <w:szCs w:val="20"/>
        </w:rPr>
        <w:t>Proposal #6: Confirm the definition of maintained PL-RS.</w:t>
      </w:r>
    </w:p>
    <w:p w14:paraId="4D19F551" w14:textId="77777777" w:rsidR="000319AB" w:rsidRDefault="000319AB" w:rsidP="000319AB">
      <w:pPr>
        <w:spacing w:after="120"/>
        <w:jc w:val="both"/>
        <w:rPr>
          <w:i/>
          <w:iCs/>
          <w:sz w:val="20"/>
          <w:szCs w:val="20"/>
        </w:rPr>
      </w:pPr>
      <w:r>
        <w:rPr>
          <w:b/>
          <w:bCs/>
          <w:i/>
          <w:iCs/>
          <w:sz w:val="20"/>
          <w:szCs w:val="20"/>
        </w:rPr>
        <w:t xml:space="preserve">Observation #4: </w:t>
      </w:r>
      <w:r>
        <w:rPr>
          <w:i/>
          <w:iCs/>
          <w:sz w:val="20"/>
          <w:szCs w:val="20"/>
        </w:rPr>
        <w:t xml:space="preserve">In previous RAN4 meetings the agreement for common TCI was made for shared RS and different RS. For shared RS, the requirements for single CC apply to all CCs. For different RS the TCI state switching delay for each CC follows single CC requirements. </w:t>
      </w:r>
    </w:p>
    <w:p w14:paraId="77E4FF50" w14:textId="77777777" w:rsidR="000319AB" w:rsidRDefault="000319AB" w:rsidP="000319AB">
      <w:pPr>
        <w:spacing w:after="120"/>
        <w:jc w:val="both"/>
        <w:rPr>
          <w:sz w:val="20"/>
          <w:szCs w:val="20"/>
        </w:rPr>
      </w:pPr>
      <w:r>
        <w:rPr>
          <w:b/>
          <w:bCs/>
          <w:i/>
          <w:iCs/>
          <w:sz w:val="20"/>
          <w:szCs w:val="20"/>
        </w:rPr>
        <w:t xml:space="preserve">Observation #5: </w:t>
      </w:r>
      <w:r w:rsidRPr="001000DE">
        <w:rPr>
          <w:i/>
          <w:iCs/>
          <w:sz w:val="20"/>
          <w:szCs w:val="20"/>
        </w:rPr>
        <w:t>The current wording in 38.133 suggests that the requirements are applicable to all CCs irrespective of shared RS or different RS.</w:t>
      </w:r>
      <w:r>
        <w:rPr>
          <w:b/>
          <w:bCs/>
          <w:i/>
          <w:iCs/>
          <w:sz w:val="20"/>
          <w:szCs w:val="20"/>
        </w:rPr>
        <w:t xml:space="preserve">  </w:t>
      </w:r>
      <w:r>
        <w:rPr>
          <w:sz w:val="20"/>
          <w:szCs w:val="20"/>
        </w:rPr>
        <w:t xml:space="preserve">  </w:t>
      </w:r>
    </w:p>
    <w:p w14:paraId="27238691" w14:textId="77777777" w:rsidR="000319AB" w:rsidRPr="00A97DCE" w:rsidRDefault="000319AB" w:rsidP="000319AB">
      <w:pPr>
        <w:spacing w:after="120"/>
        <w:jc w:val="both"/>
        <w:rPr>
          <w:b/>
          <w:bCs/>
          <w:sz w:val="20"/>
          <w:szCs w:val="20"/>
        </w:rPr>
      </w:pPr>
      <w:r>
        <w:rPr>
          <w:b/>
          <w:bCs/>
          <w:sz w:val="20"/>
          <w:szCs w:val="20"/>
        </w:rPr>
        <w:t xml:space="preserve">Proposal #7: Update the condition when DL/ UL unified TCI state switch requirements apply to common TCI – when </w:t>
      </w:r>
      <w:r w:rsidRPr="00A97DCE">
        <w:rPr>
          <w:b/>
          <w:bCs/>
          <w:sz w:val="20"/>
          <w:szCs w:val="20"/>
        </w:rPr>
        <w:t xml:space="preserve">all CCs in the list are configured with </w:t>
      </w:r>
      <w:r w:rsidRPr="00A97DCE">
        <w:rPr>
          <w:b/>
          <w:bCs/>
          <w:i/>
          <w:iCs/>
          <w:sz w:val="20"/>
          <w:szCs w:val="20"/>
        </w:rPr>
        <w:t xml:space="preserve">unifiedTCI-StateRef-r17 </w:t>
      </w:r>
      <w:r w:rsidRPr="00A97DCE">
        <w:rPr>
          <w:b/>
          <w:bCs/>
          <w:sz w:val="20"/>
          <w:szCs w:val="20"/>
        </w:rPr>
        <w:t>to the same serving cell and BWP</w:t>
      </w:r>
    </w:p>
    <w:p w14:paraId="21658A82" w14:textId="4F7F732B" w:rsidR="000319AB" w:rsidRDefault="000319AB" w:rsidP="002249BA">
      <w:pPr>
        <w:spacing w:after="120"/>
        <w:rPr>
          <w:sz w:val="20"/>
          <w:szCs w:val="20"/>
        </w:rPr>
      </w:pPr>
    </w:p>
    <w:p w14:paraId="67721F92" w14:textId="20E687FE" w:rsidR="000319AB" w:rsidRPr="000319AB" w:rsidRDefault="000319AB" w:rsidP="002249BA">
      <w:pPr>
        <w:spacing w:after="120"/>
        <w:rPr>
          <w:b/>
          <w:bCs/>
          <w:sz w:val="20"/>
          <w:szCs w:val="20"/>
          <w:u w:val="single"/>
        </w:rPr>
      </w:pPr>
      <w:r w:rsidRPr="000319AB">
        <w:rPr>
          <w:b/>
          <w:bCs/>
          <w:sz w:val="20"/>
          <w:szCs w:val="20"/>
          <w:u w:val="single"/>
        </w:rPr>
        <w:t>Inter-cell Beam Management</w:t>
      </w:r>
    </w:p>
    <w:p w14:paraId="5668A5F6" w14:textId="77777777" w:rsidR="003B67BB" w:rsidRDefault="003B67BB" w:rsidP="003B67BB">
      <w:pPr>
        <w:spacing w:after="120"/>
        <w:rPr>
          <w:i/>
          <w:iCs/>
          <w:sz w:val="20"/>
          <w:szCs w:val="20"/>
        </w:rPr>
      </w:pPr>
      <w:r>
        <w:rPr>
          <w:b/>
          <w:bCs/>
          <w:i/>
          <w:iCs/>
          <w:sz w:val="20"/>
          <w:szCs w:val="20"/>
        </w:rPr>
        <w:t xml:space="preserve">Observation #6: </w:t>
      </w:r>
      <w:r>
        <w:rPr>
          <w:i/>
          <w:iCs/>
          <w:sz w:val="20"/>
          <w:szCs w:val="20"/>
        </w:rPr>
        <w:t xml:space="preserve">The RRM requirements are applicable for minimum SINR side condition. </w:t>
      </w:r>
    </w:p>
    <w:p w14:paraId="07B3C55B" w14:textId="1A38B8E1" w:rsidR="003B67BB" w:rsidRPr="003E3FE8" w:rsidRDefault="003B67BB" w:rsidP="003B67BB">
      <w:pPr>
        <w:spacing w:after="120"/>
        <w:rPr>
          <w:i/>
          <w:iCs/>
          <w:sz w:val="20"/>
          <w:szCs w:val="20"/>
        </w:rPr>
      </w:pPr>
      <w:r w:rsidRPr="003E3FE8">
        <w:rPr>
          <w:b/>
          <w:bCs/>
          <w:i/>
          <w:iCs/>
          <w:sz w:val="20"/>
          <w:szCs w:val="20"/>
        </w:rPr>
        <w:t>Observation #7:</w:t>
      </w:r>
      <w:r>
        <w:rPr>
          <w:i/>
          <w:iCs/>
          <w:sz w:val="20"/>
          <w:szCs w:val="20"/>
        </w:rPr>
        <w:t xml:space="preserve"> We don’t have any scheduling restriction in case of L3 measurements without gap for FR1 </w:t>
      </w:r>
      <w:proofErr w:type="spellStart"/>
      <w:r>
        <w:rPr>
          <w:i/>
          <w:iCs/>
          <w:sz w:val="20"/>
          <w:szCs w:val="20"/>
        </w:rPr>
        <w:t>whenUE</w:t>
      </w:r>
      <w:proofErr w:type="spellEnd"/>
      <w:r>
        <w:rPr>
          <w:i/>
          <w:iCs/>
          <w:sz w:val="20"/>
          <w:szCs w:val="20"/>
        </w:rPr>
        <w:t xml:space="preserve"> can receive PDCCH/PDSCH and SSB </w:t>
      </w:r>
      <w:r w:rsidR="003353FD">
        <w:rPr>
          <w:i/>
          <w:iCs/>
          <w:sz w:val="20"/>
          <w:szCs w:val="20"/>
        </w:rPr>
        <w:t>simultaneously</w:t>
      </w:r>
      <w:r>
        <w:rPr>
          <w:i/>
          <w:iCs/>
          <w:sz w:val="20"/>
          <w:szCs w:val="20"/>
        </w:rPr>
        <w:t xml:space="preserve">. </w:t>
      </w:r>
    </w:p>
    <w:p w14:paraId="16A6F89F" w14:textId="77777777" w:rsidR="003B67BB" w:rsidRPr="00EF2642" w:rsidRDefault="003B67BB" w:rsidP="003B67BB">
      <w:pPr>
        <w:spacing w:after="120"/>
        <w:rPr>
          <w:b/>
          <w:bCs/>
          <w:sz w:val="20"/>
          <w:szCs w:val="20"/>
        </w:rPr>
      </w:pPr>
      <w:r w:rsidRPr="00EF2642">
        <w:rPr>
          <w:b/>
          <w:bCs/>
          <w:sz w:val="20"/>
          <w:szCs w:val="20"/>
        </w:rPr>
        <w:t xml:space="preserve">Proposal #8: </w:t>
      </w:r>
      <w:r w:rsidRPr="003E3FE8">
        <w:rPr>
          <w:b/>
          <w:bCs/>
          <w:sz w:val="20"/>
          <w:szCs w:val="20"/>
        </w:rPr>
        <w:t xml:space="preserve">No further clarification or update is needed in RAN4 when SSB and PDCCH/PDSCH </w:t>
      </w:r>
      <w:r>
        <w:rPr>
          <w:b/>
          <w:bCs/>
          <w:sz w:val="20"/>
          <w:szCs w:val="20"/>
        </w:rPr>
        <w:t xml:space="preserve">from different PCI </w:t>
      </w:r>
      <w:r w:rsidRPr="003E3FE8">
        <w:rPr>
          <w:b/>
          <w:bCs/>
          <w:sz w:val="20"/>
          <w:szCs w:val="20"/>
        </w:rPr>
        <w:t>overlap on the same RE.</w:t>
      </w:r>
    </w:p>
    <w:p w14:paraId="1E9CA6F5" w14:textId="77777777" w:rsidR="003B67BB" w:rsidRPr="00D037BE" w:rsidRDefault="003B67BB" w:rsidP="003B67BB">
      <w:pPr>
        <w:spacing w:after="120"/>
        <w:rPr>
          <w:rFonts w:eastAsia="SimSun"/>
          <w:b/>
          <w:bCs/>
          <w:sz w:val="20"/>
          <w:szCs w:val="20"/>
          <w:u w:val="single"/>
          <w:lang w:eastAsia="en-GB"/>
        </w:rPr>
      </w:pPr>
      <w:r>
        <w:rPr>
          <w:b/>
          <w:bCs/>
          <w:sz w:val="20"/>
          <w:szCs w:val="20"/>
        </w:rPr>
        <w:t>Proposal #9: Define sharing factor for SSB between serving and cell with different PCI overlapping for different L1 measurements.</w:t>
      </w:r>
    </w:p>
    <w:p w14:paraId="46FBD2CC" w14:textId="77777777" w:rsidR="000319AB" w:rsidRPr="00D037BE" w:rsidRDefault="000319AB" w:rsidP="002249BA">
      <w:pPr>
        <w:spacing w:after="120"/>
        <w:rPr>
          <w:sz w:val="20"/>
          <w:szCs w:val="20"/>
        </w:rPr>
      </w:pPr>
    </w:p>
    <w:p w14:paraId="4FB808BC" w14:textId="77777777" w:rsidR="002249BA" w:rsidRPr="00D037BE" w:rsidRDefault="002249BA" w:rsidP="002249BA">
      <w:pPr>
        <w:pStyle w:val="Heading1"/>
        <w:ind w:left="432" w:hanging="432"/>
        <w:rPr>
          <w:lang w:val="en-US"/>
        </w:rPr>
      </w:pPr>
      <w:r w:rsidRPr="00D037BE">
        <w:rPr>
          <w:lang w:val="en-US"/>
        </w:rPr>
        <w:lastRenderedPageBreak/>
        <w:t>Reference</w:t>
      </w:r>
    </w:p>
    <w:p w14:paraId="6233F2C8" w14:textId="6F5DC424" w:rsidR="002249BA" w:rsidRDefault="00A37048" w:rsidP="002249BA">
      <w:pPr>
        <w:pStyle w:val="ListParagraph"/>
        <w:numPr>
          <w:ilvl w:val="0"/>
          <w:numId w:val="2"/>
        </w:numPr>
        <w:spacing w:after="120"/>
        <w:ind w:firstLineChars="0"/>
        <w:jc w:val="both"/>
        <w:rPr>
          <w:rFonts w:ascii="Times New Roman" w:hAnsi="Times New Roman" w:cs="Times New Roman"/>
          <w:sz w:val="20"/>
          <w:szCs w:val="20"/>
        </w:rPr>
      </w:pPr>
      <w:r w:rsidRPr="00D037BE">
        <w:rPr>
          <w:rFonts w:ascii="Times New Roman" w:hAnsi="Times New Roman" w:cs="Times New Roman"/>
          <w:sz w:val="20"/>
          <w:szCs w:val="20"/>
        </w:rPr>
        <w:t>R4-2220713</w:t>
      </w:r>
      <w:r w:rsidR="002249BA" w:rsidRPr="00D037BE">
        <w:rPr>
          <w:rFonts w:ascii="Times New Roman" w:hAnsi="Times New Roman" w:cs="Times New Roman"/>
          <w:sz w:val="20"/>
          <w:szCs w:val="20"/>
        </w:rPr>
        <w:t>, “</w:t>
      </w:r>
      <w:r w:rsidRPr="00D037BE">
        <w:rPr>
          <w:rFonts w:ascii="Times New Roman" w:hAnsi="Times New Roman" w:cs="Times New Roman"/>
          <w:sz w:val="20"/>
          <w:szCs w:val="20"/>
        </w:rPr>
        <w:t xml:space="preserve">WF on Rel-17 </w:t>
      </w:r>
      <w:proofErr w:type="spellStart"/>
      <w:r w:rsidRPr="00D037BE">
        <w:rPr>
          <w:rFonts w:ascii="Times New Roman" w:hAnsi="Times New Roman" w:cs="Times New Roman"/>
          <w:sz w:val="20"/>
          <w:szCs w:val="20"/>
        </w:rPr>
        <w:t>FeMIMO</w:t>
      </w:r>
      <w:proofErr w:type="spellEnd"/>
      <w:r w:rsidRPr="00D037BE">
        <w:rPr>
          <w:rFonts w:ascii="Times New Roman" w:hAnsi="Times New Roman" w:cs="Times New Roman"/>
          <w:sz w:val="20"/>
          <w:szCs w:val="20"/>
        </w:rPr>
        <w:t xml:space="preserve"> RRM core requirement maintenance</w:t>
      </w:r>
      <w:r w:rsidR="002249BA" w:rsidRPr="00D037BE">
        <w:rPr>
          <w:rFonts w:ascii="Times New Roman" w:hAnsi="Times New Roman" w:cs="Times New Roman"/>
          <w:sz w:val="20"/>
          <w:szCs w:val="20"/>
        </w:rPr>
        <w:t xml:space="preserve">”, Intel.  </w:t>
      </w:r>
    </w:p>
    <w:p w14:paraId="7B3A97C7" w14:textId="1F081594" w:rsidR="000319AB" w:rsidRPr="00D037BE" w:rsidRDefault="0070195A" w:rsidP="002249BA">
      <w:pPr>
        <w:pStyle w:val="ListParagraph"/>
        <w:numPr>
          <w:ilvl w:val="0"/>
          <w:numId w:val="2"/>
        </w:numPr>
        <w:spacing w:after="120"/>
        <w:ind w:firstLineChars="0"/>
        <w:jc w:val="both"/>
        <w:rPr>
          <w:rFonts w:ascii="Times New Roman" w:hAnsi="Times New Roman" w:cs="Times New Roman"/>
          <w:sz w:val="20"/>
          <w:szCs w:val="20"/>
        </w:rPr>
      </w:pPr>
      <w:r w:rsidRPr="0070195A">
        <w:rPr>
          <w:rFonts w:ascii="Times New Roman" w:hAnsi="Times New Roman" w:cs="Times New Roman"/>
          <w:sz w:val="20"/>
          <w:szCs w:val="20"/>
        </w:rPr>
        <w:t>R4-2300251</w:t>
      </w:r>
      <w:r w:rsidR="000319AB" w:rsidRPr="0070195A">
        <w:rPr>
          <w:rFonts w:ascii="Times New Roman" w:hAnsi="Times New Roman" w:cs="Times New Roman"/>
          <w:sz w:val="20"/>
          <w:szCs w:val="20"/>
        </w:rPr>
        <w:t>,</w:t>
      </w:r>
      <w:r w:rsidR="000319AB">
        <w:rPr>
          <w:rFonts w:ascii="Times New Roman" w:hAnsi="Times New Roman" w:cs="Times New Roman"/>
          <w:sz w:val="20"/>
          <w:szCs w:val="20"/>
        </w:rPr>
        <w:t xml:space="preserve"> “</w:t>
      </w:r>
      <w:r w:rsidR="003B67BB" w:rsidRPr="003B67BB">
        <w:rPr>
          <w:rFonts w:ascii="Times New Roman" w:hAnsi="Times New Roman" w:cs="Times New Roman"/>
          <w:sz w:val="20"/>
          <w:szCs w:val="20"/>
        </w:rPr>
        <w:t>CR for Unified TCI State switching requirements</w:t>
      </w:r>
      <w:r w:rsidR="003B67BB">
        <w:rPr>
          <w:rFonts w:ascii="Times New Roman" w:hAnsi="Times New Roman" w:cs="Times New Roman"/>
          <w:sz w:val="20"/>
          <w:szCs w:val="20"/>
        </w:rPr>
        <w:t>”, Apple.</w:t>
      </w:r>
    </w:p>
    <w:p w14:paraId="6A60D705" w14:textId="77777777" w:rsidR="002249BA" w:rsidRPr="00D037BE" w:rsidRDefault="002249BA" w:rsidP="002249BA">
      <w:pPr>
        <w:spacing w:after="120"/>
        <w:rPr>
          <w:sz w:val="20"/>
          <w:szCs w:val="20"/>
        </w:rPr>
      </w:pPr>
    </w:p>
    <w:p w14:paraId="2025BD80" w14:textId="77777777" w:rsidR="002249BA" w:rsidRPr="00D037BE" w:rsidRDefault="002249BA" w:rsidP="002249BA"/>
    <w:sectPr w:rsidR="002249BA" w:rsidRPr="00D037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783AF9"/>
    <w:multiLevelType w:val="hybridMultilevel"/>
    <w:tmpl w:val="596E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7"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171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59338048">
    <w:abstractNumId w:val="3"/>
  </w:num>
  <w:num w:numId="2" w16cid:durableId="1198423226">
    <w:abstractNumId w:val="7"/>
  </w:num>
  <w:num w:numId="3" w16cid:durableId="1064061569">
    <w:abstractNumId w:val="4"/>
  </w:num>
  <w:num w:numId="4" w16cid:durableId="1117142815">
    <w:abstractNumId w:val="0"/>
  </w:num>
  <w:num w:numId="5" w16cid:durableId="1069688094">
    <w:abstractNumId w:val="8"/>
  </w:num>
  <w:num w:numId="6" w16cid:durableId="2044482076">
    <w:abstractNumId w:val="2"/>
  </w:num>
  <w:num w:numId="7" w16cid:durableId="1734084975">
    <w:abstractNumId w:val="1"/>
  </w:num>
  <w:num w:numId="8" w16cid:durableId="630670281">
    <w:abstractNumId w:val="5"/>
  </w:num>
  <w:num w:numId="9" w16cid:durableId="1876381900">
    <w:abstractNumId w:val="9"/>
  </w:num>
  <w:num w:numId="10" w16cid:durableId="18287822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319AB"/>
    <w:rsid w:val="00096420"/>
    <w:rsid w:val="000D4C99"/>
    <w:rsid w:val="000D5873"/>
    <w:rsid w:val="001000DE"/>
    <w:rsid w:val="00104D5D"/>
    <w:rsid w:val="00107AFF"/>
    <w:rsid w:val="00121828"/>
    <w:rsid w:val="001715D4"/>
    <w:rsid w:val="0017238B"/>
    <w:rsid w:val="00177147"/>
    <w:rsid w:val="00190238"/>
    <w:rsid w:val="001B5D0A"/>
    <w:rsid w:val="001C663E"/>
    <w:rsid w:val="00210E45"/>
    <w:rsid w:val="002249BA"/>
    <w:rsid w:val="00283A6A"/>
    <w:rsid w:val="002870EA"/>
    <w:rsid w:val="002A0EBD"/>
    <w:rsid w:val="002E63FC"/>
    <w:rsid w:val="002F4FA3"/>
    <w:rsid w:val="00313712"/>
    <w:rsid w:val="00320E79"/>
    <w:rsid w:val="00322A55"/>
    <w:rsid w:val="003353FD"/>
    <w:rsid w:val="003A7832"/>
    <w:rsid w:val="003B67BB"/>
    <w:rsid w:val="003D2560"/>
    <w:rsid w:val="003E3FE8"/>
    <w:rsid w:val="004571DB"/>
    <w:rsid w:val="00474453"/>
    <w:rsid w:val="004B6849"/>
    <w:rsid w:val="004D1584"/>
    <w:rsid w:val="004E5355"/>
    <w:rsid w:val="0051665C"/>
    <w:rsid w:val="00526314"/>
    <w:rsid w:val="0057184D"/>
    <w:rsid w:val="005A1E50"/>
    <w:rsid w:val="005B410D"/>
    <w:rsid w:val="005D1B1F"/>
    <w:rsid w:val="005F5A7E"/>
    <w:rsid w:val="00604934"/>
    <w:rsid w:val="00605645"/>
    <w:rsid w:val="00626BDE"/>
    <w:rsid w:val="00631307"/>
    <w:rsid w:val="00650529"/>
    <w:rsid w:val="006F6BCA"/>
    <w:rsid w:val="0070195A"/>
    <w:rsid w:val="00775238"/>
    <w:rsid w:val="00787DF9"/>
    <w:rsid w:val="007A3BE1"/>
    <w:rsid w:val="007C626C"/>
    <w:rsid w:val="00800C40"/>
    <w:rsid w:val="00830460"/>
    <w:rsid w:val="0083467F"/>
    <w:rsid w:val="00834C08"/>
    <w:rsid w:val="0087249E"/>
    <w:rsid w:val="0087325A"/>
    <w:rsid w:val="00907EE6"/>
    <w:rsid w:val="00924CB2"/>
    <w:rsid w:val="00932C93"/>
    <w:rsid w:val="00951300"/>
    <w:rsid w:val="00970536"/>
    <w:rsid w:val="009776DC"/>
    <w:rsid w:val="009B4DF5"/>
    <w:rsid w:val="009C1F3F"/>
    <w:rsid w:val="009D596C"/>
    <w:rsid w:val="009F52D7"/>
    <w:rsid w:val="009F5852"/>
    <w:rsid w:val="00A211CC"/>
    <w:rsid w:val="00A37048"/>
    <w:rsid w:val="00A51A5E"/>
    <w:rsid w:val="00A64241"/>
    <w:rsid w:val="00A85F2C"/>
    <w:rsid w:val="00A97DCE"/>
    <w:rsid w:val="00AC413B"/>
    <w:rsid w:val="00AD261E"/>
    <w:rsid w:val="00B00412"/>
    <w:rsid w:val="00B8567C"/>
    <w:rsid w:val="00BA058C"/>
    <w:rsid w:val="00C12F43"/>
    <w:rsid w:val="00C408EE"/>
    <w:rsid w:val="00C94AC7"/>
    <w:rsid w:val="00CB4668"/>
    <w:rsid w:val="00CD0F63"/>
    <w:rsid w:val="00CD6DF1"/>
    <w:rsid w:val="00CE3B90"/>
    <w:rsid w:val="00D037BE"/>
    <w:rsid w:val="00D15D3E"/>
    <w:rsid w:val="00D167C7"/>
    <w:rsid w:val="00D16F3A"/>
    <w:rsid w:val="00DA24C0"/>
    <w:rsid w:val="00DB6943"/>
    <w:rsid w:val="00DC3489"/>
    <w:rsid w:val="00DD0FFF"/>
    <w:rsid w:val="00DF1ED2"/>
    <w:rsid w:val="00E47316"/>
    <w:rsid w:val="00E55591"/>
    <w:rsid w:val="00E5586A"/>
    <w:rsid w:val="00E9138B"/>
    <w:rsid w:val="00EF2642"/>
    <w:rsid w:val="00F07C35"/>
    <w:rsid w:val="00F21D5E"/>
    <w:rsid w:val="00F309F7"/>
    <w:rsid w:val="00F441E8"/>
    <w:rsid w:val="00F555F1"/>
    <w:rsid w:val="00FA70EC"/>
    <w:rsid w:val="00FE78C4"/>
    <w:rsid w:val="00FF2DCA"/>
    <w:rsid w:val="00FF4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docId w15:val="{881406C0-899D-8544-8F25-6DBC21750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rsid w:val="00BA058C"/>
    <w:pPr>
      <w:overflowPunct w:val="0"/>
      <w:autoSpaceDE w:val="0"/>
      <w:autoSpaceDN w:val="0"/>
      <w:adjustRightInd w:val="0"/>
      <w:spacing w:after="180"/>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0319AB"/>
    <w:pPr>
      <w:keepLines/>
      <w:widowControl w:val="0"/>
      <w:overflowPunct w:val="0"/>
      <w:autoSpaceDE w:val="0"/>
      <w:autoSpaceDN w:val="0"/>
      <w:adjustRightInd w:val="0"/>
      <w:spacing w:before="100" w:beforeAutospacing="1" w:after="180"/>
      <w:ind w:left="1135" w:hanging="851"/>
      <w:textAlignment w:val="baseline"/>
    </w:pPr>
  </w:style>
  <w:style w:type="paragraph" w:customStyle="1" w:styleId="B2">
    <w:name w:val="B2"/>
    <w:basedOn w:val="List2"/>
    <w:rsid w:val="000319AB"/>
    <w:pPr>
      <w:overflowPunct w:val="0"/>
      <w:autoSpaceDE w:val="0"/>
      <w:autoSpaceDN w:val="0"/>
      <w:adjustRightInd w:val="0"/>
      <w:spacing w:before="100" w:beforeAutospacing="1" w:after="180"/>
      <w:ind w:left="851" w:hanging="284"/>
      <w:contextualSpacing w:val="0"/>
      <w:textAlignment w:val="baseline"/>
    </w:pPr>
  </w:style>
  <w:style w:type="paragraph" w:customStyle="1" w:styleId="B1">
    <w:name w:val="B1"/>
    <w:basedOn w:val="List"/>
    <w:rsid w:val="000319AB"/>
    <w:pPr>
      <w:overflowPunct w:val="0"/>
      <w:autoSpaceDE w:val="0"/>
      <w:autoSpaceDN w:val="0"/>
      <w:adjustRightInd w:val="0"/>
      <w:spacing w:before="100" w:beforeAutospacing="1" w:after="180"/>
      <w:ind w:left="568" w:hanging="284"/>
      <w:contextualSpacing w:val="0"/>
      <w:textAlignment w:val="baseline"/>
    </w:pPr>
  </w:style>
  <w:style w:type="paragraph" w:styleId="List2">
    <w:name w:val="List 2"/>
    <w:basedOn w:val="Normal"/>
    <w:uiPriority w:val="99"/>
    <w:semiHidden/>
    <w:unhideWhenUsed/>
    <w:rsid w:val="000319AB"/>
    <w:pPr>
      <w:ind w:left="720" w:hanging="360"/>
      <w:contextualSpacing/>
    </w:pPr>
  </w:style>
  <w:style w:type="paragraph" w:styleId="List">
    <w:name w:val="List"/>
    <w:basedOn w:val="Normal"/>
    <w:uiPriority w:val="99"/>
    <w:semiHidden/>
    <w:unhideWhenUsed/>
    <w:rsid w:val="000319A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57977976">
      <w:bodyDiv w:val="1"/>
      <w:marLeft w:val="0"/>
      <w:marRight w:val="0"/>
      <w:marTop w:val="0"/>
      <w:marBottom w:val="0"/>
      <w:divBdr>
        <w:top w:val="none" w:sz="0" w:space="0" w:color="auto"/>
        <w:left w:val="none" w:sz="0" w:space="0" w:color="auto"/>
        <w:bottom w:val="none" w:sz="0" w:space="0" w:color="auto"/>
        <w:right w:val="none" w:sz="0" w:space="0" w:color="auto"/>
      </w:divBdr>
    </w:div>
    <w:div w:id="561528393">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002272231">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70772698">
      <w:bodyDiv w:val="1"/>
      <w:marLeft w:val="0"/>
      <w:marRight w:val="0"/>
      <w:marTop w:val="0"/>
      <w:marBottom w:val="0"/>
      <w:divBdr>
        <w:top w:val="none" w:sz="0" w:space="0" w:color="auto"/>
        <w:left w:val="none" w:sz="0" w:space="0" w:color="auto"/>
        <w:bottom w:val="none" w:sz="0" w:space="0" w:color="auto"/>
        <w:right w:val="none" w:sz="0" w:space="0" w:color="auto"/>
      </w:divBdr>
    </w:div>
    <w:div w:id="1431855813">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790860065">
      <w:bodyDiv w:val="1"/>
      <w:marLeft w:val="0"/>
      <w:marRight w:val="0"/>
      <w:marTop w:val="0"/>
      <w:marBottom w:val="0"/>
      <w:divBdr>
        <w:top w:val="none" w:sz="0" w:space="0" w:color="auto"/>
        <w:left w:val="none" w:sz="0" w:space="0" w:color="auto"/>
        <w:bottom w:val="none" w:sz="0" w:space="0" w:color="auto"/>
        <w:right w:val="none" w:sz="0" w:space="0" w:color="auto"/>
      </w:divBdr>
    </w:div>
    <w:div w:id="1962298227">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1850603">
      <w:bodyDiv w:val="1"/>
      <w:marLeft w:val="0"/>
      <w:marRight w:val="0"/>
      <w:marTop w:val="0"/>
      <w:marBottom w:val="0"/>
      <w:divBdr>
        <w:top w:val="none" w:sz="0" w:space="0" w:color="auto"/>
        <w:left w:val="none" w:sz="0" w:space="0" w:color="auto"/>
        <w:bottom w:val="none" w:sz="0" w:space="0" w:color="auto"/>
        <w:right w:val="none" w:sz="0" w:space="0" w:color="auto"/>
      </w:divBdr>
      <w:divsChild>
        <w:div w:id="49768779">
          <w:marLeft w:val="0"/>
          <w:marRight w:val="0"/>
          <w:marTop w:val="0"/>
          <w:marBottom w:val="0"/>
          <w:divBdr>
            <w:top w:val="none" w:sz="0" w:space="0" w:color="auto"/>
            <w:left w:val="none" w:sz="0" w:space="0" w:color="auto"/>
            <w:bottom w:val="none" w:sz="0" w:space="0" w:color="auto"/>
            <w:right w:val="none" w:sz="0" w:space="0" w:color="auto"/>
          </w:divBdr>
          <w:divsChild>
            <w:div w:id="51076723">
              <w:marLeft w:val="0"/>
              <w:marRight w:val="0"/>
              <w:marTop w:val="0"/>
              <w:marBottom w:val="0"/>
              <w:divBdr>
                <w:top w:val="none" w:sz="0" w:space="0" w:color="auto"/>
                <w:left w:val="none" w:sz="0" w:space="0" w:color="auto"/>
                <w:bottom w:val="none" w:sz="0" w:space="0" w:color="auto"/>
                <w:right w:val="none" w:sz="0" w:space="0" w:color="auto"/>
              </w:divBdr>
              <w:divsChild>
                <w:div w:id="91281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2364</Words>
  <Characters>11799</Characters>
  <Application>Microsoft Office Word</Application>
  <DocSecurity>0</DocSecurity>
  <Lines>1474</Lines>
  <Paragraphs>833</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RAN4_106 (Manasa)</cp:lastModifiedBy>
  <cp:revision>3</cp:revision>
  <dcterms:created xsi:type="dcterms:W3CDTF">2023-02-16T20:03:00Z</dcterms:created>
  <dcterms:modified xsi:type="dcterms:W3CDTF">2023-02-16T20:03:00Z</dcterms:modified>
</cp:coreProperties>
</file>