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D4A7" w14:textId="4DD22A94" w:rsidR="00860955" w:rsidRPr="00CE0424" w:rsidRDefault="00860955" w:rsidP="00860955">
      <w:pPr>
        <w:pStyle w:val="3GPPHeader"/>
        <w:spacing w:after="60"/>
        <w:rPr>
          <w:sz w:val="32"/>
          <w:szCs w:val="32"/>
          <w:highlight w:val="yellow"/>
        </w:rPr>
      </w:pPr>
      <w:r w:rsidRPr="00CE0424">
        <w:t>3GPP TSG-RAN WG</w:t>
      </w:r>
      <w:r>
        <w:t>4</w:t>
      </w:r>
      <w:r w:rsidRPr="00CE0424">
        <w:t xml:space="preserve"> </w:t>
      </w:r>
      <w:r>
        <w:t xml:space="preserve">Meeting </w:t>
      </w:r>
      <w:r w:rsidRPr="00CE0424">
        <w:t>#</w:t>
      </w:r>
      <w:r>
        <w:t>105</w:t>
      </w:r>
      <w:r w:rsidRPr="00CE0424">
        <w:tab/>
      </w:r>
      <w:r w:rsidR="00392979" w:rsidRPr="00392979">
        <w:rPr>
          <w:sz w:val="32"/>
          <w:szCs w:val="32"/>
        </w:rPr>
        <w:t>R4-2219827</w:t>
      </w:r>
    </w:p>
    <w:p w14:paraId="61F0BB25" w14:textId="77777777" w:rsidR="00860955" w:rsidRPr="00CE0424" w:rsidRDefault="00860955" w:rsidP="00860955">
      <w:pPr>
        <w:pStyle w:val="3GPPHeader"/>
      </w:pPr>
      <w:r>
        <w:t>Toulouse, France, November 14</w:t>
      </w:r>
      <w:r w:rsidRPr="009740F8">
        <w:t xml:space="preserve"> – </w:t>
      </w:r>
      <w:r>
        <w:t xml:space="preserve">18 </w:t>
      </w:r>
      <w:r w:rsidRPr="009740F8">
        <w:t>2022</w:t>
      </w:r>
    </w:p>
    <w:p w14:paraId="3086AC07" w14:textId="77777777" w:rsidR="00E90E49" w:rsidRPr="00CE0424" w:rsidRDefault="00E90E49" w:rsidP="00357380">
      <w:pPr>
        <w:pStyle w:val="3GPPHeader"/>
      </w:pPr>
    </w:p>
    <w:p w14:paraId="3982483C" w14:textId="6A70860A"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3C7A0C">
        <w:rPr>
          <w:sz w:val="22"/>
          <w:lang w:val="sv-FI"/>
        </w:rPr>
        <w:t>8.13.4.4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BBAC65F" w:rsidR="00E90E49" w:rsidRPr="00AA2EEF" w:rsidRDefault="003D3C45" w:rsidP="00311702">
      <w:pPr>
        <w:pStyle w:val="3GPPHeader"/>
        <w:rPr>
          <w:sz w:val="22"/>
        </w:rPr>
      </w:pPr>
      <w:r>
        <w:rPr>
          <w:sz w:val="22"/>
        </w:rPr>
        <w:t>Title:</w:t>
      </w:r>
      <w:r w:rsidR="00E90E49" w:rsidRPr="00CE0424">
        <w:rPr>
          <w:sz w:val="22"/>
        </w:rPr>
        <w:tab/>
      </w:r>
      <w:r w:rsidR="00082090" w:rsidRPr="00082090">
        <w:rPr>
          <w:sz w:val="22"/>
        </w:rPr>
        <w:t xml:space="preserve">Discussions on </w:t>
      </w:r>
      <w:r w:rsidR="00D42AA0">
        <w:rPr>
          <w:sz w:val="22"/>
        </w:rPr>
        <w:t>signaling characteristics for ATG</w:t>
      </w:r>
    </w:p>
    <w:p w14:paraId="025260C1" w14:textId="77777777" w:rsidR="00E90E49" w:rsidRPr="00CE0424" w:rsidRDefault="00E90E49" w:rsidP="00D546FF">
      <w:pPr>
        <w:pStyle w:val="3GPPHeader"/>
        <w:rPr>
          <w:sz w:val="22"/>
        </w:rPr>
      </w:pPr>
      <w:r w:rsidRPr="00AA2EEF">
        <w:rPr>
          <w:sz w:val="22"/>
        </w:rPr>
        <w:t>Document for:</w:t>
      </w:r>
      <w:r w:rsidRPr="00AA2EE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381D1E9B" w14:textId="730C4124" w:rsidR="00593E15" w:rsidRPr="007348C3" w:rsidRDefault="00593E15" w:rsidP="00593E15">
      <w:pPr>
        <w:pStyle w:val="BodyText"/>
      </w:pPr>
      <w:bookmarkStart w:id="0" w:name="_Ref178064866"/>
      <w:r>
        <w:t xml:space="preserve">During RAN4#104bis-e meeting, RAN4 discussed requirements for the different procedures involved in signaling characteristics but the progress was quite limited. The outcome of the discussions was summarized in [1]. In this contribution, we discuss and provide our view on those unresolved issues and provide our view. </w:t>
      </w:r>
    </w:p>
    <w:p w14:paraId="60123794" w14:textId="44508DEF" w:rsidR="004000E8" w:rsidRDefault="00230D18" w:rsidP="00CE0424">
      <w:pPr>
        <w:pStyle w:val="Heading1"/>
      </w:pPr>
      <w:r>
        <w:t>2</w:t>
      </w:r>
      <w:r>
        <w:tab/>
      </w:r>
      <w:r w:rsidR="004000E8" w:rsidRPr="00CE0424">
        <w:t>Discussion</w:t>
      </w:r>
      <w:bookmarkEnd w:id="0"/>
    </w:p>
    <w:p w14:paraId="06ADFE14" w14:textId="77777777" w:rsidR="00D24551" w:rsidRDefault="00D24551" w:rsidP="00D24551">
      <w:pPr>
        <w:rPr>
          <w:u w:val="single"/>
          <w:lang w:val="en-GB" w:eastAsia="ja-JP"/>
        </w:rPr>
      </w:pPr>
    </w:p>
    <w:p w14:paraId="5BF8F06C" w14:textId="1D692388" w:rsidR="00D24551" w:rsidRDefault="008F661C" w:rsidP="00D24551">
      <w:pPr>
        <w:rPr>
          <w:u w:val="single"/>
          <w:lang w:val="en-GB" w:eastAsia="ja-JP"/>
        </w:rPr>
      </w:pPr>
      <w:r>
        <w:rPr>
          <w:u w:val="single"/>
          <w:lang w:val="en-GB" w:eastAsia="ja-JP"/>
        </w:rPr>
        <w:t xml:space="preserve">Radio link monitoring </w:t>
      </w:r>
    </w:p>
    <w:p w14:paraId="6C0C3588" w14:textId="051DD144" w:rsidR="00020FF5" w:rsidRDefault="008F661C" w:rsidP="008F661C">
      <w:r w:rsidRPr="00B01D97">
        <w:t>Rel-15 radio link monitoring requirements assume 10 RLM-RS samples for SSB based out-of-sync</w:t>
      </w:r>
      <w:r w:rsidR="001567D3">
        <w:t xml:space="preserve"> </w:t>
      </w:r>
      <w:r w:rsidRPr="00B01D97">
        <w:t xml:space="preserve">evaluation period and 5 RLM-RS samples for SSB based in-sync evaluation period. Similarly, 20 RLM-RS samples for CSI-RS based out-of-sync evaluation period and 10 RLM samples for CSI-RS based in-synch </w:t>
      </w:r>
      <w:r w:rsidR="00B80A5A">
        <w:t xml:space="preserve">are assumed in the </w:t>
      </w:r>
      <w:r w:rsidRPr="00B01D97">
        <w:t>evaluation period, where it is assumed CSI-RS is configured with density 3 and 24 RBs.</w:t>
      </w:r>
      <w:r w:rsidR="00E45B6C">
        <w:t xml:space="preserve"> The ATG UE </w:t>
      </w:r>
      <w:r w:rsidR="002D22E0">
        <w:t xml:space="preserve">is expected to have at least </w:t>
      </w:r>
      <w:r w:rsidR="005519D4">
        <w:t xml:space="preserve">the </w:t>
      </w:r>
      <w:r w:rsidR="002D22E0">
        <w:t>same capability as a legacy NR UE (</w:t>
      </w:r>
      <w:proofErr w:type="gramStart"/>
      <w:r w:rsidR="002D22E0">
        <w:t>e.g.</w:t>
      </w:r>
      <w:proofErr w:type="gramEnd"/>
      <w:r w:rsidR="002D22E0">
        <w:t xml:space="preserve"> Rel-15 NR UE) in terms of number of receive antenna, </w:t>
      </w:r>
      <w:r w:rsidR="009C0647">
        <w:t xml:space="preserve">UE processing etc. </w:t>
      </w:r>
      <w:r w:rsidR="00020FF5">
        <w:t>Therefore,</w:t>
      </w:r>
      <w:r w:rsidR="009C0647">
        <w:t xml:space="preserve"> it is reasonable to assume that the ATG UE can me</w:t>
      </w:r>
      <w:r w:rsidR="0007288B">
        <w:t>e</w:t>
      </w:r>
      <w:r w:rsidR="009C0647">
        <w:t xml:space="preserve">t the </w:t>
      </w:r>
      <w:r w:rsidR="00977EE4">
        <w:t>channel quality accuracy defined for Rel-15 RLM.</w:t>
      </w:r>
      <w:r w:rsidR="00AD49CC">
        <w:t xml:space="preserve"> </w:t>
      </w:r>
    </w:p>
    <w:p w14:paraId="32663096" w14:textId="44012218" w:rsidR="008F661C" w:rsidRDefault="00EF4D56" w:rsidP="008F661C">
      <w:r>
        <w:t xml:space="preserve">However, it </w:t>
      </w:r>
      <w:r w:rsidR="00CB4AEC">
        <w:t xml:space="preserve">is noteworthy that </w:t>
      </w:r>
      <w:r>
        <w:t xml:space="preserve">the Rel-15 RLM evaluations were performed under </w:t>
      </w:r>
      <w:r w:rsidR="0088225C">
        <w:t>channel mode</w:t>
      </w:r>
      <w:r w:rsidR="008149CB">
        <w:t>l</w:t>
      </w:r>
      <w:r w:rsidR="0088225C">
        <w:t>s</w:t>
      </w:r>
      <w:r w:rsidR="000A76E7">
        <w:t xml:space="preserve"> which may be different than the channel models assumed for ATG. More specifically, the Rel-15 RLM performance were studied </w:t>
      </w:r>
      <w:r w:rsidR="00255E55">
        <w:t xml:space="preserve">for </w:t>
      </w:r>
      <w:r w:rsidR="0088225C">
        <w:t>TDLA</w:t>
      </w:r>
      <w:r w:rsidR="00081B5C">
        <w:t xml:space="preserve">30, </w:t>
      </w:r>
      <w:r w:rsidR="00FB7670">
        <w:t>TDLB</w:t>
      </w:r>
      <w:r w:rsidR="00A90E0F">
        <w:t xml:space="preserve">100 and </w:t>
      </w:r>
      <w:r w:rsidR="00A00226">
        <w:t>TDLC300</w:t>
      </w:r>
      <w:r w:rsidR="00255E55">
        <w:t xml:space="preserve"> channel models. If RAN4 agrees to use different channel models for evaluating the </w:t>
      </w:r>
      <w:proofErr w:type="gramStart"/>
      <w:r w:rsidR="00A85DAB">
        <w:t>performance</w:t>
      </w:r>
      <w:proofErr w:type="gramEnd"/>
      <w:r w:rsidR="00A85DAB">
        <w:t xml:space="preserve"> then the RLM requirements need to be revisited.</w:t>
      </w:r>
      <w:r w:rsidR="00535023">
        <w:t xml:space="preserve"> </w:t>
      </w:r>
      <w:proofErr w:type="gramStart"/>
      <w:r w:rsidR="00535023">
        <w:t>Therefor</w:t>
      </w:r>
      <w:r w:rsidR="00A82813">
        <w:t>e</w:t>
      </w:r>
      <w:proofErr w:type="gramEnd"/>
      <w:r w:rsidR="00A82813">
        <w:t xml:space="preserve"> whether the existing </w:t>
      </w:r>
      <w:r w:rsidR="009D710D">
        <w:t xml:space="preserve">NR </w:t>
      </w:r>
      <w:r w:rsidR="00A82813">
        <w:t xml:space="preserve">RLM requirements can be reused for </w:t>
      </w:r>
      <w:r w:rsidR="009D710D">
        <w:t xml:space="preserve">ATG depends on the type of channel model agreed for evaluating the ATG performance which is under RF discussion. </w:t>
      </w:r>
    </w:p>
    <w:p w14:paraId="210C8741" w14:textId="78AD9C01" w:rsidR="00020FF5" w:rsidRDefault="00020FF5" w:rsidP="008F661C"/>
    <w:p w14:paraId="44B3F75C" w14:textId="4E151C9A" w:rsidR="00A875EA" w:rsidRDefault="007250F7" w:rsidP="00A875EA">
      <w:pPr>
        <w:pStyle w:val="Proposal"/>
        <w:ind w:left="1134" w:hanging="1134"/>
      </w:pPr>
      <w:r>
        <w:t xml:space="preserve"> </w:t>
      </w:r>
      <w:bookmarkStart w:id="1" w:name="_Toc118706936"/>
      <w:r w:rsidR="000F12C8">
        <w:t>Revisit ATG RLM requirements based on the channel model to be agreed in RF group</w:t>
      </w:r>
      <w:r w:rsidR="00A4487C">
        <w:t>.</w:t>
      </w:r>
      <w:r w:rsidR="000F12C8">
        <w:t xml:space="preserve"> </w:t>
      </w:r>
      <w:bookmarkEnd w:id="1"/>
    </w:p>
    <w:p w14:paraId="613A4099" w14:textId="77777777" w:rsidR="00C5787F" w:rsidRPr="00C5787F" w:rsidRDefault="00C5787F" w:rsidP="00C5787F">
      <w:pPr>
        <w:rPr>
          <w:lang w:eastAsia="en-GB"/>
        </w:rPr>
      </w:pPr>
    </w:p>
    <w:p w14:paraId="50AF539D" w14:textId="271D2B10" w:rsidR="003B5E4E" w:rsidRDefault="003B5E4E" w:rsidP="003B5E4E">
      <w:pPr>
        <w:rPr>
          <w:u w:val="single"/>
          <w:lang w:val="en-GB" w:eastAsia="ja-JP"/>
        </w:rPr>
      </w:pPr>
      <w:r>
        <w:rPr>
          <w:u w:val="single"/>
          <w:lang w:val="en-GB" w:eastAsia="ja-JP"/>
        </w:rPr>
        <w:t xml:space="preserve">Beam </w:t>
      </w:r>
      <w:r w:rsidR="00E51F85">
        <w:rPr>
          <w:u w:val="single"/>
          <w:lang w:val="en-GB" w:eastAsia="ja-JP"/>
        </w:rPr>
        <w:t xml:space="preserve">failure detection </w:t>
      </w:r>
      <w:r w:rsidR="00681578">
        <w:rPr>
          <w:u w:val="single"/>
          <w:lang w:val="en-GB" w:eastAsia="ja-JP"/>
        </w:rPr>
        <w:t>evaluation period</w:t>
      </w:r>
    </w:p>
    <w:p w14:paraId="6997F322" w14:textId="6116901F" w:rsidR="006D7F37" w:rsidRDefault="00681578" w:rsidP="009A7D6D">
      <w:r w:rsidRPr="00B01D97">
        <w:t>Rel-15 beam failure detection requirements assume the same number of SSB/CSI-RS samples as RLM In-sync to define</w:t>
      </w:r>
      <w:r w:rsidR="004C7AF8">
        <w:t xml:space="preserve"> BFD</w:t>
      </w:r>
      <w:r w:rsidRPr="00B01D97">
        <w:t xml:space="preserve"> evaluation period, that is, 5 samples for SSB based BFD and 10 samples for CSI-RS based BFD (density=3, 24RBs).</w:t>
      </w:r>
      <w:r w:rsidR="00E0083C">
        <w:t xml:space="preserve"> </w:t>
      </w:r>
      <w:r w:rsidR="00B90482">
        <w:t xml:space="preserve">Since the ATG UE is expected to have at least </w:t>
      </w:r>
      <w:r w:rsidR="006E10FE">
        <w:t xml:space="preserve">the </w:t>
      </w:r>
      <w:r w:rsidR="00B90482">
        <w:t>same capability as a legacy NR UE (</w:t>
      </w:r>
      <w:proofErr w:type="gramStart"/>
      <w:r w:rsidR="00B90482">
        <w:t>e.g.</w:t>
      </w:r>
      <w:proofErr w:type="gramEnd"/>
      <w:r w:rsidR="00B90482">
        <w:t xml:space="preserve"> Rel-15 NR UE) in terms of number of receive antenna, UE processing etc.</w:t>
      </w:r>
      <w:r w:rsidR="009A7D6D">
        <w:t xml:space="preserve">, </w:t>
      </w:r>
      <w:r w:rsidR="00B90482">
        <w:t>it is reasonable to assume that the ATG UE can m</w:t>
      </w:r>
      <w:r w:rsidR="00EE0CED">
        <w:t>e</w:t>
      </w:r>
      <w:r w:rsidR="00B90482">
        <w:t xml:space="preserve">et </w:t>
      </w:r>
      <w:r w:rsidR="009A7D6D">
        <w:t xml:space="preserve">BFD based on the same number of samples. </w:t>
      </w:r>
      <w:r w:rsidR="00147262">
        <w:t>However, as mentioned above fo</w:t>
      </w:r>
      <w:r w:rsidR="00E934F3">
        <w:t xml:space="preserve">r the ATG RLM requirements, given that the channel model for ATG scenario is not </w:t>
      </w:r>
      <w:r w:rsidR="00BB2C23">
        <w:lastRenderedPageBreak/>
        <w:t xml:space="preserve">settled whether legacy BFD requirements can be reused depends on the channel model to be agreed in RF group. </w:t>
      </w:r>
    </w:p>
    <w:p w14:paraId="79D87969" w14:textId="00B6BB9B" w:rsidR="007250F7" w:rsidRDefault="007250F7" w:rsidP="009A7D6D"/>
    <w:p w14:paraId="7B036930" w14:textId="353CFD71" w:rsidR="00135AB2" w:rsidRDefault="00135AB2" w:rsidP="00B33FC2">
      <w:pPr>
        <w:pStyle w:val="Proposal"/>
        <w:numPr>
          <w:ilvl w:val="0"/>
          <w:numId w:val="0"/>
        </w:numPr>
        <w:ind w:left="1134"/>
      </w:pPr>
    </w:p>
    <w:p w14:paraId="4103D33C" w14:textId="3DAC2998" w:rsidR="00B33FC2" w:rsidRDefault="00196B98" w:rsidP="000E7793">
      <w:pPr>
        <w:pStyle w:val="Proposal"/>
        <w:ind w:left="1134" w:hanging="1134"/>
      </w:pPr>
      <w:bookmarkStart w:id="2" w:name="_Toc118706937"/>
      <w:r>
        <w:t xml:space="preserve">Revisit ATG </w:t>
      </w:r>
      <w:r w:rsidR="00B00ABF">
        <w:t xml:space="preserve">BFD </w:t>
      </w:r>
      <w:r>
        <w:t>requirements based on the channel model to be agreed in RF group</w:t>
      </w:r>
      <w:r w:rsidR="00B00ABF">
        <w:t>.</w:t>
      </w:r>
      <w:r>
        <w:t xml:space="preserve"> </w:t>
      </w:r>
      <w:bookmarkEnd w:id="2"/>
    </w:p>
    <w:p w14:paraId="4ACB82AF" w14:textId="77777777" w:rsidR="00B33FC2" w:rsidRDefault="00B33FC2" w:rsidP="00B33FC2">
      <w:pPr>
        <w:pStyle w:val="ListParagraph"/>
      </w:pPr>
    </w:p>
    <w:p w14:paraId="3885A636" w14:textId="7C613DE6" w:rsidR="00DD3ED7" w:rsidRDefault="00DD3ED7" w:rsidP="00DF2857">
      <w:pPr>
        <w:pStyle w:val="Proposal"/>
        <w:numPr>
          <w:ilvl w:val="0"/>
          <w:numId w:val="0"/>
        </w:numPr>
        <w:ind w:left="1134"/>
      </w:pPr>
    </w:p>
    <w:p w14:paraId="4166CCE4" w14:textId="4F51B0C3" w:rsidR="007F657D" w:rsidRDefault="007F657D" w:rsidP="007F657D">
      <w:r w:rsidRPr="00B01D97">
        <w:t xml:space="preserve">After UE detects </w:t>
      </w:r>
      <w:r w:rsidR="00F742A6">
        <w:t>a</w:t>
      </w:r>
      <w:r w:rsidRPr="00B01D97">
        <w:t xml:space="preserve"> beam failure, </w:t>
      </w:r>
      <w:r w:rsidR="00F742A6">
        <w:t>the UE is r</w:t>
      </w:r>
      <w:r w:rsidR="00A61737">
        <w:t>e</w:t>
      </w:r>
      <w:r w:rsidR="00F742A6">
        <w:t xml:space="preserve">quired to </w:t>
      </w:r>
      <w:r w:rsidRPr="00B01D97">
        <w:t xml:space="preserve">find the candidate beam whose L1-RSRP exceeds the configured threshold. Rel-15 candidate beam detection and L1-RSRP measurements assume 3 samples for both SSB </w:t>
      </w:r>
      <w:proofErr w:type="gramStart"/>
      <w:r w:rsidRPr="00B01D97">
        <w:t>based</w:t>
      </w:r>
      <w:proofErr w:type="gramEnd"/>
      <w:r w:rsidRPr="00B01D97">
        <w:t xml:space="preserve"> and CSI-RS based L1-RSRP measurements. Note the evaluation period is set based on 1 sample when </w:t>
      </w:r>
      <w:proofErr w:type="spellStart"/>
      <w:r w:rsidRPr="00B01D97">
        <w:t>gNB</w:t>
      </w:r>
      <w:proofErr w:type="spellEnd"/>
      <w:r w:rsidRPr="00B01D97">
        <w:t xml:space="preserve"> configures the </w:t>
      </w:r>
      <w:proofErr w:type="spellStart"/>
      <w:r w:rsidRPr="00B01D97">
        <w:rPr>
          <w:i/>
          <w:iCs/>
        </w:rPr>
        <w:t>timeRestrictionForChannelMeasurement</w:t>
      </w:r>
      <w:proofErr w:type="spellEnd"/>
      <w:r w:rsidRPr="00B01D97">
        <w:t xml:space="preserve"> according to TS38.214. </w:t>
      </w:r>
      <w:r w:rsidR="00E73C15">
        <w:t xml:space="preserve">For the reasons explained under BFD section above, it is reasonable to assume same number of samples for the CBD. </w:t>
      </w:r>
      <w:r w:rsidR="00027589">
        <w:t>However, as mentioned above for the ATG RLM requirements, given that the channel model for ATG scenario is not settled whether legacy CBD requirements can be reused depends on the channel model to be agreed in RF group.</w:t>
      </w:r>
    </w:p>
    <w:p w14:paraId="634ADA52" w14:textId="6262BE11" w:rsidR="00C66043" w:rsidRDefault="00C66043" w:rsidP="007F657D"/>
    <w:p w14:paraId="5A5DE85F" w14:textId="3CDE4672" w:rsidR="00C532D9" w:rsidRDefault="00027589" w:rsidP="00A36EBF">
      <w:pPr>
        <w:pStyle w:val="Proposal"/>
        <w:ind w:left="1134" w:hanging="1134"/>
      </w:pPr>
      <w:bookmarkStart w:id="3" w:name="_Toc118706938"/>
      <w:r>
        <w:t xml:space="preserve">Revisit ATG CBD requirements based on the channel model to be agreed in RF group. </w:t>
      </w:r>
      <w:bookmarkEnd w:id="3"/>
    </w:p>
    <w:p w14:paraId="32DA8B3E" w14:textId="7B43EF24" w:rsidR="00A36EBF" w:rsidRDefault="00A36EBF" w:rsidP="00A36EBF">
      <w:pPr>
        <w:pStyle w:val="Proposal"/>
        <w:numPr>
          <w:ilvl w:val="0"/>
          <w:numId w:val="0"/>
        </w:numPr>
        <w:ind w:left="1701" w:hanging="1701"/>
      </w:pPr>
    </w:p>
    <w:p w14:paraId="131BD71B" w14:textId="2A9E961E" w:rsidR="00C532D9" w:rsidRDefault="00414200" w:rsidP="0046374F">
      <w:pPr>
        <w:pStyle w:val="Proposal"/>
        <w:ind w:left="1134" w:hanging="1134"/>
      </w:pPr>
      <w:bookmarkStart w:id="4" w:name="_Toc118706939"/>
      <w:r>
        <w:t xml:space="preserve">Revisit ATG L1-RSRP requirements based on the channel model to be agreed in RF group </w:t>
      </w:r>
      <w:bookmarkEnd w:id="4"/>
    </w:p>
    <w:p w14:paraId="3AF55974" w14:textId="77777777" w:rsidR="0046374F" w:rsidRDefault="0046374F" w:rsidP="007F657D"/>
    <w:p w14:paraId="3941E11E" w14:textId="4DCC5DF2" w:rsidR="00C72851" w:rsidRDefault="00101CAD" w:rsidP="007F657D">
      <w:r>
        <w:t xml:space="preserve">The accuracy level of L1-RSRP </w:t>
      </w:r>
      <w:r w:rsidR="00C72851">
        <w:t>belongs to the performance part of the WI and thus the discussions can be postponed.</w:t>
      </w:r>
    </w:p>
    <w:p w14:paraId="34E63D5C" w14:textId="77777777" w:rsidR="00C66043" w:rsidRPr="00B01D97" w:rsidRDefault="00C66043" w:rsidP="007F657D"/>
    <w:p w14:paraId="17617A3E" w14:textId="51CD05C7" w:rsidR="009B670C" w:rsidRDefault="007453AF" w:rsidP="009B670C">
      <w:pPr>
        <w:rPr>
          <w:u w:val="single"/>
          <w:lang w:val="en-GB" w:eastAsia="ja-JP"/>
        </w:rPr>
      </w:pPr>
      <w:r>
        <w:rPr>
          <w:u w:val="single"/>
          <w:lang w:val="en-GB" w:eastAsia="ja-JP"/>
        </w:rPr>
        <w:t xml:space="preserve">Active </w:t>
      </w:r>
      <w:r w:rsidR="009B670C">
        <w:rPr>
          <w:u w:val="single"/>
          <w:lang w:val="en-GB" w:eastAsia="ja-JP"/>
        </w:rPr>
        <w:t>BWP switching requirements</w:t>
      </w:r>
    </w:p>
    <w:p w14:paraId="2392F319" w14:textId="77777777" w:rsidR="007453AF" w:rsidRDefault="007453AF" w:rsidP="007453AF">
      <w:pPr>
        <w:rPr>
          <w:lang w:eastAsia="x-none"/>
        </w:rPr>
      </w:pPr>
      <w:r w:rsidRPr="00380DBD">
        <w:rPr>
          <w:lang w:eastAsia="x-none"/>
        </w:rPr>
        <w:t>The active BWP switching r</w:t>
      </w:r>
      <w:r>
        <w:rPr>
          <w:lang w:eastAsia="x-none"/>
        </w:rPr>
        <w:t>equirements comprises of the following various types of requirements:</w:t>
      </w:r>
    </w:p>
    <w:p w14:paraId="5784BA28" w14:textId="20B87173" w:rsidR="007453AF" w:rsidRDefault="007453AF" w:rsidP="007453AF">
      <w:pPr>
        <w:numPr>
          <w:ilvl w:val="0"/>
          <w:numId w:val="29"/>
        </w:numPr>
        <w:spacing w:after="120" w:line="240" w:lineRule="auto"/>
        <w:ind w:left="357" w:hanging="357"/>
        <w:rPr>
          <w:lang w:eastAsia="x-none"/>
        </w:rPr>
      </w:pPr>
      <w:r>
        <w:rPr>
          <w:lang w:eastAsia="x-none"/>
        </w:rPr>
        <w:t>Active BWP switching delay defined in section 8.6</w:t>
      </w:r>
      <w:r w:rsidR="00636666">
        <w:rPr>
          <w:lang w:eastAsia="x-none"/>
        </w:rPr>
        <w:t xml:space="preserve"> in TS 38.133</w:t>
      </w:r>
    </w:p>
    <w:p w14:paraId="19E67397" w14:textId="5B4FBE6F" w:rsidR="007453AF" w:rsidRDefault="007453AF" w:rsidP="007453AF">
      <w:pPr>
        <w:numPr>
          <w:ilvl w:val="0"/>
          <w:numId w:val="29"/>
        </w:numPr>
        <w:spacing w:after="120" w:line="240" w:lineRule="auto"/>
        <w:ind w:left="357" w:hanging="357"/>
        <w:rPr>
          <w:lang w:eastAsia="x-none"/>
        </w:rPr>
      </w:pPr>
      <w:r>
        <w:rPr>
          <w:lang w:eastAsia="x-none"/>
        </w:rPr>
        <w:t>Scheduling restriction during the active BWP switching delay defined in section 8.6</w:t>
      </w:r>
      <w:r w:rsidR="00636666">
        <w:rPr>
          <w:lang w:eastAsia="x-none"/>
        </w:rPr>
        <w:t xml:space="preserve"> in TS 38.133</w:t>
      </w:r>
    </w:p>
    <w:p w14:paraId="38ED2047" w14:textId="77777777" w:rsidR="007453AF" w:rsidRDefault="007453AF" w:rsidP="007453AF">
      <w:pPr>
        <w:numPr>
          <w:ilvl w:val="0"/>
          <w:numId w:val="29"/>
        </w:numPr>
        <w:spacing w:after="120" w:line="240" w:lineRule="auto"/>
        <w:ind w:left="357" w:hanging="357"/>
        <w:rPr>
          <w:lang w:eastAsia="x-none"/>
        </w:rPr>
      </w:pPr>
      <w:r>
        <w:rPr>
          <w:lang w:eastAsia="x-none"/>
        </w:rPr>
        <w:t xml:space="preserve">Interruption due to active BWP switching on other NR serving cells in section 8.2, TS 38.133 (for EN-DC, </w:t>
      </w:r>
      <w:proofErr w:type="gramStart"/>
      <w:r>
        <w:rPr>
          <w:lang w:eastAsia="x-none"/>
        </w:rPr>
        <w:t>SA</w:t>
      </w:r>
      <w:proofErr w:type="gramEnd"/>
      <w:r>
        <w:rPr>
          <w:lang w:eastAsia="x-none"/>
        </w:rPr>
        <w:t xml:space="preserve"> and NE-DC).</w:t>
      </w:r>
    </w:p>
    <w:p w14:paraId="7BFC1503" w14:textId="77777777" w:rsidR="007453AF" w:rsidRDefault="007453AF" w:rsidP="007453AF">
      <w:pPr>
        <w:numPr>
          <w:ilvl w:val="0"/>
          <w:numId w:val="29"/>
        </w:numPr>
        <w:spacing w:after="120" w:line="240" w:lineRule="auto"/>
        <w:ind w:left="357" w:hanging="357"/>
        <w:rPr>
          <w:lang w:eastAsia="x-none"/>
        </w:rPr>
      </w:pPr>
      <w:r>
        <w:rPr>
          <w:lang w:eastAsia="x-none"/>
        </w:rPr>
        <w:t>Interruption due to active BWP switching on LTE serving cells in sections 7.32.2.7 and 7.36.2.6, TS 36.133 (for EN-DC and NE-DC respectively).</w:t>
      </w:r>
    </w:p>
    <w:p w14:paraId="096459D3" w14:textId="19F7EB44" w:rsidR="000B27FA" w:rsidRDefault="008D6F58" w:rsidP="009B670C">
      <w:pPr>
        <w:rPr>
          <w:lang w:val="en-GB" w:eastAsia="ja-JP"/>
        </w:rPr>
      </w:pPr>
      <w:r w:rsidRPr="004B37D0">
        <w:rPr>
          <w:lang w:val="en-GB" w:eastAsia="ja-JP"/>
        </w:rPr>
        <w:t xml:space="preserve">For </w:t>
      </w:r>
      <w:r w:rsidR="004B37D0" w:rsidRPr="004B37D0">
        <w:rPr>
          <w:lang w:val="en-GB" w:eastAsia="ja-JP"/>
        </w:rPr>
        <w:t xml:space="preserve">ATG it was agreed at last meeting that CA/DC and inter-RAT related requirements do apply in Rel-18. </w:t>
      </w:r>
      <w:proofErr w:type="gramStart"/>
      <w:r w:rsidR="00E606C3">
        <w:rPr>
          <w:lang w:val="en-GB" w:eastAsia="ja-JP"/>
        </w:rPr>
        <w:t>Therefor</w:t>
      </w:r>
      <w:r w:rsidR="00575C35">
        <w:rPr>
          <w:lang w:val="en-GB" w:eastAsia="ja-JP"/>
        </w:rPr>
        <w:t>e</w:t>
      </w:r>
      <w:proofErr w:type="gramEnd"/>
      <w:r w:rsidR="00575C35">
        <w:rPr>
          <w:lang w:val="en-GB" w:eastAsia="ja-JP"/>
        </w:rPr>
        <w:t xml:space="preserve"> the simultaneous and non-simultaneous BWP switching </w:t>
      </w:r>
      <w:r w:rsidR="00946AE0">
        <w:rPr>
          <w:lang w:val="en-GB" w:eastAsia="ja-JP"/>
        </w:rPr>
        <w:t xml:space="preserve">on multiple CCs </w:t>
      </w:r>
      <w:r w:rsidR="00575C35">
        <w:rPr>
          <w:lang w:val="en-GB" w:eastAsia="ja-JP"/>
        </w:rPr>
        <w:t xml:space="preserve">requirements that were introduced in Rel-16 are not relevant for ATG. </w:t>
      </w:r>
      <w:r w:rsidR="00827898">
        <w:rPr>
          <w:lang w:val="en-GB" w:eastAsia="ja-JP"/>
        </w:rPr>
        <w:t>Also,</w:t>
      </w:r>
      <w:r w:rsidR="00575C35">
        <w:rPr>
          <w:lang w:val="en-GB" w:eastAsia="ja-JP"/>
        </w:rPr>
        <w:t xml:space="preserve"> </w:t>
      </w:r>
      <w:r w:rsidR="004B37D0">
        <w:rPr>
          <w:lang w:val="en-GB" w:eastAsia="ja-JP"/>
        </w:rPr>
        <w:t xml:space="preserve">the interruption </w:t>
      </w:r>
      <w:r w:rsidR="00CC0265">
        <w:rPr>
          <w:lang w:val="en-GB" w:eastAsia="ja-JP"/>
        </w:rPr>
        <w:t xml:space="preserve">part of the active BWP switching </w:t>
      </w:r>
      <w:r w:rsidR="004B37D0">
        <w:rPr>
          <w:lang w:val="en-GB" w:eastAsia="ja-JP"/>
        </w:rPr>
        <w:t>requirements are not relevant</w:t>
      </w:r>
      <w:r w:rsidR="00CC0265">
        <w:rPr>
          <w:lang w:val="en-GB" w:eastAsia="ja-JP"/>
        </w:rPr>
        <w:t xml:space="preserve"> for ATG</w:t>
      </w:r>
      <w:r w:rsidR="001F309D">
        <w:rPr>
          <w:lang w:val="en-GB" w:eastAsia="ja-JP"/>
        </w:rPr>
        <w:t xml:space="preserve">. </w:t>
      </w:r>
      <w:r w:rsidR="000B27FA">
        <w:rPr>
          <w:lang w:val="en-GB" w:eastAsia="ja-JP"/>
        </w:rPr>
        <w:t>For the BWP switching delay and scheduling restriction</w:t>
      </w:r>
      <w:r w:rsidR="00BC7D42">
        <w:rPr>
          <w:lang w:val="en-GB" w:eastAsia="ja-JP"/>
        </w:rPr>
        <w:t xml:space="preserve"> parts, no ATG specific impact is expected</w:t>
      </w:r>
      <w:r w:rsidR="00B82A67">
        <w:rPr>
          <w:lang w:val="en-GB" w:eastAsia="ja-JP"/>
        </w:rPr>
        <w:t xml:space="preserve"> due to the higher speed. It can also be noted that BWP switching delay requirements for HST is </w:t>
      </w:r>
      <w:r w:rsidR="000E135F">
        <w:rPr>
          <w:lang w:val="en-GB" w:eastAsia="ja-JP"/>
        </w:rPr>
        <w:t xml:space="preserve">the </w:t>
      </w:r>
      <w:r w:rsidR="00B82A67">
        <w:rPr>
          <w:lang w:val="en-GB" w:eastAsia="ja-JP"/>
        </w:rPr>
        <w:t xml:space="preserve">same as for legacy NR. </w:t>
      </w:r>
    </w:p>
    <w:p w14:paraId="15364567" w14:textId="77777777" w:rsidR="00337D9F" w:rsidRDefault="00337D9F" w:rsidP="00CC0265">
      <w:pPr>
        <w:pStyle w:val="Caption"/>
        <w:ind w:left="1134" w:hanging="1134"/>
      </w:pPr>
    </w:p>
    <w:p w14:paraId="46C1CFB3" w14:textId="20F1CD73" w:rsidR="00350E57" w:rsidRDefault="00350E57" w:rsidP="00350E57">
      <w:pPr>
        <w:pStyle w:val="Proposal"/>
        <w:ind w:left="1134" w:hanging="1134"/>
      </w:pPr>
      <w:bookmarkStart w:id="5" w:name="_Toc118706940"/>
      <w:r>
        <w:t>Existing active BWP switching requirements</w:t>
      </w:r>
      <w:r w:rsidR="00827898">
        <w:t xml:space="preserve"> (excluding </w:t>
      </w:r>
      <w:r w:rsidR="00946AE0">
        <w:t>simultaneous</w:t>
      </w:r>
      <w:r w:rsidR="00827898">
        <w:t xml:space="preserve"> and non-</w:t>
      </w:r>
      <w:r w:rsidR="00946AE0">
        <w:t>simultaneous</w:t>
      </w:r>
      <w:r w:rsidR="00827898">
        <w:t xml:space="preserve"> BWP switching delay</w:t>
      </w:r>
      <w:r w:rsidR="00946AE0">
        <w:t xml:space="preserve"> on multiple CCs</w:t>
      </w:r>
      <w:r w:rsidR="00827898">
        <w:t>)</w:t>
      </w:r>
      <w:r>
        <w:t xml:space="preserve"> are reused for ATG.</w:t>
      </w:r>
      <w:bookmarkEnd w:id="5"/>
    </w:p>
    <w:p w14:paraId="233739B2" w14:textId="77777777" w:rsidR="004B37D0" w:rsidRPr="004B37D0" w:rsidRDefault="004B37D0" w:rsidP="009B670C">
      <w:pPr>
        <w:rPr>
          <w:lang w:val="en-GB" w:eastAsia="ja-JP"/>
        </w:rPr>
      </w:pPr>
    </w:p>
    <w:p w14:paraId="2F2AB6FB" w14:textId="77777777" w:rsidR="00B84304" w:rsidRDefault="00B84304" w:rsidP="00B84304">
      <w:pPr>
        <w:rPr>
          <w:b/>
          <w:szCs w:val="20"/>
          <w:u w:val="single"/>
          <w:lang w:eastAsia="ko-KR"/>
        </w:rPr>
      </w:pPr>
    </w:p>
    <w:p w14:paraId="4F9670D6" w14:textId="53D9A776" w:rsidR="00B84304" w:rsidRDefault="00B84304" w:rsidP="00B84304">
      <w:pPr>
        <w:rPr>
          <w:b/>
          <w:szCs w:val="20"/>
          <w:u w:val="single"/>
          <w:lang w:eastAsia="ko-KR"/>
        </w:rPr>
      </w:pPr>
      <w:r>
        <w:rPr>
          <w:b/>
          <w:szCs w:val="20"/>
          <w:u w:val="single"/>
          <w:lang w:eastAsia="ko-KR"/>
        </w:rPr>
        <w:t xml:space="preserve">Uplink spatial </w:t>
      </w:r>
      <w:r w:rsidR="00C65968">
        <w:rPr>
          <w:b/>
          <w:szCs w:val="20"/>
          <w:u w:val="single"/>
          <w:lang w:eastAsia="ko-KR"/>
        </w:rPr>
        <w:t xml:space="preserve">relation </w:t>
      </w:r>
      <w:r>
        <w:rPr>
          <w:b/>
          <w:szCs w:val="20"/>
          <w:u w:val="single"/>
          <w:lang w:eastAsia="ko-KR"/>
        </w:rPr>
        <w:t>switch delay</w:t>
      </w:r>
    </w:p>
    <w:p w14:paraId="59E007B6" w14:textId="4E19524D" w:rsidR="008E0CCF" w:rsidRPr="001C3815" w:rsidRDefault="004B2E1A" w:rsidP="00174166">
      <w:pPr>
        <w:rPr>
          <w:color w:val="000000" w:themeColor="text1"/>
          <w:lang w:val="en-GB" w:eastAsia="ja-JP"/>
        </w:rPr>
      </w:pPr>
      <w:r w:rsidRPr="001C3815">
        <w:rPr>
          <w:color w:val="000000" w:themeColor="text1"/>
          <w:lang w:val="en-GB" w:eastAsia="ja-JP"/>
        </w:rPr>
        <w:lastRenderedPageBreak/>
        <w:t xml:space="preserve">RAN4 discussed whether to introduce requirements for uplink spatial </w:t>
      </w:r>
      <w:r w:rsidR="00C65968" w:rsidRPr="001C3815">
        <w:rPr>
          <w:color w:val="000000" w:themeColor="text1"/>
          <w:lang w:val="en-GB" w:eastAsia="ja-JP"/>
        </w:rPr>
        <w:t xml:space="preserve">relation </w:t>
      </w:r>
      <w:r w:rsidRPr="001C3815">
        <w:rPr>
          <w:color w:val="000000" w:themeColor="text1"/>
          <w:lang w:val="en-GB" w:eastAsia="ja-JP"/>
        </w:rPr>
        <w:t xml:space="preserve">switch delay for ATG, and the views were </w:t>
      </w:r>
      <w:r w:rsidR="00C91FD8" w:rsidRPr="001C3815">
        <w:rPr>
          <w:color w:val="000000" w:themeColor="text1"/>
          <w:lang w:val="en-GB" w:eastAsia="ja-JP"/>
        </w:rPr>
        <w:t xml:space="preserve">quite diverse </w:t>
      </w:r>
      <w:r w:rsidR="003C3824" w:rsidRPr="001C3815">
        <w:rPr>
          <w:color w:val="000000" w:themeColor="text1"/>
          <w:lang w:val="en-GB" w:eastAsia="ja-JP"/>
        </w:rPr>
        <w:t xml:space="preserve">as shown below </w:t>
      </w:r>
      <w:r w:rsidR="00C91FD8" w:rsidRPr="001C3815">
        <w:rPr>
          <w:color w:val="000000" w:themeColor="text1"/>
          <w:lang w:val="en-GB" w:eastAsia="ja-JP"/>
        </w:rPr>
        <w:t>[1]:</w:t>
      </w:r>
    </w:p>
    <w:tbl>
      <w:tblPr>
        <w:tblStyle w:val="TableGrid"/>
        <w:tblW w:w="0" w:type="auto"/>
        <w:tblLook w:val="04A0" w:firstRow="1" w:lastRow="0" w:firstColumn="1" w:lastColumn="0" w:noHBand="0" w:noVBand="1"/>
      </w:tblPr>
      <w:tblGrid>
        <w:gridCol w:w="9629"/>
      </w:tblGrid>
      <w:tr w:rsidR="006B236B" w14:paraId="6161F912" w14:textId="77777777" w:rsidTr="006B236B">
        <w:tc>
          <w:tcPr>
            <w:tcW w:w="9629" w:type="dxa"/>
          </w:tcPr>
          <w:p w14:paraId="03A8F8AD" w14:textId="77777777" w:rsidR="003C3824" w:rsidRDefault="003C3824" w:rsidP="003C3824">
            <w:pPr>
              <w:rPr>
                <w:rFonts w:eastAsia="Malgun Gothic"/>
                <w:b/>
                <w:sz w:val="20"/>
                <w:szCs w:val="20"/>
                <w:u w:val="single"/>
                <w:lang w:eastAsia="ko-KR"/>
              </w:rPr>
            </w:pPr>
            <w:r w:rsidRPr="00322B2B">
              <w:rPr>
                <w:rFonts w:eastAsia="Malgun Gothic"/>
                <w:b/>
                <w:sz w:val="20"/>
                <w:szCs w:val="20"/>
                <w:u w:val="single"/>
                <w:lang w:eastAsia="ko-KR"/>
              </w:rPr>
              <w:t>Issue 4-1-7: Uplink spatial relation switch delay</w:t>
            </w:r>
          </w:p>
          <w:p w14:paraId="0458AF56" w14:textId="77777777" w:rsidR="003C3824" w:rsidRPr="00904E64" w:rsidRDefault="003C3824" w:rsidP="003C3824">
            <w:pPr>
              <w:numPr>
                <w:ilvl w:val="0"/>
                <w:numId w:val="23"/>
              </w:numPr>
              <w:spacing w:after="0" w:line="240" w:lineRule="auto"/>
              <w:ind w:left="935" w:hanging="357"/>
              <w:rPr>
                <w:rFonts w:eastAsia="SimSun"/>
                <w:sz w:val="20"/>
                <w:szCs w:val="20"/>
              </w:rPr>
            </w:pPr>
            <w:r w:rsidRPr="00904E64">
              <w:rPr>
                <w:rFonts w:eastAsia="SimSun"/>
                <w:sz w:val="20"/>
                <w:szCs w:val="20"/>
              </w:rPr>
              <w:t xml:space="preserve">Option 1: Uplink spatial relation switch delay requirement will not be applicable for R18 ATG. (CMCC, ZTE) </w:t>
            </w:r>
          </w:p>
          <w:p w14:paraId="48AE4A37" w14:textId="0CA70CE2" w:rsidR="006B236B" w:rsidRPr="00A7383D" w:rsidRDefault="003C3824" w:rsidP="00A7383D">
            <w:pPr>
              <w:numPr>
                <w:ilvl w:val="0"/>
                <w:numId w:val="23"/>
              </w:numPr>
              <w:spacing w:after="0" w:line="240" w:lineRule="auto"/>
              <w:ind w:left="935" w:hanging="357"/>
              <w:rPr>
                <w:rFonts w:eastAsia="SimSun"/>
                <w:sz w:val="20"/>
                <w:szCs w:val="20"/>
              </w:rPr>
            </w:pPr>
            <w:r w:rsidRPr="00904E64">
              <w:rPr>
                <w:rFonts w:eastAsia="SimSun"/>
                <w:sz w:val="20"/>
                <w:szCs w:val="20"/>
              </w:rPr>
              <w:t xml:space="preserve">Option 2: </w:t>
            </w:r>
            <w:r w:rsidRPr="00904E64">
              <w:rPr>
                <w:rFonts w:eastAsia="SimSun" w:hint="eastAsia"/>
                <w:sz w:val="20"/>
                <w:szCs w:val="20"/>
              </w:rPr>
              <w:t>Reusing legacy requirements of</w:t>
            </w:r>
            <w:r w:rsidRPr="00904E64">
              <w:rPr>
                <w:rFonts w:eastAsia="SimSun"/>
                <w:sz w:val="20"/>
                <w:szCs w:val="20"/>
              </w:rPr>
              <w:t xml:space="preserve"> </w:t>
            </w:r>
            <w:r w:rsidRPr="00904E64">
              <w:rPr>
                <w:rFonts w:eastAsia="SimSun" w:hint="eastAsia"/>
                <w:sz w:val="20"/>
                <w:szCs w:val="20"/>
              </w:rPr>
              <w:t xml:space="preserve">spatial relation switching </w:t>
            </w:r>
            <w:r w:rsidRPr="00904E64">
              <w:rPr>
                <w:rFonts w:eastAsia="SimSun"/>
                <w:sz w:val="20"/>
                <w:szCs w:val="20"/>
              </w:rPr>
              <w:t>for ATG. (Ericsson, CATT)</w:t>
            </w:r>
          </w:p>
        </w:tc>
      </w:tr>
    </w:tbl>
    <w:p w14:paraId="2DCF0310" w14:textId="69A3947E" w:rsidR="00C91FD8" w:rsidRDefault="00C91FD8" w:rsidP="00174166">
      <w:pPr>
        <w:rPr>
          <w:color w:val="FF0000"/>
          <w:lang w:val="en-GB" w:eastAsia="ja-JP"/>
        </w:rPr>
      </w:pPr>
    </w:p>
    <w:p w14:paraId="52DD599F" w14:textId="3F81CD8E" w:rsidR="00C65968" w:rsidRPr="001C3815" w:rsidRDefault="00C65968" w:rsidP="00174166">
      <w:pPr>
        <w:rPr>
          <w:color w:val="000000" w:themeColor="text1"/>
          <w:lang w:val="en-GB" w:eastAsia="ja-JP"/>
        </w:rPr>
      </w:pPr>
      <w:r w:rsidRPr="001C3815">
        <w:rPr>
          <w:color w:val="000000" w:themeColor="text1"/>
          <w:lang w:val="en-GB" w:eastAsia="ja-JP"/>
        </w:rPr>
        <w:t>It was argued by some companies that uplink spatial relatio</w:t>
      </w:r>
      <w:r w:rsidR="002C5754" w:rsidRPr="001C3815">
        <w:rPr>
          <w:color w:val="000000" w:themeColor="text1"/>
          <w:lang w:val="en-GB" w:eastAsia="ja-JP"/>
        </w:rPr>
        <w:t xml:space="preserve">n switch requirements apply only for FR2 and RAN4 does not need define requirements for this procedure for ATG since FR2 is not supported. </w:t>
      </w:r>
      <w:r w:rsidR="00493805" w:rsidRPr="001C3815">
        <w:rPr>
          <w:color w:val="000000" w:themeColor="text1"/>
          <w:lang w:val="en-GB" w:eastAsia="ja-JP"/>
        </w:rPr>
        <w:t xml:space="preserve">Our view, on the other hand, is that the RAN4 spatial relation switch requirements are generic and apply to both FR1 and FR2. </w:t>
      </w:r>
      <w:r w:rsidR="00EA0C9E" w:rsidRPr="001C3815">
        <w:rPr>
          <w:color w:val="000000" w:themeColor="text1"/>
          <w:lang w:val="en-GB" w:eastAsia="ja-JP"/>
        </w:rPr>
        <w:t xml:space="preserve">It is also noted that RAN4 defined uplink spatial relation switch requirements for NTN </w:t>
      </w:r>
      <w:r w:rsidR="00B3739F" w:rsidRPr="001C3815">
        <w:rPr>
          <w:color w:val="000000" w:themeColor="text1"/>
          <w:lang w:val="en-GB" w:eastAsia="ja-JP"/>
        </w:rPr>
        <w:t xml:space="preserve">where FR2 is not supported, see for example section </w:t>
      </w:r>
      <w:r w:rsidR="00E44767" w:rsidRPr="001C3815">
        <w:rPr>
          <w:color w:val="000000" w:themeColor="text1"/>
          <w:lang w:val="en-GB" w:eastAsia="ja-JP"/>
        </w:rPr>
        <w:t xml:space="preserve">8.12C in TS 38.133. </w:t>
      </w:r>
      <w:proofErr w:type="gramStart"/>
      <w:r w:rsidR="00857AFA" w:rsidRPr="001C3815">
        <w:rPr>
          <w:color w:val="000000" w:themeColor="text1"/>
          <w:lang w:val="en-GB" w:eastAsia="ja-JP"/>
        </w:rPr>
        <w:t>Similar to</w:t>
      </w:r>
      <w:proofErr w:type="gramEnd"/>
      <w:r w:rsidR="00857AFA" w:rsidRPr="001C3815">
        <w:rPr>
          <w:color w:val="000000" w:themeColor="text1"/>
          <w:lang w:val="en-GB" w:eastAsia="ja-JP"/>
        </w:rPr>
        <w:t xml:space="preserve"> the </w:t>
      </w:r>
      <w:r w:rsidR="00D57AE8" w:rsidRPr="001C3815">
        <w:rPr>
          <w:color w:val="000000" w:themeColor="text1"/>
          <w:lang w:val="en-GB" w:eastAsia="ja-JP"/>
        </w:rPr>
        <w:t xml:space="preserve">active TCI switching delay requirements, </w:t>
      </w:r>
      <w:r w:rsidR="00857AFA" w:rsidRPr="001C3815">
        <w:rPr>
          <w:color w:val="000000" w:themeColor="text1"/>
          <w:lang w:val="en-GB" w:eastAsia="ja-JP"/>
        </w:rPr>
        <w:t xml:space="preserve">which are reused from the legacy, </w:t>
      </w:r>
      <w:r w:rsidR="00D57AE8" w:rsidRPr="001C3815">
        <w:rPr>
          <w:color w:val="000000" w:themeColor="text1"/>
          <w:lang w:val="en-GB" w:eastAsia="ja-JP"/>
        </w:rPr>
        <w:t xml:space="preserve">the current active spatial relation switch requirements can be reused. </w:t>
      </w:r>
    </w:p>
    <w:p w14:paraId="6FE588EC" w14:textId="318D81B9" w:rsidR="008724A2" w:rsidRDefault="00DA2E82" w:rsidP="008724A2">
      <w:pPr>
        <w:pStyle w:val="Proposal"/>
        <w:ind w:left="1134" w:hanging="1134"/>
      </w:pPr>
      <w:bookmarkStart w:id="6" w:name="_Toc118706941"/>
      <w:r>
        <w:t>The NR legacy</w:t>
      </w:r>
      <w:r w:rsidR="00F94108">
        <w:t xml:space="preserve"> requirements on </w:t>
      </w:r>
      <w:r w:rsidR="00013596">
        <w:t xml:space="preserve">uplink spatial relation switch </w:t>
      </w:r>
      <w:proofErr w:type="gramStart"/>
      <w:r w:rsidR="008724A2">
        <w:t>requirements  are</w:t>
      </w:r>
      <w:proofErr w:type="gramEnd"/>
      <w:r w:rsidR="008724A2">
        <w:t xml:space="preserve"> reused for ATG.</w:t>
      </w:r>
      <w:bookmarkEnd w:id="6"/>
    </w:p>
    <w:p w14:paraId="640607DF" w14:textId="77777777" w:rsidR="002E6147" w:rsidRDefault="002E6147" w:rsidP="00174166">
      <w:pPr>
        <w:rPr>
          <w:color w:val="FF0000"/>
          <w:lang w:val="en-GB" w:eastAsia="ja-JP"/>
        </w:rPr>
      </w:pPr>
    </w:p>
    <w:p w14:paraId="09FF2C28" w14:textId="2602248C" w:rsidR="001A54A8" w:rsidRDefault="001A54A8" w:rsidP="00B30487"/>
    <w:p w14:paraId="3B40E6E7" w14:textId="36BE1CFB" w:rsidR="007D01B8" w:rsidRPr="001C3815" w:rsidRDefault="007D01B8" w:rsidP="00B30487">
      <w:pPr>
        <w:rPr>
          <w:b/>
          <w:szCs w:val="20"/>
          <w:u w:val="single"/>
          <w:lang w:eastAsia="ko-KR"/>
        </w:rPr>
      </w:pPr>
      <w:r w:rsidRPr="0033465B">
        <w:rPr>
          <w:b/>
          <w:szCs w:val="20"/>
          <w:u w:val="single"/>
          <w:lang w:eastAsia="ko-KR"/>
        </w:rPr>
        <w:t>Pathloss reference signal switching delay</w:t>
      </w:r>
    </w:p>
    <w:p w14:paraId="3C606C2D" w14:textId="788C2B04" w:rsidR="006533BB" w:rsidRPr="001C3815" w:rsidRDefault="00267515" w:rsidP="00B30487">
      <w:pPr>
        <w:rPr>
          <w:bCs/>
          <w:szCs w:val="20"/>
          <w:lang w:eastAsia="ko-KR"/>
        </w:rPr>
      </w:pPr>
      <w:r w:rsidRPr="001C3815">
        <w:rPr>
          <w:bCs/>
          <w:szCs w:val="20"/>
          <w:lang w:eastAsia="ko-KR"/>
        </w:rPr>
        <w:t xml:space="preserve">RAN4 discussed whether </w:t>
      </w:r>
      <w:r w:rsidR="00D77ED5" w:rsidRPr="001C3815">
        <w:rPr>
          <w:bCs/>
          <w:szCs w:val="20"/>
          <w:lang w:eastAsia="ko-KR"/>
        </w:rPr>
        <w:t xml:space="preserve">to </w:t>
      </w:r>
      <w:r w:rsidRPr="001C3815">
        <w:rPr>
          <w:bCs/>
          <w:szCs w:val="20"/>
          <w:lang w:eastAsia="ko-KR"/>
        </w:rPr>
        <w:t>define</w:t>
      </w:r>
      <w:r w:rsidR="00D77ED5" w:rsidRPr="0033465B">
        <w:rPr>
          <w:bCs/>
          <w:szCs w:val="20"/>
          <w:lang w:eastAsia="ko-KR"/>
        </w:rPr>
        <w:t xml:space="preserve"> </w:t>
      </w:r>
      <w:r w:rsidRPr="001C3815">
        <w:rPr>
          <w:bCs/>
          <w:szCs w:val="20"/>
          <w:lang w:eastAsia="ko-KR"/>
        </w:rPr>
        <w:t>requirements for pathloss reference signal switching delay which is a Rel-1</w:t>
      </w:r>
      <w:r w:rsidR="003C6B2B" w:rsidRPr="001C3815">
        <w:rPr>
          <w:bCs/>
          <w:szCs w:val="20"/>
          <w:lang w:eastAsia="ko-KR"/>
        </w:rPr>
        <w:t xml:space="preserve">6 </w:t>
      </w:r>
      <w:proofErr w:type="spellStart"/>
      <w:r w:rsidR="003C6B2B" w:rsidRPr="001C3815">
        <w:rPr>
          <w:bCs/>
          <w:szCs w:val="20"/>
          <w:lang w:eastAsia="ko-KR"/>
        </w:rPr>
        <w:t>eMIMO</w:t>
      </w:r>
      <w:proofErr w:type="spellEnd"/>
      <w:r w:rsidR="003C6B2B" w:rsidRPr="001C3815">
        <w:rPr>
          <w:bCs/>
          <w:szCs w:val="20"/>
          <w:lang w:eastAsia="ko-KR"/>
        </w:rPr>
        <w:t xml:space="preserve"> feature</w:t>
      </w:r>
      <w:r w:rsidR="006533BB" w:rsidRPr="0033465B">
        <w:rPr>
          <w:bCs/>
          <w:szCs w:val="20"/>
          <w:lang w:eastAsia="ko-KR"/>
        </w:rPr>
        <w:t>, and no conclusion could be reached as shown below [1]</w:t>
      </w:r>
      <w:r w:rsidR="003C6B2B" w:rsidRPr="001C3815">
        <w:rPr>
          <w:bCs/>
          <w:szCs w:val="20"/>
          <w:lang w:eastAsia="ko-KR"/>
        </w:rPr>
        <w:t>.</w:t>
      </w:r>
      <w:r w:rsidR="005604C6" w:rsidRPr="0033465B">
        <w:rPr>
          <w:bCs/>
          <w:szCs w:val="20"/>
          <w:lang w:eastAsia="ko-KR"/>
        </w:rPr>
        <w:t xml:space="preserve"> </w:t>
      </w:r>
    </w:p>
    <w:tbl>
      <w:tblPr>
        <w:tblStyle w:val="TableGrid"/>
        <w:tblW w:w="0" w:type="auto"/>
        <w:tblLook w:val="04A0" w:firstRow="1" w:lastRow="0" w:firstColumn="1" w:lastColumn="0" w:noHBand="0" w:noVBand="1"/>
      </w:tblPr>
      <w:tblGrid>
        <w:gridCol w:w="9629"/>
      </w:tblGrid>
      <w:tr w:rsidR="00B85F10" w:rsidRPr="001C3815" w14:paraId="2F7C36DF" w14:textId="77777777" w:rsidTr="00B85F10">
        <w:tc>
          <w:tcPr>
            <w:tcW w:w="9629" w:type="dxa"/>
          </w:tcPr>
          <w:p w14:paraId="04161FE8" w14:textId="77777777" w:rsidR="00B85F10" w:rsidRPr="001C3815" w:rsidRDefault="00B85F10" w:rsidP="00B85F10">
            <w:pPr>
              <w:numPr>
                <w:ilvl w:val="0"/>
                <w:numId w:val="23"/>
              </w:numPr>
              <w:spacing w:after="0" w:line="240" w:lineRule="auto"/>
              <w:ind w:left="935" w:hanging="357"/>
              <w:rPr>
                <w:rFonts w:eastAsia="SimSun"/>
                <w:sz w:val="20"/>
                <w:szCs w:val="20"/>
              </w:rPr>
            </w:pPr>
            <w:r w:rsidRPr="001C3815">
              <w:rPr>
                <w:rFonts w:eastAsia="SimSun"/>
                <w:sz w:val="20"/>
                <w:szCs w:val="20"/>
              </w:rPr>
              <w:t>Option 1: Reuse the legacy Pathloss reference signal switching delay requirement for ATG. (CMCC, HW, ZTE, CATT)</w:t>
            </w:r>
          </w:p>
          <w:p w14:paraId="5FD2A7CC" w14:textId="77777777" w:rsidR="00B85F10" w:rsidRPr="001C3815" w:rsidRDefault="00B85F10" w:rsidP="00B30487">
            <w:pPr>
              <w:numPr>
                <w:ilvl w:val="0"/>
                <w:numId w:val="23"/>
              </w:numPr>
              <w:spacing w:after="0" w:line="240" w:lineRule="auto"/>
              <w:ind w:left="935" w:hanging="357"/>
              <w:rPr>
                <w:rFonts w:eastAsia="SimSun"/>
                <w:sz w:val="20"/>
                <w:szCs w:val="20"/>
              </w:rPr>
            </w:pPr>
            <w:r w:rsidRPr="001C3815">
              <w:rPr>
                <w:rFonts w:eastAsia="SimSun"/>
                <w:szCs w:val="20"/>
              </w:rPr>
              <w:t xml:space="preserve">Option 2: </w:t>
            </w:r>
            <w:r w:rsidRPr="001C3815">
              <w:rPr>
                <w:rFonts w:eastAsia="SimSun" w:hint="eastAsia"/>
                <w:szCs w:val="20"/>
              </w:rPr>
              <w:t>C</w:t>
            </w:r>
            <w:r w:rsidRPr="001C3815">
              <w:rPr>
                <w:rFonts w:eastAsia="SimSun"/>
                <w:szCs w:val="20"/>
              </w:rPr>
              <w:t xml:space="preserve">heck whether </w:t>
            </w:r>
            <w:proofErr w:type="spellStart"/>
            <w:r w:rsidRPr="001C3815">
              <w:rPr>
                <w:rFonts w:eastAsia="SimSun"/>
                <w:szCs w:val="20"/>
              </w:rPr>
              <w:t>eMIMO</w:t>
            </w:r>
            <w:proofErr w:type="spellEnd"/>
            <w:r w:rsidRPr="001C3815">
              <w:rPr>
                <w:rFonts w:eastAsia="SimSun"/>
                <w:szCs w:val="20"/>
              </w:rPr>
              <w:t xml:space="preserve"> is to be considered. (Ericsson)</w:t>
            </w:r>
          </w:p>
        </w:tc>
      </w:tr>
    </w:tbl>
    <w:p w14:paraId="03D456E4" w14:textId="77777777" w:rsidR="006533BB" w:rsidRPr="001C3815" w:rsidRDefault="006533BB" w:rsidP="00B30487">
      <w:pPr>
        <w:rPr>
          <w:bCs/>
          <w:szCs w:val="20"/>
          <w:lang w:eastAsia="ko-KR"/>
        </w:rPr>
      </w:pPr>
    </w:p>
    <w:p w14:paraId="5F6E46A9" w14:textId="3315DD45" w:rsidR="00EB430F" w:rsidRPr="00764B25" w:rsidRDefault="00495039" w:rsidP="00B30487">
      <w:pPr>
        <w:rPr>
          <w:bCs/>
          <w:szCs w:val="20"/>
          <w:lang w:eastAsia="ko-KR"/>
        </w:rPr>
      </w:pPr>
      <w:r w:rsidRPr="00764B25">
        <w:rPr>
          <w:bCs/>
          <w:szCs w:val="20"/>
          <w:lang w:eastAsia="ko-KR"/>
        </w:rPr>
        <w:t xml:space="preserve">In </w:t>
      </w:r>
      <w:proofErr w:type="spellStart"/>
      <w:r w:rsidRPr="00764B25">
        <w:rPr>
          <w:bCs/>
          <w:szCs w:val="20"/>
          <w:lang w:eastAsia="ko-KR"/>
        </w:rPr>
        <w:t>eMIMO</w:t>
      </w:r>
      <w:proofErr w:type="spellEnd"/>
      <w:r w:rsidRPr="00764B25">
        <w:rPr>
          <w:bCs/>
          <w:szCs w:val="20"/>
          <w:lang w:eastAsia="ko-KR"/>
        </w:rPr>
        <w:t>, the UE can be configured with multiple pathloss RSs and one of those can be activated or updated via MAC CE. RAN4 therefore has defined delay requirements for such pathloss RS switching from Rel-16. Since the pathloss reference signal switching delay requirements were defined for NTN, which is the reference system used for ATG, we are fine to define and reuse the legacy pathloss reference signal switching delay requirements for ATG.</w:t>
      </w:r>
    </w:p>
    <w:p w14:paraId="6A9FCC6F" w14:textId="3203F88A" w:rsidR="00DA2E82" w:rsidRPr="001C3815" w:rsidRDefault="00DA2E82" w:rsidP="00DA2E82">
      <w:pPr>
        <w:pStyle w:val="Proposal"/>
        <w:ind w:left="1134" w:hanging="1134"/>
      </w:pPr>
      <w:bookmarkStart w:id="7" w:name="_Toc118706942"/>
      <w:r w:rsidRPr="001C3815">
        <w:t>The NR legacy requirements on</w:t>
      </w:r>
      <w:r w:rsidR="00F94108" w:rsidRPr="001C3815">
        <w:t xml:space="preserve"> pathloss reference signal switching delay </w:t>
      </w:r>
      <w:proofErr w:type="gramStart"/>
      <w:r w:rsidR="00F94108" w:rsidRPr="001C3815">
        <w:t>are</w:t>
      </w:r>
      <w:proofErr w:type="gramEnd"/>
      <w:r w:rsidR="00F94108" w:rsidRPr="001C3815">
        <w:t xml:space="preserve"> reused for </w:t>
      </w:r>
      <w:r w:rsidRPr="001C3815">
        <w:t>ATG.</w:t>
      </w:r>
      <w:bookmarkEnd w:id="7"/>
    </w:p>
    <w:p w14:paraId="366A90F7" w14:textId="77777777" w:rsidR="007D01B8" w:rsidRPr="00B30487" w:rsidRDefault="007D01B8" w:rsidP="00B30487"/>
    <w:p w14:paraId="2C177DAA" w14:textId="0C79DE69" w:rsidR="001F4E1F" w:rsidRPr="00CE0424" w:rsidRDefault="00A642C7" w:rsidP="00A7383D">
      <w:pPr>
        <w:pStyle w:val="BodyText"/>
      </w:pPr>
      <w:r>
        <w:rPr>
          <w:rFonts w:cs="Arial"/>
          <w:b/>
          <w:spacing w:val="2"/>
          <w:sz w:val="24"/>
          <w:szCs w:val="24"/>
          <w:vertAlign w:val="subscript"/>
        </w:rPr>
        <w:t xml:space="preserve"> </w:t>
      </w:r>
      <w:r>
        <w:rPr>
          <w:b/>
          <w:bCs/>
          <w:spacing w:val="2"/>
        </w:rPr>
        <w:t xml:space="preserve"> </w:t>
      </w:r>
      <w:r>
        <w:rPr>
          <w:spacing w:val="2"/>
        </w:rPr>
        <w:t xml:space="preserve"> </w:t>
      </w:r>
      <w:r w:rsidRPr="0080460F">
        <w:rPr>
          <w:spacing w:val="2"/>
        </w:rPr>
        <w:t xml:space="preserve">   </w:t>
      </w:r>
    </w:p>
    <w:p w14:paraId="305BF20D" w14:textId="77777777" w:rsidR="002A563F" w:rsidRPr="00CE0424" w:rsidRDefault="002A563F" w:rsidP="002A563F">
      <w:pPr>
        <w:pStyle w:val="Heading1"/>
      </w:pPr>
      <w:r w:rsidRPr="00CE0424">
        <w:t>Conclusion</w:t>
      </w:r>
    </w:p>
    <w:p w14:paraId="0B03825C" w14:textId="77777777" w:rsidR="002A563F" w:rsidRDefault="002A563F" w:rsidP="002A563F">
      <w:pPr>
        <w:pStyle w:val="BodyText"/>
      </w:pPr>
      <w:r w:rsidRPr="00CE0424">
        <w:t xml:space="preserve">Based on the discussion in </w:t>
      </w:r>
      <w:r>
        <w:t xml:space="preserve">the previous </w:t>
      </w:r>
      <w:r w:rsidRPr="00CE0424">
        <w:t>section</w:t>
      </w:r>
      <w:r>
        <w:t>s</w:t>
      </w:r>
      <w:r w:rsidRPr="00CE0424">
        <w:t xml:space="preserve"> we propose the following:</w:t>
      </w:r>
    </w:p>
    <w:p w14:paraId="58A04A2C" w14:textId="115EE9AD" w:rsidR="00ED7AFE" w:rsidRDefault="002A563F">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8706936" w:history="1">
        <w:r w:rsidR="00ED7AFE" w:rsidRPr="008D6CB5">
          <w:rPr>
            <w:rStyle w:val="Hyperlink"/>
            <w:noProof/>
          </w:rPr>
          <w:t>Proposal 1</w:t>
        </w:r>
        <w:r w:rsidR="00ED7AFE">
          <w:rPr>
            <w:rFonts w:asciiTheme="minorHAnsi" w:eastAsiaTheme="minorEastAsia" w:hAnsiTheme="minorHAnsi"/>
            <w:b w:val="0"/>
            <w:noProof/>
            <w:sz w:val="22"/>
            <w:lang w:val="en-SE" w:eastAsia="en-SE"/>
          </w:rPr>
          <w:tab/>
        </w:r>
        <w:r w:rsidR="00ED7AFE" w:rsidRPr="008D6CB5">
          <w:rPr>
            <w:rStyle w:val="Hyperlink"/>
            <w:noProof/>
          </w:rPr>
          <w:t xml:space="preserve">Whether legacy RLM evaluation period requirements can be reused or new ATG specific evaluations are needed depends on channel model to be agreed for ATG in RF group. </w:t>
        </w:r>
      </w:hyperlink>
    </w:p>
    <w:p w14:paraId="184A6A3B" w14:textId="43F1EA37" w:rsidR="00ED7AFE" w:rsidRDefault="00500D6B">
      <w:pPr>
        <w:pStyle w:val="TableofFigures"/>
        <w:tabs>
          <w:tab w:val="right" w:leader="dot" w:pos="9629"/>
        </w:tabs>
        <w:rPr>
          <w:rFonts w:asciiTheme="minorHAnsi" w:eastAsiaTheme="minorEastAsia" w:hAnsiTheme="minorHAnsi"/>
          <w:b w:val="0"/>
          <w:noProof/>
          <w:sz w:val="22"/>
          <w:lang w:val="en-SE" w:eastAsia="en-SE"/>
        </w:rPr>
      </w:pPr>
      <w:hyperlink w:anchor="_Toc118706937" w:history="1">
        <w:r w:rsidR="00ED7AFE" w:rsidRPr="008D6CB5">
          <w:rPr>
            <w:rStyle w:val="Hyperlink"/>
            <w:noProof/>
          </w:rPr>
          <w:t>Proposal 2</w:t>
        </w:r>
        <w:r w:rsidR="00ED7AFE">
          <w:rPr>
            <w:rFonts w:asciiTheme="minorHAnsi" w:eastAsiaTheme="minorEastAsia" w:hAnsiTheme="minorHAnsi"/>
            <w:b w:val="0"/>
            <w:noProof/>
            <w:sz w:val="22"/>
            <w:lang w:val="en-SE" w:eastAsia="en-SE"/>
          </w:rPr>
          <w:tab/>
        </w:r>
        <w:r w:rsidR="00ED7AFE" w:rsidRPr="008D6CB5">
          <w:rPr>
            <w:rStyle w:val="Hyperlink"/>
            <w:noProof/>
          </w:rPr>
          <w:t>Whether the legacy BFD requirements can be reused for ATG or new ATG specific evaluations are needed depends on the channel to be agreed for ATG in RF group.</w:t>
        </w:r>
      </w:hyperlink>
    </w:p>
    <w:p w14:paraId="79DA10A7" w14:textId="1D6DD95B" w:rsidR="00ED7AFE" w:rsidRDefault="00500D6B">
      <w:pPr>
        <w:pStyle w:val="TableofFigures"/>
        <w:tabs>
          <w:tab w:val="right" w:leader="dot" w:pos="9629"/>
        </w:tabs>
        <w:rPr>
          <w:rFonts w:asciiTheme="minorHAnsi" w:eastAsiaTheme="minorEastAsia" w:hAnsiTheme="minorHAnsi"/>
          <w:b w:val="0"/>
          <w:noProof/>
          <w:sz w:val="22"/>
          <w:lang w:val="en-SE" w:eastAsia="en-SE"/>
        </w:rPr>
      </w:pPr>
      <w:hyperlink w:anchor="_Toc118706938" w:history="1">
        <w:r w:rsidR="00ED7AFE" w:rsidRPr="008D6CB5">
          <w:rPr>
            <w:rStyle w:val="Hyperlink"/>
            <w:noProof/>
          </w:rPr>
          <w:t>Proposal 3</w:t>
        </w:r>
        <w:r w:rsidR="00ED7AFE">
          <w:rPr>
            <w:rFonts w:asciiTheme="minorHAnsi" w:eastAsiaTheme="minorEastAsia" w:hAnsiTheme="minorHAnsi"/>
            <w:b w:val="0"/>
            <w:noProof/>
            <w:sz w:val="22"/>
            <w:lang w:val="en-SE" w:eastAsia="en-SE"/>
          </w:rPr>
          <w:tab/>
        </w:r>
        <w:r w:rsidR="00ED7AFE" w:rsidRPr="008D6CB5">
          <w:rPr>
            <w:rStyle w:val="Hyperlink"/>
            <w:noProof/>
          </w:rPr>
          <w:t>Whether the legacy CBD requirements can be reused for ATG or new ATG specific evaluations are needed depends on the channel to be agreed for ATG in RF group.</w:t>
        </w:r>
      </w:hyperlink>
    </w:p>
    <w:p w14:paraId="3DBDD1DA" w14:textId="7B5D70BC" w:rsidR="00ED7AFE" w:rsidRDefault="00500D6B">
      <w:pPr>
        <w:pStyle w:val="TableofFigures"/>
        <w:tabs>
          <w:tab w:val="right" w:leader="dot" w:pos="9629"/>
        </w:tabs>
        <w:rPr>
          <w:rFonts w:asciiTheme="minorHAnsi" w:eastAsiaTheme="minorEastAsia" w:hAnsiTheme="minorHAnsi"/>
          <w:b w:val="0"/>
          <w:noProof/>
          <w:sz w:val="22"/>
          <w:lang w:val="en-SE" w:eastAsia="en-SE"/>
        </w:rPr>
      </w:pPr>
      <w:hyperlink w:anchor="_Toc118706939" w:history="1">
        <w:r w:rsidR="00ED7AFE" w:rsidRPr="008D6CB5">
          <w:rPr>
            <w:rStyle w:val="Hyperlink"/>
            <w:noProof/>
          </w:rPr>
          <w:t>Proposal 4</w:t>
        </w:r>
        <w:r w:rsidR="00ED7AFE">
          <w:rPr>
            <w:rFonts w:asciiTheme="minorHAnsi" w:eastAsiaTheme="minorEastAsia" w:hAnsiTheme="minorHAnsi"/>
            <w:b w:val="0"/>
            <w:noProof/>
            <w:sz w:val="22"/>
            <w:lang w:val="en-SE" w:eastAsia="en-SE"/>
          </w:rPr>
          <w:tab/>
        </w:r>
        <w:r w:rsidR="00ED7AFE" w:rsidRPr="008D6CB5">
          <w:rPr>
            <w:rStyle w:val="Hyperlink"/>
            <w:noProof/>
          </w:rPr>
          <w:t>Whether the legacy L1-RSRP measurement requirements can be reused for ATG or new ATG specific evaluations are needed depends on the channel to be agreed for ATG in RF group.</w:t>
        </w:r>
      </w:hyperlink>
    </w:p>
    <w:p w14:paraId="36286359" w14:textId="7DB84B86" w:rsidR="00ED7AFE" w:rsidRDefault="00500D6B">
      <w:pPr>
        <w:pStyle w:val="TableofFigures"/>
        <w:tabs>
          <w:tab w:val="right" w:leader="dot" w:pos="9629"/>
        </w:tabs>
        <w:rPr>
          <w:rFonts w:asciiTheme="minorHAnsi" w:eastAsiaTheme="minorEastAsia" w:hAnsiTheme="minorHAnsi"/>
          <w:b w:val="0"/>
          <w:noProof/>
          <w:sz w:val="22"/>
          <w:lang w:val="en-SE" w:eastAsia="en-SE"/>
        </w:rPr>
      </w:pPr>
      <w:hyperlink w:anchor="_Toc118706940" w:history="1">
        <w:r w:rsidR="00ED7AFE" w:rsidRPr="008D6CB5">
          <w:rPr>
            <w:rStyle w:val="Hyperlink"/>
            <w:noProof/>
          </w:rPr>
          <w:t>Proposal 5</w:t>
        </w:r>
        <w:r w:rsidR="00ED7AFE">
          <w:rPr>
            <w:rFonts w:asciiTheme="minorHAnsi" w:eastAsiaTheme="minorEastAsia" w:hAnsiTheme="minorHAnsi"/>
            <w:b w:val="0"/>
            <w:noProof/>
            <w:sz w:val="22"/>
            <w:lang w:val="en-SE" w:eastAsia="en-SE"/>
          </w:rPr>
          <w:tab/>
        </w:r>
        <w:r w:rsidR="00ED7AFE" w:rsidRPr="008D6CB5">
          <w:rPr>
            <w:rStyle w:val="Hyperlink"/>
            <w:noProof/>
          </w:rPr>
          <w:t>Existing active BWP switching requirements (excluding simultaneous and non-simultaneous BWP switching delay on multiple CCs) are reused for ATG.</w:t>
        </w:r>
      </w:hyperlink>
    </w:p>
    <w:p w14:paraId="46782E4A" w14:textId="16151B44" w:rsidR="00ED7AFE" w:rsidRPr="00764B25" w:rsidRDefault="00500D6B">
      <w:pPr>
        <w:pStyle w:val="TableofFigures"/>
        <w:tabs>
          <w:tab w:val="right" w:leader="dot" w:pos="9629"/>
        </w:tabs>
        <w:rPr>
          <w:rFonts w:asciiTheme="minorHAnsi" w:eastAsiaTheme="minorEastAsia" w:hAnsiTheme="minorHAnsi"/>
          <w:b w:val="0"/>
          <w:noProof/>
          <w:sz w:val="22"/>
          <w:lang w:val="en-SE" w:eastAsia="en-SE"/>
        </w:rPr>
      </w:pPr>
      <w:hyperlink w:anchor="_Toc118706941" w:history="1">
        <w:r w:rsidR="00ED7AFE" w:rsidRPr="00764B25">
          <w:rPr>
            <w:rStyle w:val="Hyperlink"/>
            <w:noProof/>
          </w:rPr>
          <w:t>Proposal 6</w:t>
        </w:r>
        <w:r w:rsidR="00ED7AFE" w:rsidRPr="00764B25">
          <w:rPr>
            <w:rFonts w:asciiTheme="minorHAnsi" w:eastAsiaTheme="minorEastAsia" w:hAnsiTheme="minorHAnsi"/>
            <w:b w:val="0"/>
            <w:noProof/>
            <w:sz w:val="22"/>
            <w:lang w:val="en-SE" w:eastAsia="en-SE"/>
          </w:rPr>
          <w:tab/>
        </w:r>
        <w:r w:rsidR="00ED7AFE" w:rsidRPr="00764B25">
          <w:rPr>
            <w:rStyle w:val="Hyperlink"/>
            <w:noProof/>
          </w:rPr>
          <w:t>The NR legacy requirements on uplink spatial relation switch requirements  are reused for ATG.</w:t>
        </w:r>
      </w:hyperlink>
    </w:p>
    <w:p w14:paraId="0B94A860" w14:textId="6BD439D1" w:rsidR="00ED7AFE" w:rsidRDefault="00500D6B">
      <w:pPr>
        <w:pStyle w:val="TableofFigures"/>
        <w:tabs>
          <w:tab w:val="right" w:leader="dot" w:pos="9629"/>
        </w:tabs>
        <w:rPr>
          <w:rFonts w:asciiTheme="minorHAnsi" w:eastAsiaTheme="minorEastAsia" w:hAnsiTheme="minorHAnsi"/>
          <w:b w:val="0"/>
          <w:noProof/>
          <w:sz w:val="22"/>
          <w:lang w:val="en-SE" w:eastAsia="en-SE"/>
        </w:rPr>
      </w:pPr>
      <w:hyperlink w:anchor="_Toc118706942" w:history="1">
        <w:r w:rsidR="00ED7AFE" w:rsidRPr="00764B25">
          <w:rPr>
            <w:rStyle w:val="Hyperlink"/>
            <w:noProof/>
          </w:rPr>
          <w:t>Proposal 7</w:t>
        </w:r>
        <w:r w:rsidR="00ED7AFE" w:rsidRPr="00764B25">
          <w:rPr>
            <w:rFonts w:asciiTheme="minorHAnsi" w:eastAsiaTheme="minorEastAsia" w:hAnsiTheme="minorHAnsi"/>
            <w:b w:val="0"/>
            <w:noProof/>
            <w:sz w:val="22"/>
            <w:lang w:val="en-SE" w:eastAsia="en-SE"/>
          </w:rPr>
          <w:tab/>
        </w:r>
        <w:r w:rsidR="00ED7AFE" w:rsidRPr="00764B25">
          <w:rPr>
            <w:rStyle w:val="Hyperlink"/>
            <w:noProof/>
          </w:rPr>
          <w:t>The NR legacy requirements on pathloss reference signal switching delay are reused for ATG.</w:t>
        </w:r>
      </w:hyperlink>
    </w:p>
    <w:p w14:paraId="58ACA235" w14:textId="610C1608" w:rsidR="00C01F33" w:rsidRPr="00CE0424" w:rsidRDefault="002A563F" w:rsidP="002A563F">
      <w:r>
        <w:rPr>
          <w:b/>
          <w:bCs/>
        </w:rPr>
        <w:fldChar w:fldCharType="end"/>
      </w:r>
    </w:p>
    <w:p w14:paraId="71D79D99" w14:textId="77777777" w:rsidR="00F507D1" w:rsidRPr="00CE0424" w:rsidRDefault="00F507D1" w:rsidP="00CE0424">
      <w:pPr>
        <w:pStyle w:val="Heading1"/>
      </w:pPr>
      <w:bookmarkStart w:id="8" w:name="_In-sequence_SDU_delivery"/>
      <w:bookmarkEnd w:id="8"/>
      <w:r w:rsidRPr="00CE0424">
        <w:t>References</w:t>
      </w:r>
    </w:p>
    <w:bookmarkStart w:id="9" w:name="_Ref174151459"/>
    <w:bookmarkStart w:id="10" w:name="_Ref189809556"/>
    <w:p w14:paraId="77C5E852" w14:textId="41A6E844" w:rsidR="005F3025" w:rsidRDefault="004234DC" w:rsidP="00311702">
      <w:pPr>
        <w:pStyle w:val="Reference"/>
      </w:pPr>
      <w:r>
        <w:fldChar w:fldCharType="begin"/>
      </w:r>
      <w:r>
        <w:instrText xml:space="preserve"> HYPERLINK "http://3gpp.org/ftp/tsg_ran/WG4_Radio/TSGR4_104-e/Docs/R4-2214347.zip" </w:instrText>
      </w:r>
      <w:r>
        <w:fldChar w:fldCharType="separate"/>
      </w:r>
      <w:r w:rsidR="00CC52A8" w:rsidRPr="004234DC">
        <w:rPr>
          <w:rStyle w:val="Hyperlink"/>
        </w:rPr>
        <w:t>R4-2214347</w:t>
      </w:r>
      <w:r>
        <w:fldChar w:fldCharType="end"/>
      </w:r>
      <w:r w:rsidR="00CC52A8" w:rsidRPr="00CC52A8">
        <w:t xml:space="preserve">, "WF on NR ATG RRM core requirements", CMCC </w:t>
      </w:r>
    </w:p>
    <w:p w14:paraId="0F42D8D0" w14:textId="7D6F4576" w:rsidR="00CC36BA" w:rsidRPr="001054AB" w:rsidRDefault="00CC36BA" w:rsidP="00CC36BA">
      <w:pPr>
        <w:pStyle w:val="Reference"/>
      </w:pPr>
      <w:r w:rsidRPr="001054AB">
        <w:rPr>
          <w:lang w:val="sv-SE"/>
        </w:rPr>
        <w:t xml:space="preserve">TS 38.133 </w:t>
      </w:r>
      <w:r w:rsidRPr="00CF4B53">
        <w:rPr>
          <w:lang w:val="sv-SE"/>
        </w:rPr>
        <w:t>V 17.</w:t>
      </w:r>
      <w:r w:rsidR="008F26DA">
        <w:rPr>
          <w:lang w:val="sv-SE"/>
        </w:rPr>
        <w:t>6</w:t>
      </w:r>
      <w:r w:rsidRPr="00CF4B53">
        <w:rPr>
          <w:lang w:val="sv-SE"/>
        </w:rPr>
        <w:t>.0</w:t>
      </w:r>
    </w:p>
    <w:bookmarkEnd w:id="9"/>
    <w:bookmarkEnd w:id="10"/>
    <w:p w14:paraId="715CA09B" w14:textId="33128202"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56559" w14:textId="77777777" w:rsidR="00E81456" w:rsidRDefault="00E81456">
      <w:r>
        <w:separator/>
      </w:r>
    </w:p>
  </w:endnote>
  <w:endnote w:type="continuationSeparator" w:id="0">
    <w:p w14:paraId="0BC84181" w14:textId="77777777" w:rsidR="00E81456" w:rsidRDefault="00E81456">
      <w:r>
        <w:continuationSeparator/>
      </w:r>
    </w:p>
  </w:endnote>
  <w:endnote w:type="continuationNotice" w:id="1">
    <w:p w14:paraId="4D5E7533" w14:textId="77777777" w:rsidR="00E81456" w:rsidRDefault="00E814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D8D8A" w14:textId="77777777" w:rsidR="00E81456" w:rsidRDefault="00E81456">
      <w:r>
        <w:separator/>
      </w:r>
    </w:p>
  </w:footnote>
  <w:footnote w:type="continuationSeparator" w:id="0">
    <w:p w14:paraId="1BEAFB13" w14:textId="77777777" w:rsidR="00E81456" w:rsidRDefault="00E81456">
      <w:r>
        <w:continuationSeparator/>
      </w:r>
    </w:p>
  </w:footnote>
  <w:footnote w:type="continuationNotice" w:id="1">
    <w:p w14:paraId="6D7C25B2" w14:textId="77777777" w:rsidR="00E81456" w:rsidRDefault="00E814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753524"/>
    <w:multiLevelType w:val="hybridMultilevel"/>
    <w:tmpl w:val="A670AA64"/>
    <w:lvl w:ilvl="0" w:tplc="4D0C3C60">
      <w:start w:val="1"/>
      <w:numFmt w:val="bullet"/>
      <w:lvlText w:val=""/>
      <w:lvlJc w:val="left"/>
      <w:pPr>
        <w:ind w:left="2204"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3E5508"/>
    <w:multiLevelType w:val="multilevel"/>
    <w:tmpl w:val="4362712A"/>
    <w:lvl w:ilvl="0">
      <w:numFmt w:val="decimal"/>
      <w:lvlText w:val="%1."/>
      <w:lvlJc w:val="left"/>
      <w:pPr>
        <w:ind w:left="425" w:hanging="425"/>
      </w:pPr>
      <w:rPr>
        <w:rFonts w:hint="eastAsia"/>
      </w:rPr>
    </w:lvl>
    <w:lvl w:ilvl="1">
      <w:start w:val="2"/>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A016BB"/>
    <w:multiLevelType w:val="hybridMultilevel"/>
    <w:tmpl w:val="77FC9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C72124"/>
    <w:multiLevelType w:val="hybridMultilevel"/>
    <w:tmpl w:val="3A34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944A6"/>
    <w:multiLevelType w:val="hybridMultilevel"/>
    <w:tmpl w:val="6590D35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2"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9"/>
  </w:num>
  <w:num w:numId="4">
    <w:abstractNumId w:val="20"/>
  </w:num>
  <w:num w:numId="5">
    <w:abstractNumId w:val="13"/>
  </w:num>
  <w:num w:numId="6">
    <w:abstractNumId w:val="22"/>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30"/>
  </w:num>
  <w:num w:numId="17">
    <w:abstractNumId w:val="8"/>
  </w:num>
  <w:num w:numId="18">
    <w:abstractNumId w:val="10"/>
  </w:num>
  <w:num w:numId="19">
    <w:abstractNumId w:val="7"/>
  </w:num>
  <w:num w:numId="20">
    <w:abstractNumId w:val="34"/>
  </w:num>
  <w:num w:numId="21">
    <w:abstractNumId w:val="16"/>
  </w:num>
  <w:num w:numId="22">
    <w:abstractNumId w:val="33"/>
  </w:num>
  <w:num w:numId="23">
    <w:abstractNumId w:val="27"/>
  </w:num>
  <w:num w:numId="24">
    <w:abstractNumId w:val="9"/>
  </w:num>
  <w:num w:numId="25">
    <w:abstractNumId w:val="29"/>
  </w:num>
  <w:num w:numId="26">
    <w:abstractNumId w:val="32"/>
  </w:num>
  <w:num w:numId="27">
    <w:abstractNumId w:val="17"/>
  </w:num>
  <w:num w:numId="28">
    <w:abstractNumId w:val="5"/>
  </w:num>
  <w:num w:numId="29">
    <w:abstractNumId w:val="12"/>
  </w:num>
  <w:num w:numId="30">
    <w:abstractNumId w:val="31"/>
  </w:num>
  <w:num w:numId="31">
    <w:abstractNumId w:val="18"/>
  </w:num>
  <w:num w:numId="32">
    <w:abstractNumId w:val="28"/>
  </w:num>
  <w:num w:numId="33">
    <w:abstractNumId w:val="19"/>
    <w:lvlOverride w:ilvl="0">
      <w:startOverride w:val="1"/>
    </w:lvlOverride>
  </w:num>
  <w:num w:numId="34">
    <w:abstractNumId w:val="4"/>
  </w:num>
  <w:num w:numId="35">
    <w:abstractNumId w:val="15"/>
  </w:num>
  <w:num w:numId="3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A"/>
    <w:rsid w:val="00000A08"/>
    <w:rsid w:val="000023FA"/>
    <w:rsid w:val="00002A37"/>
    <w:rsid w:val="0000564C"/>
    <w:rsid w:val="00006446"/>
    <w:rsid w:val="000066AD"/>
    <w:rsid w:val="00006896"/>
    <w:rsid w:val="00007CDC"/>
    <w:rsid w:val="00011B28"/>
    <w:rsid w:val="0001286B"/>
    <w:rsid w:val="00013596"/>
    <w:rsid w:val="00014D5E"/>
    <w:rsid w:val="00015D15"/>
    <w:rsid w:val="000207FA"/>
    <w:rsid w:val="00020FF5"/>
    <w:rsid w:val="00022CBC"/>
    <w:rsid w:val="0002564D"/>
    <w:rsid w:val="00025ECA"/>
    <w:rsid w:val="00027589"/>
    <w:rsid w:val="000325B8"/>
    <w:rsid w:val="00034C15"/>
    <w:rsid w:val="00036BA1"/>
    <w:rsid w:val="000376E5"/>
    <w:rsid w:val="00040622"/>
    <w:rsid w:val="000422E2"/>
    <w:rsid w:val="00042F22"/>
    <w:rsid w:val="0004356A"/>
    <w:rsid w:val="000444EF"/>
    <w:rsid w:val="000461DD"/>
    <w:rsid w:val="000508A3"/>
    <w:rsid w:val="00052A07"/>
    <w:rsid w:val="000534E3"/>
    <w:rsid w:val="0005606A"/>
    <w:rsid w:val="000568E1"/>
    <w:rsid w:val="00057117"/>
    <w:rsid w:val="00060B5C"/>
    <w:rsid w:val="00060E0F"/>
    <w:rsid w:val="000616E7"/>
    <w:rsid w:val="00063700"/>
    <w:rsid w:val="0006487E"/>
    <w:rsid w:val="000656EC"/>
    <w:rsid w:val="00065E1A"/>
    <w:rsid w:val="00065EF1"/>
    <w:rsid w:val="0007288B"/>
    <w:rsid w:val="00077E5F"/>
    <w:rsid w:val="0008036A"/>
    <w:rsid w:val="00081AE6"/>
    <w:rsid w:val="00081B5C"/>
    <w:rsid w:val="00082090"/>
    <w:rsid w:val="000855EB"/>
    <w:rsid w:val="0008566E"/>
    <w:rsid w:val="00085B52"/>
    <w:rsid w:val="000866F2"/>
    <w:rsid w:val="0009009F"/>
    <w:rsid w:val="00091557"/>
    <w:rsid w:val="000924C1"/>
    <w:rsid w:val="000924F0"/>
    <w:rsid w:val="00093474"/>
    <w:rsid w:val="0009397A"/>
    <w:rsid w:val="0009510F"/>
    <w:rsid w:val="000961D8"/>
    <w:rsid w:val="00096E25"/>
    <w:rsid w:val="000A1B7B"/>
    <w:rsid w:val="000A3294"/>
    <w:rsid w:val="000A56F2"/>
    <w:rsid w:val="000A76E7"/>
    <w:rsid w:val="000B0BF9"/>
    <w:rsid w:val="000B1357"/>
    <w:rsid w:val="000B2719"/>
    <w:rsid w:val="000B27FA"/>
    <w:rsid w:val="000B3A8F"/>
    <w:rsid w:val="000B4AB9"/>
    <w:rsid w:val="000B58C3"/>
    <w:rsid w:val="000B61E9"/>
    <w:rsid w:val="000C165A"/>
    <w:rsid w:val="000C2486"/>
    <w:rsid w:val="000C2E19"/>
    <w:rsid w:val="000C51D1"/>
    <w:rsid w:val="000C5847"/>
    <w:rsid w:val="000D0D07"/>
    <w:rsid w:val="000D4797"/>
    <w:rsid w:val="000E0527"/>
    <w:rsid w:val="000E135F"/>
    <w:rsid w:val="000E1E92"/>
    <w:rsid w:val="000E5A3A"/>
    <w:rsid w:val="000E7793"/>
    <w:rsid w:val="000F06D6"/>
    <w:rsid w:val="000F0EB1"/>
    <w:rsid w:val="000F0EDD"/>
    <w:rsid w:val="000F1106"/>
    <w:rsid w:val="000F12C8"/>
    <w:rsid w:val="000F3BE9"/>
    <w:rsid w:val="000F3F6C"/>
    <w:rsid w:val="000F527A"/>
    <w:rsid w:val="000F671B"/>
    <w:rsid w:val="000F6DF3"/>
    <w:rsid w:val="001005FF"/>
    <w:rsid w:val="00101CAD"/>
    <w:rsid w:val="0010271A"/>
    <w:rsid w:val="00104121"/>
    <w:rsid w:val="0010627D"/>
    <w:rsid w:val="001062FB"/>
    <w:rsid w:val="001063E6"/>
    <w:rsid w:val="001109EE"/>
    <w:rsid w:val="001134A1"/>
    <w:rsid w:val="00113CF4"/>
    <w:rsid w:val="001153EA"/>
    <w:rsid w:val="00115643"/>
    <w:rsid w:val="00116765"/>
    <w:rsid w:val="0011763C"/>
    <w:rsid w:val="001219F5"/>
    <w:rsid w:val="00121A20"/>
    <w:rsid w:val="0012377F"/>
    <w:rsid w:val="00124314"/>
    <w:rsid w:val="00125BE3"/>
    <w:rsid w:val="00126B4A"/>
    <w:rsid w:val="00131610"/>
    <w:rsid w:val="00132FD0"/>
    <w:rsid w:val="001344C0"/>
    <w:rsid w:val="001346FA"/>
    <w:rsid w:val="00134D37"/>
    <w:rsid w:val="00135252"/>
    <w:rsid w:val="00135AB2"/>
    <w:rsid w:val="0013765B"/>
    <w:rsid w:val="00137769"/>
    <w:rsid w:val="00137AB5"/>
    <w:rsid w:val="00137F0B"/>
    <w:rsid w:val="00141D8B"/>
    <w:rsid w:val="00142FC6"/>
    <w:rsid w:val="00144C53"/>
    <w:rsid w:val="00147262"/>
    <w:rsid w:val="00150D2B"/>
    <w:rsid w:val="00151E23"/>
    <w:rsid w:val="0015213C"/>
    <w:rsid w:val="001526E0"/>
    <w:rsid w:val="001551B5"/>
    <w:rsid w:val="001567D3"/>
    <w:rsid w:val="00161879"/>
    <w:rsid w:val="00161885"/>
    <w:rsid w:val="00161DED"/>
    <w:rsid w:val="001641BF"/>
    <w:rsid w:val="0016520F"/>
    <w:rsid w:val="001659C1"/>
    <w:rsid w:val="00167420"/>
    <w:rsid w:val="00167B15"/>
    <w:rsid w:val="00170E96"/>
    <w:rsid w:val="001734E5"/>
    <w:rsid w:val="00173A8E"/>
    <w:rsid w:val="00174166"/>
    <w:rsid w:val="0017502C"/>
    <w:rsid w:val="00180A49"/>
    <w:rsid w:val="0018143F"/>
    <w:rsid w:val="00181837"/>
    <w:rsid w:val="00181FF8"/>
    <w:rsid w:val="0018216C"/>
    <w:rsid w:val="00183D11"/>
    <w:rsid w:val="001907BC"/>
    <w:rsid w:val="00190AC1"/>
    <w:rsid w:val="001928C6"/>
    <w:rsid w:val="0019341A"/>
    <w:rsid w:val="001939DE"/>
    <w:rsid w:val="00194D4A"/>
    <w:rsid w:val="00196B98"/>
    <w:rsid w:val="00197DF9"/>
    <w:rsid w:val="001A1987"/>
    <w:rsid w:val="001A2564"/>
    <w:rsid w:val="001A2B01"/>
    <w:rsid w:val="001A2E82"/>
    <w:rsid w:val="001A54A8"/>
    <w:rsid w:val="001A6173"/>
    <w:rsid w:val="001A6CBA"/>
    <w:rsid w:val="001A7559"/>
    <w:rsid w:val="001A7CD0"/>
    <w:rsid w:val="001B0D97"/>
    <w:rsid w:val="001B276B"/>
    <w:rsid w:val="001B5A5D"/>
    <w:rsid w:val="001B62F6"/>
    <w:rsid w:val="001C0DCC"/>
    <w:rsid w:val="001C11C1"/>
    <w:rsid w:val="001C1CE5"/>
    <w:rsid w:val="001C3815"/>
    <w:rsid w:val="001C3D2A"/>
    <w:rsid w:val="001C40BE"/>
    <w:rsid w:val="001C55B5"/>
    <w:rsid w:val="001C7745"/>
    <w:rsid w:val="001D4B5D"/>
    <w:rsid w:val="001D51BA"/>
    <w:rsid w:val="001D53E7"/>
    <w:rsid w:val="001D6342"/>
    <w:rsid w:val="001D695F"/>
    <w:rsid w:val="001D6D53"/>
    <w:rsid w:val="001E1C84"/>
    <w:rsid w:val="001E3AA5"/>
    <w:rsid w:val="001E58E2"/>
    <w:rsid w:val="001E59A5"/>
    <w:rsid w:val="001E7AED"/>
    <w:rsid w:val="001F21EB"/>
    <w:rsid w:val="001F309D"/>
    <w:rsid w:val="001F3916"/>
    <w:rsid w:val="001F3EC0"/>
    <w:rsid w:val="001F4E1F"/>
    <w:rsid w:val="001F54C5"/>
    <w:rsid w:val="001F59E6"/>
    <w:rsid w:val="001F662C"/>
    <w:rsid w:val="001F7074"/>
    <w:rsid w:val="00200490"/>
    <w:rsid w:val="00201F3A"/>
    <w:rsid w:val="00203F96"/>
    <w:rsid w:val="002069B2"/>
    <w:rsid w:val="00206B9B"/>
    <w:rsid w:val="00207FA3"/>
    <w:rsid w:val="00211332"/>
    <w:rsid w:val="002113A2"/>
    <w:rsid w:val="002114F5"/>
    <w:rsid w:val="002124E6"/>
    <w:rsid w:val="002126BC"/>
    <w:rsid w:val="00214DA8"/>
    <w:rsid w:val="00215423"/>
    <w:rsid w:val="002158FA"/>
    <w:rsid w:val="00220600"/>
    <w:rsid w:val="002224DB"/>
    <w:rsid w:val="00222D03"/>
    <w:rsid w:val="00222FF6"/>
    <w:rsid w:val="00223FCB"/>
    <w:rsid w:val="002241EC"/>
    <w:rsid w:val="00225102"/>
    <w:rsid w:val="002252C3"/>
    <w:rsid w:val="0022577F"/>
    <w:rsid w:val="00225C54"/>
    <w:rsid w:val="00230765"/>
    <w:rsid w:val="00230D18"/>
    <w:rsid w:val="002319E4"/>
    <w:rsid w:val="00235632"/>
    <w:rsid w:val="00235872"/>
    <w:rsid w:val="0023651E"/>
    <w:rsid w:val="00237461"/>
    <w:rsid w:val="00241559"/>
    <w:rsid w:val="002435B3"/>
    <w:rsid w:val="002458EB"/>
    <w:rsid w:val="002500C8"/>
    <w:rsid w:val="00254D3D"/>
    <w:rsid w:val="00255E55"/>
    <w:rsid w:val="00257543"/>
    <w:rsid w:val="002617E7"/>
    <w:rsid w:val="00262FE4"/>
    <w:rsid w:val="00264228"/>
    <w:rsid w:val="00264334"/>
    <w:rsid w:val="0026473E"/>
    <w:rsid w:val="00266214"/>
    <w:rsid w:val="00267092"/>
    <w:rsid w:val="00267412"/>
    <w:rsid w:val="00267515"/>
    <w:rsid w:val="00267C83"/>
    <w:rsid w:val="00267EDC"/>
    <w:rsid w:val="0027021D"/>
    <w:rsid w:val="0027144F"/>
    <w:rsid w:val="00271813"/>
    <w:rsid w:val="00271F3A"/>
    <w:rsid w:val="00272179"/>
    <w:rsid w:val="00273278"/>
    <w:rsid w:val="002737F4"/>
    <w:rsid w:val="00274D94"/>
    <w:rsid w:val="00275BA6"/>
    <w:rsid w:val="002768B4"/>
    <w:rsid w:val="00277824"/>
    <w:rsid w:val="00280184"/>
    <w:rsid w:val="002805F5"/>
    <w:rsid w:val="00280751"/>
    <w:rsid w:val="00280FAD"/>
    <w:rsid w:val="0028280A"/>
    <w:rsid w:val="002860A7"/>
    <w:rsid w:val="00286ACD"/>
    <w:rsid w:val="00286FBC"/>
    <w:rsid w:val="00287838"/>
    <w:rsid w:val="002907B5"/>
    <w:rsid w:val="002920D5"/>
    <w:rsid w:val="00292EB7"/>
    <w:rsid w:val="002936F0"/>
    <w:rsid w:val="00295310"/>
    <w:rsid w:val="00295C01"/>
    <w:rsid w:val="00296227"/>
    <w:rsid w:val="00296F44"/>
    <w:rsid w:val="0029777D"/>
    <w:rsid w:val="002A04E9"/>
    <w:rsid w:val="002A055E"/>
    <w:rsid w:val="002A1D4E"/>
    <w:rsid w:val="002A2869"/>
    <w:rsid w:val="002A2FCF"/>
    <w:rsid w:val="002A5566"/>
    <w:rsid w:val="002A563F"/>
    <w:rsid w:val="002A578E"/>
    <w:rsid w:val="002A723B"/>
    <w:rsid w:val="002B0906"/>
    <w:rsid w:val="002B15C0"/>
    <w:rsid w:val="002B21C5"/>
    <w:rsid w:val="002B24D6"/>
    <w:rsid w:val="002C41E6"/>
    <w:rsid w:val="002C5754"/>
    <w:rsid w:val="002C7AFD"/>
    <w:rsid w:val="002D071A"/>
    <w:rsid w:val="002D22E0"/>
    <w:rsid w:val="002D34B2"/>
    <w:rsid w:val="002D3A0D"/>
    <w:rsid w:val="002D48B0"/>
    <w:rsid w:val="002D53F0"/>
    <w:rsid w:val="002D5B37"/>
    <w:rsid w:val="002D7637"/>
    <w:rsid w:val="002E17F2"/>
    <w:rsid w:val="002E196B"/>
    <w:rsid w:val="002E6147"/>
    <w:rsid w:val="002E7CAE"/>
    <w:rsid w:val="002E7D82"/>
    <w:rsid w:val="002E7F43"/>
    <w:rsid w:val="002F13E4"/>
    <w:rsid w:val="002F2771"/>
    <w:rsid w:val="002F37A9"/>
    <w:rsid w:val="002F466C"/>
    <w:rsid w:val="002F64C0"/>
    <w:rsid w:val="002F6DF3"/>
    <w:rsid w:val="002F703D"/>
    <w:rsid w:val="002F7EBC"/>
    <w:rsid w:val="00301CE6"/>
    <w:rsid w:val="0030256B"/>
    <w:rsid w:val="0030501F"/>
    <w:rsid w:val="00305A94"/>
    <w:rsid w:val="00306481"/>
    <w:rsid w:val="00307BA1"/>
    <w:rsid w:val="00311702"/>
    <w:rsid w:val="00311E82"/>
    <w:rsid w:val="00313FD6"/>
    <w:rsid w:val="003143BD"/>
    <w:rsid w:val="00315363"/>
    <w:rsid w:val="00317E5F"/>
    <w:rsid w:val="003203ED"/>
    <w:rsid w:val="00322C9F"/>
    <w:rsid w:val="00324D23"/>
    <w:rsid w:val="00326611"/>
    <w:rsid w:val="00331751"/>
    <w:rsid w:val="003342D6"/>
    <w:rsid w:val="00334579"/>
    <w:rsid w:val="0033465B"/>
    <w:rsid w:val="00335858"/>
    <w:rsid w:val="00335903"/>
    <w:rsid w:val="00336BDA"/>
    <w:rsid w:val="00337D9F"/>
    <w:rsid w:val="0034196C"/>
    <w:rsid w:val="00342BD7"/>
    <w:rsid w:val="00346DB5"/>
    <w:rsid w:val="003477B1"/>
    <w:rsid w:val="00350E57"/>
    <w:rsid w:val="003516F7"/>
    <w:rsid w:val="00352119"/>
    <w:rsid w:val="00352B12"/>
    <w:rsid w:val="00357380"/>
    <w:rsid w:val="003602D9"/>
    <w:rsid w:val="003604CE"/>
    <w:rsid w:val="003648E9"/>
    <w:rsid w:val="00370E47"/>
    <w:rsid w:val="003742AC"/>
    <w:rsid w:val="00374E21"/>
    <w:rsid w:val="0037572E"/>
    <w:rsid w:val="00376FD2"/>
    <w:rsid w:val="003776DE"/>
    <w:rsid w:val="00377CE1"/>
    <w:rsid w:val="00381159"/>
    <w:rsid w:val="003820D3"/>
    <w:rsid w:val="003830AC"/>
    <w:rsid w:val="00385BF0"/>
    <w:rsid w:val="003863BD"/>
    <w:rsid w:val="00392979"/>
    <w:rsid w:val="003939FF"/>
    <w:rsid w:val="003969C6"/>
    <w:rsid w:val="00396C2F"/>
    <w:rsid w:val="003A2223"/>
    <w:rsid w:val="003A2A0F"/>
    <w:rsid w:val="003A45A1"/>
    <w:rsid w:val="003A4A1F"/>
    <w:rsid w:val="003A4F7F"/>
    <w:rsid w:val="003A5B0A"/>
    <w:rsid w:val="003A6BAC"/>
    <w:rsid w:val="003A70A4"/>
    <w:rsid w:val="003A7E8E"/>
    <w:rsid w:val="003A7EF3"/>
    <w:rsid w:val="003B0C24"/>
    <w:rsid w:val="003B159C"/>
    <w:rsid w:val="003B2DAE"/>
    <w:rsid w:val="003B369F"/>
    <w:rsid w:val="003B36A3"/>
    <w:rsid w:val="003B41AA"/>
    <w:rsid w:val="003B5E4E"/>
    <w:rsid w:val="003B620F"/>
    <w:rsid w:val="003B64BB"/>
    <w:rsid w:val="003B7FE5"/>
    <w:rsid w:val="003C11C8"/>
    <w:rsid w:val="003C1309"/>
    <w:rsid w:val="003C2702"/>
    <w:rsid w:val="003C3824"/>
    <w:rsid w:val="003C6B2B"/>
    <w:rsid w:val="003C70C7"/>
    <w:rsid w:val="003C7806"/>
    <w:rsid w:val="003C7A0C"/>
    <w:rsid w:val="003D109F"/>
    <w:rsid w:val="003D2478"/>
    <w:rsid w:val="003D3C45"/>
    <w:rsid w:val="003D44B1"/>
    <w:rsid w:val="003D4C5C"/>
    <w:rsid w:val="003D5B1F"/>
    <w:rsid w:val="003E15FA"/>
    <w:rsid w:val="003E24A5"/>
    <w:rsid w:val="003E55E4"/>
    <w:rsid w:val="003E5963"/>
    <w:rsid w:val="003E6211"/>
    <w:rsid w:val="003E6C07"/>
    <w:rsid w:val="003E74E3"/>
    <w:rsid w:val="003F05C7"/>
    <w:rsid w:val="003F1A3C"/>
    <w:rsid w:val="003F2CD4"/>
    <w:rsid w:val="003F3B4E"/>
    <w:rsid w:val="003F6BBE"/>
    <w:rsid w:val="003F7023"/>
    <w:rsid w:val="003F7514"/>
    <w:rsid w:val="004000E8"/>
    <w:rsid w:val="00402E2B"/>
    <w:rsid w:val="0040512B"/>
    <w:rsid w:val="00405CA5"/>
    <w:rsid w:val="004072BA"/>
    <w:rsid w:val="00407CD3"/>
    <w:rsid w:val="00410134"/>
    <w:rsid w:val="00410B72"/>
    <w:rsid w:val="00410F18"/>
    <w:rsid w:val="0041263E"/>
    <w:rsid w:val="00413AAC"/>
    <w:rsid w:val="00413E92"/>
    <w:rsid w:val="00414200"/>
    <w:rsid w:val="004202CD"/>
    <w:rsid w:val="0042093C"/>
    <w:rsid w:val="00421105"/>
    <w:rsid w:val="00421903"/>
    <w:rsid w:val="00422AA4"/>
    <w:rsid w:val="004234DC"/>
    <w:rsid w:val="004242F4"/>
    <w:rsid w:val="004260B3"/>
    <w:rsid w:val="00426EE7"/>
    <w:rsid w:val="00427248"/>
    <w:rsid w:val="004320F3"/>
    <w:rsid w:val="0043647B"/>
    <w:rsid w:val="0043705E"/>
    <w:rsid w:val="00437447"/>
    <w:rsid w:val="004403CD"/>
    <w:rsid w:val="00440C79"/>
    <w:rsid w:val="00441127"/>
    <w:rsid w:val="00441A92"/>
    <w:rsid w:val="00442118"/>
    <w:rsid w:val="004431DC"/>
    <w:rsid w:val="00444F56"/>
    <w:rsid w:val="00446488"/>
    <w:rsid w:val="00447E87"/>
    <w:rsid w:val="004517AA"/>
    <w:rsid w:val="0045184E"/>
    <w:rsid w:val="00452CAC"/>
    <w:rsid w:val="004545EC"/>
    <w:rsid w:val="00457565"/>
    <w:rsid w:val="00457B71"/>
    <w:rsid w:val="00460251"/>
    <w:rsid w:val="0046374F"/>
    <w:rsid w:val="00464689"/>
    <w:rsid w:val="004647BE"/>
    <w:rsid w:val="004669E2"/>
    <w:rsid w:val="00470417"/>
    <w:rsid w:val="00470C31"/>
    <w:rsid w:val="00471173"/>
    <w:rsid w:val="00471DE0"/>
    <w:rsid w:val="004734D0"/>
    <w:rsid w:val="004750BD"/>
    <w:rsid w:val="0047524A"/>
    <w:rsid w:val="0047556B"/>
    <w:rsid w:val="00477768"/>
    <w:rsid w:val="004806BE"/>
    <w:rsid w:val="004875D2"/>
    <w:rsid w:val="0049017D"/>
    <w:rsid w:val="00490C8C"/>
    <w:rsid w:val="00490E33"/>
    <w:rsid w:val="00492BC5"/>
    <w:rsid w:val="00493805"/>
    <w:rsid w:val="00493C0D"/>
    <w:rsid w:val="0049414C"/>
    <w:rsid w:val="00495035"/>
    <w:rsid w:val="00495039"/>
    <w:rsid w:val="004964F1"/>
    <w:rsid w:val="0049722D"/>
    <w:rsid w:val="004A16BC"/>
    <w:rsid w:val="004A2B94"/>
    <w:rsid w:val="004A4E8A"/>
    <w:rsid w:val="004B10D1"/>
    <w:rsid w:val="004B2E1A"/>
    <w:rsid w:val="004B37D0"/>
    <w:rsid w:val="004B5EF8"/>
    <w:rsid w:val="004B6A26"/>
    <w:rsid w:val="004B6F6A"/>
    <w:rsid w:val="004B7AA6"/>
    <w:rsid w:val="004B7C0C"/>
    <w:rsid w:val="004C0764"/>
    <w:rsid w:val="004C231F"/>
    <w:rsid w:val="004C34C5"/>
    <w:rsid w:val="004C3898"/>
    <w:rsid w:val="004C41B2"/>
    <w:rsid w:val="004C7AF8"/>
    <w:rsid w:val="004D1082"/>
    <w:rsid w:val="004D1BC2"/>
    <w:rsid w:val="004D2534"/>
    <w:rsid w:val="004D36B1"/>
    <w:rsid w:val="004D36CD"/>
    <w:rsid w:val="004D4984"/>
    <w:rsid w:val="004D7EBD"/>
    <w:rsid w:val="004E2680"/>
    <w:rsid w:val="004E28F9"/>
    <w:rsid w:val="004E3658"/>
    <w:rsid w:val="004E462E"/>
    <w:rsid w:val="004E52AA"/>
    <w:rsid w:val="004E56DC"/>
    <w:rsid w:val="004E7431"/>
    <w:rsid w:val="004E76F4"/>
    <w:rsid w:val="004F0B4E"/>
    <w:rsid w:val="004F0B6C"/>
    <w:rsid w:val="004F2078"/>
    <w:rsid w:val="004F4CDC"/>
    <w:rsid w:val="004F4DA3"/>
    <w:rsid w:val="004F6DB8"/>
    <w:rsid w:val="00500D6B"/>
    <w:rsid w:val="00501481"/>
    <w:rsid w:val="00506557"/>
    <w:rsid w:val="0050677A"/>
    <w:rsid w:val="00506FE1"/>
    <w:rsid w:val="00507125"/>
    <w:rsid w:val="005108D8"/>
    <w:rsid w:val="00510DF0"/>
    <w:rsid w:val="00511622"/>
    <w:rsid w:val="005116F9"/>
    <w:rsid w:val="005153A7"/>
    <w:rsid w:val="005219CF"/>
    <w:rsid w:val="00522BB6"/>
    <w:rsid w:val="00526A2E"/>
    <w:rsid w:val="005312FF"/>
    <w:rsid w:val="00532DBF"/>
    <w:rsid w:val="00534B59"/>
    <w:rsid w:val="00535023"/>
    <w:rsid w:val="00536759"/>
    <w:rsid w:val="00537C62"/>
    <w:rsid w:val="00540440"/>
    <w:rsid w:val="0054418D"/>
    <w:rsid w:val="00546970"/>
    <w:rsid w:val="00550B9F"/>
    <w:rsid w:val="00550E41"/>
    <w:rsid w:val="005519D4"/>
    <w:rsid w:val="00554408"/>
    <w:rsid w:val="00554C93"/>
    <w:rsid w:val="00554E19"/>
    <w:rsid w:val="005604C6"/>
    <w:rsid w:val="0056092C"/>
    <w:rsid w:val="00560A75"/>
    <w:rsid w:val="00560F2E"/>
    <w:rsid w:val="0056121F"/>
    <w:rsid w:val="005637ED"/>
    <w:rsid w:val="00564E76"/>
    <w:rsid w:val="005672FB"/>
    <w:rsid w:val="0056782F"/>
    <w:rsid w:val="00571CFA"/>
    <w:rsid w:val="00572505"/>
    <w:rsid w:val="00572A07"/>
    <w:rsid w:val="0057346F"/>
    <w:rsid w:val="00575B91"/>
    <w:rsid w:val="00575C35"/>
    <w:rsid w:val="005800A5"/>
    <w:rsid w:val="005802FB"/>
    <w:rsid w:val="00582809"/>
    <w:rsid w:val="00584AC9"/>
    <w:rsid w:val="0058798C"/>
    <w:rsid w:val="005900FA"/>
    <w:rsid w:val="005913E3"/>
    <w:rsid w:val="00593473"/>
    <w:rsid w:val="005935A4"/>
    <w:rsid w:val="00593E15"/>
    <w:rsid w:val="005948C2"/>
    <w:rsid w:val="00595DCA"/>
    <w:rsid w:val="00597452"/>
    <w:rsid w:val="0059779B"/>
    <w:rsid w:val="005A043F"/>
    <w:rsid w:val="005A209A"/>
    <w:rsid w:val="005A2BAD"/>
    <w:rsid w:val="005A409C"/>
    <w:rsid w:val="005A4CFC"/>
    <w:rsid w:val="005A662D"/>
    <w:rsid w:val="005B1250"/>
    <w:rsid w:val="005B1409"/>
    <w:rsid w:val="005B1CE7"/>
    <w:rsid w:val="005B1DA9"/>
    <w:rsid w:val="005B35D7"/>
    <w:rsid w:val="005B392A"/>
    <w:rsid w:val="005B3AA3"/>
    <w:rsid w:val="005B6F83"/>
    <w:rsid w:val="005B7443"/>
    <w:rsid w:val="005C1355"/>
    <w:rsid w:val="005C342D"/>
    <w:rsid w:val="005C74FB"/>
    <w:rsid w:val="005D1602"/>
    <w:rsid w:val="005D7D5A"/>
    <w:rsid w:val="005E385F"/>
    <w:rsid w:val="005E5B81"/>
    <w:rsid w:val="005E720F"/>
    <w:rsid w:val="005F2CB1"/>
    <w:rsid w:val="005F3025"/>
    <w:rsid w:val="005F618C"/>
    <w:rsid w:val="005F6A6F"/>
    <w:rsid w:val="005F70BD"/>
    <w:rsid w:val="005F7112"/>
    <w:rsid w:val="0060283C"/>
    <w:rsid w:val="00602FA2"/>
    <w:rsid w:val="00604F14"/>
    <w:rsid w:val="00605357"/>
    <w:rsid w:val="00607566"/>
    <w:rsid w:val="00611462"/>
    <w:rsid w:val="00611B83"/>
    <w:rsid w:val="00613257"/>
    <w:rsid w:val="00616584"/>
    <w:rsid w:val="00620A71"/>
    <w:rsid w:val="00620D80"/>
    <w:rsid w:val="006212DE"/>
    <w:rsid w:val="006234A6"/>
    <w:rsid w:val="00623CF9"/>
    <w:rsid w:val="00630001"/>
    <w:rsid w:val="006311B3"/>
    <w:rsid w:val="0063284C"/>
    <w:rsid w:val="006333DB"/>
    <w:rsid w:val="00634A88"/>
    <w:rsid w:val="006361EE"/>
    <w:rsid w:val="00636398"/>
    <w:rsid w:val="00636666"/>
    <w:rsid w:val="006368D3"/>
    <w:rsid w:val="00636B25"/>
    <w:rsid w:val="00636D94"/>
    <w:rsid w:val="006377EC"/>
    <w:rsid w:val="006401D0"/>
    <w:rsid w:val="0064151F"/>
    <w:rsid w:val="00641533"/>
    <w:rsid w:val="0064208D"/>
    <w:rsid w:val="006423AB"/>
    <w:rsid w:val="00643475"/>
    <w:rsid w:val="0064396A"/>
    <w:rsid w:val="00645722"/>
    <w:rsid w:val="0064624E"/>
    <w:rsid w:val="00647EB9"/>
    <w:rsid w:val="00650AB9"/>
    <w:rsid w:val="00652AD2"/>
    <w:rsid w:val="006533BB"/>
    <w:rsid w:val="00655733"/>
    <w:rsid w:val="00655ACD"/>
    <w:rsid w:val="00656A92"/>
    <w:rsid w:val="00656DDE"/>
    <w:rsid w:val="00657B2D"/>
    <w:rsid w:val="0066011D"/>
    <w:rsid w:val="006607C0"/>
    <w:rsid w:val="006613A6"/>
    <w:rsid w:val="006627A2"/>
    <w:rsid w:val="006634E6"/>
    <w:rsid w:val="006655EE"/>
    <w:rsid w:val="006669F1"/>
    <w:rsid w:val="0066739B"/>
    <w:rsid w:val="00667EE7"/>
    <w:rsid w:val="006704B1"/>
    <w:rsid w:val="00670922"/>
    <w:rsid w:val="00670BE1"/>
    <w:rsid w:val="00670EDC"/>
    <w:rsid w:val="0067218F"/>
    <w:rsid w:val="006741F2"/>
    <w:rsid w:val="00674CC3"/>
    <w:rsid w:val="00675C72"/>
    <w:rsid w:val="006771F9"/>
    <w:rsid w:val="006776D7"/>
    <w:rsid w:val="00681003"/>
    <w:rsid w:val="00681578"/>
    <w:rsid w:val="006817C9"/>
    <w:rsid w:val="00681962"/>
    <w:rsid w:val="00681BA2"/>
    <w:rsid w:val="00683ECE"/>
    <w:rsid w:val="006849A0"/>
    <w:rsid w:val="0068773E"/>
    <w:rsid w:val="0069099D"/>
    <w:rsid w:val="00695FC2"/>
    <w:rsid w:val="00696949"/>
    <w:rsid w:val="00697052"/>
    <w:rsid w:val="006A46FB"/>
    <w:rsid w:val="006A5E28"/>
    <w:rsid w:val="006A697B"/>
    <w:rsid w:val="006A6CD2"/>
    <w:rsid w:val="006A7AFF"/>
    <w:rsid w:val="006B1816"/>
    <w:rsid w:val="006B2099"/>
    <w:rsid w:val="006B236B"/>
    <w:rsid w:val="006B3B64"/>
    <w:rsid w:val="006B3E48"/>
    <w:rsid w:val="006B50CF"/>
    <w:rsid w:val="006B55E4"/>
    <w:rsid w:val="006B5A61"/>
    <w:rsid w:val="006B5F34"/>
    <w:rsid w:val="006B7826"/>
    <w:rsid w:val="006C03B8"/>
    <w:rsid w:val="006C5E6E"/>
    <w:rsid w:val="006C5EC9"/>
    <w:rsid w:val="006C6059"/>
    <w:rsid w:val="006C7522"/>
    <w:rsid w:val="006C7744"/>
    <w:rsid w:val="006D0EFF"/>
    <w:rsid w:val="006D3EAC"/>
    <w:rsid w:val="006D485C"/>
    <w:rsid w:val="006D5CD7"/>
    <w:rsid w:val="006D6E8A"/>
    <w:rsid w:val="006D6F08"/>
    <w:rsid w:val="006D734E"/>
    <w:rsid w:val="006D7F37"/>
    <w:rsid w:val="006E062C"/>
    <w:rsid w:val="006E10FE"/>
    <w:rsid w:val="006E1C82"/>
    <w:rsid w:val="006E28B7"/>
    <w:rsid w:val="006E2A9B"/>
    <w:rsid w:val="006E3310"/>
    <w:rsid w:val="006E374F"/>
    <w:rsid w:val="006E4E39"/>
    <w:rsid w:val="006E565E"/>
    <w:rsid w:val="006E673D"/>
    <w:rsid w:val="006E7D3B"/>
    <w:rsid w:val="006F1B70"/>
    <w:rsid w:val="006F341D"/>
    <w:rsid w:val="006F3CDE"/>
    <w:rsid w:val="006F402F"/>
    <w:rsid w:val="006F4CEF"/>
    <w:rsid w:val="006F581A"/>
    <w:rsid w:val="006F58D4"/>
    <w:rsid w:val="006F6582"/>
    <w:rsid w:val="006F7588"/>
    <w:rsid w:val="0070006F"/>
    <w:rsid w:val="0070346E"/>
    <w:rsid w:val="00704EDB"/>
    <w:rsid w:val="00706101"/>
    <w:rsid w:val="00707072"/>
    <w:rsid w:val="00707D61"/>
    <w:rsid w:val="00710A97"/>
    <w:rsid w:val="00712287"/>
    <w:rsid w:val="00712772"/>
    <w:rsid w:val="00713AB6"/>
    <w:rsid w:val="007148D3"/>
    <w:rsid w:val="00715B9A"/>
    <w:rsid w:val="007201BE"/>
    <w:rsid w:val="00720573"/>
    <w:rsid w:val="00721B32"/>
    <w:rsid w:val="007250F7"/>
    <w:rsid w:val="007257D0"/>
    <w:rsid w:val="00726EA6"/>
    <w:rsid w:val="00727208"/>
    <w:rsid w:val="00727680"/>
    <w:rsid w:val="0073429B"/>
    <w:rsid w:val="007348B1"/>
    <w:rsid w:val="007348E3"/>
    <w:rsid w:val="007362A6"/>
    <w:rsid w:val="00736D7D"/>
    <w:rsid w:val="00740A2E"/>
    <w:rsid w:val="00740E58"/>
    <w:rsid w:val="007445A0"/>
    <w:rsid w:val="0074524B"/>
    <w:rsid w:val="007453AF"/>
    <w:rsid w:val="0074730E"/>
    <w:rsid w:val="00747D8B"/>
    <w:rsid w:val="00751228"/>
    <w:rsid w:val="00756868"/>
    <w:rsid w:val="007571E1"/>
    <w:rsid w:val="00757EBA"/>
    <w:rsid w:val="007604B2"/>
    <w:rsid w:val="00760949"/>
    <w:rsid w:val="00761855"/>
    <w:rsid w:val="00762737"/>
    <w:rsid w:val="0076285F"/>
    <w:rsid w:val="007629F5"/>
    <w:rsid w:val="00763787"/>
    <w:rsid w:val="00764B25"/>
    <w:rsid w:val="00765281"/>
    <w:rsid w:val="00766BAD"/>
    <w:rsid w:val="00766C83"/>
    <w:rsid w:val="00770A7B"/>
    <w:rsid w:val="007729A2"/>
    <w:rsid w:val="00773C28"/>
    <w:rsid w:val="007750CE"/>
    <w:rsid w:val="007755F2"/>
    <w:rsid w:val="00776971"/>
    <w:rsid w:val="00780A80"/>
    <w:rsid w:val="0078177E"/>
    <w:rsid w:val="0078304C"/>
    <w:rsid w:val="00783673"/>
    <w:rsid w:val="00784020"/>
    <w:rsid w:val="00785490"/>
    <w:rsid w:val="0078620E"/>
    <w:rsid w:val="00786C5C"/>
    <w:rsid w:val="0079017B"/>
    <w:rsid w:val="007917E2"/>
    <w:rsid w:val="007925EA"/>
    <w:rsid w:val="00793CD8"/>
    <w:rsid w:val="00794552"/>
    <w:rsid w:val="00795C92"/>
    <w:rsid w:val="00796231"/>
    <w:rsid w:val="00797173"/>
    <w:rsid w:val="007A1CB3"/>
    <w:rsid w:val="007A306F"/>
    <w:rsid w:val="007A3BB7"/>
    <w:rsid w:val="007A3EB0"/>
    <w:rsid w:val="007A43A6"/>
    <w:rsid w:val="007A44B6"/>
    <w:rsid w:val="007A58A6"/>
    <w:rsid w:val="007A709A"/>
    <w:rsid w:val="007B1D25"/>
    <w:rsid w:val="007B23C8"/>
    <w:rsid w:val="007B3459"/>
    <w:rsid w:val="007B3D2D"/>
    <w:rsid w:val="007B50AE"/>
    <w:rsid w:val="007B51DF"/>
    <w:rsid w:val="007B5B40"/>
    <w:rsid w:val="007C05DD"/>
    <w:rsid w:val="007C0FB1"/>
    <w:rsid w:val="007C2415"/>
    <w:rsid w:val="007C3D18"/>
    <w:rsid w:val="007C584C"/>
    <w:rsid w:val="007C60BF"/>
    <w:rsid w:val="007C6A07"/>
    <w:rsid w:val="007C75A1"/>
    <w:rsid w:val="007C77A5"/>
    <w:rsid w:val="007D01B8"/>
    <w:rsid w:val="007D04E5"/>
    <w:rsid w:val="007D23EF"/>
    <w:rsid w:val="007D5901"/>
    <w:rsid w:val="007D7526"/>
    <w:rsid w:val="007D7752"/>
    <w:rsid w:val="007E1BBF"/>
    <w:rsid w:val="007E4610"/>
    <w:rsid w:val="007E4715"/>
    <w:rsid w:val="007E505B"/>
    <w:rsid w:val="007E7091"/>
    <w:rsid w:val="007F010E"/>
    <w:rsid w:val="007F084D"/>
    <w:rsid w:val="007F1F42"/>
    <w:rsid w:val="007F657D"/>
    <w:rsid w:val="00800A5C"/>
    <w:rsid w:val="00802764"/>
    <w:rsid w:val="00803FAE"/>
    <w:rsid w:val="008051E8"/>
    <w:rsid w:val="0080605F"/>
    <w:rsid w:val="00807786"/>
    <w:rsid w:val="00810E6C"/>
    <w:rsid w:val="00811FCB"/>
    <w:rsid w:val="008127D2"/>
    <w:rsid w:val="008149CB"/>
    <w:rsid w:val="008158D6"/>
    <w:rsid w:val="00816948"/>
    <w:rsid w:val="00817196"/>
    <w:rsid w:val="00822ADF"/>
    <w:rsid w:val="008235DB"/>
    <w:rsid w:val="008239F8"/>
    <w:rsid w:val="008249B2"/>
    <w:rsid w:val="00824AB4"/>
    <w:rsid w:val="00825C42"/>
    <w:rsid w:val="00825D25"/>
    <w:rsid w:val="00827898"/>
    <w:rsid w:val="00827D6F"/>
    <w:rsid w:val="008311DE"/>
    <w:rsid w:val="00831E0A"/>
    <w:rsid w:val="00833516"/>
    <w:rsid w:val="00833EF0"/>
    <w:rsid w:val="00836367"/>
    <w:rsid w:val="008376AC"/>
    <w:rsid w:val="008444E8"/>
    <w:rsid w:val="00844E80"/>
    <w:rsid w:val="008465BB"/>
    <w:rsid w:val="00846FE7"/>
    <w:rsid w:val="008516EB"/>
    <w:rsid w:val="0085444E"/>
    <w:rsid w:val="00856911"/>
    <w:rsid w:val="00857AFA"/>
    <w:rsid w:val="00857E19"/>
    <w:rsid w:val="00860375"/>
    <w:rsid w:val="00860955"/>
    <w:rsid w:val="00861F0B"/>
    <w:rsid w:val="008667DD"/>
    <w:rsid w:val="008677FD"/>
    <w:rsid w:val="008706D4"/>
    <w:rsid w:val="00870F8A"/>
    <w:rsid w:val="008719A4"/>
    <w:rsid w:val="00871D23"/>
    <w:rsid w:val="008724A2"/>
    <w:rsid w:val="00874312"/>
    <w:rsid w:val="0087437C"/>
    <w:rsid w:val="00874DF1"/>
    <w:rsid w:val="00875CD7"/>
    <w:rsid w:val="00876889"/>
    <w:rsid w:val="00876B4D"/>
    <w:rsid w:val="00876C29"/>
    <w:rsid w:val="00877AA1"/>
    <w:rsid w:val="00877F18"/>
    <w:rsid w:val="008802E8"/>
    <w:rsid w:val="00881146"/>
    <w:rsid w:val="0088225C"/>
    <w:rsid w:val="00887FE6"/>
    <w:rsid w:val="00893E2D"/>
    <w:rsid w:val="008941E3"/>
    <w:rsid w:val="00894A88"/>
    <w:rsid w:val="00895386"/>
    <w:rsid w:val="00895FE7"/>
    <w:rsid w:val="008A19D7"/>
    <w:rsid w:val="008A21FF"/>
    <w:rsid w:val="008A2CE2"/>
    <w:rsid w:val="008A30AC"/>
    <w:rsid w:val="008A3B4A"/>
    <w:rsid w:val="008A3C45"/>
    <w:rsid w:val="008A44B8"/>
    <w:rsid w:val="008A4AE6"/>
    <w:rsid w:val="008A51A8"/>
    <w:rsid w:val="008A54C7"/>
    <w:rsid w:val="008A644C"/>
    <w:rsid w:val="008A6F06"/>
    <w:rsid w:val="008A708C"/>
    <w:rsid w:val="008A77D8"/>
    <w:rsid w:val="008B0483"/>
    <w:rsid w:val="008B120C"/>
    <w:rsid w:val="008B1BD6"/>
    <w:rsid w:val="008B51A0"/>
    <w:rsid w:val="008B592A"/>
    <w:rsid w:val="008B7B5C"/>
    <w:rsid w:val="008C0C99"/>
    <w:rsid w:val="008C137B"/>
    <w:rsid w:val="008C1477"/>
    <w:rsid w:val="008C2017"/>
    <w:rsid w:val="008C2908"/>
    <w:rsid w:val="008C4958"/>
    <w:rsid w:val="008C4BAA"/>
    <w:rsid w:val="008C6AE8"/>
    <w:rsid w:val="008C7573"/>
    <w:rsid w:val="008C7ED9"/>
    <w:rsid w:val="008D00A5"/>
    <w:rsid w:val="008D2985"/>
    <w:rsid w:val="008D2CD2"/>
    <w:rsid w:val="008D34F1"/>
    <w:rsid w:val="008D39D8"/>
    <w:rsid w:val="008D5787"/>
    <w:rsid w:val="008D5D36"/>
    <w:rsid w:val="008D5F68"/>
    <w:rsid w:val="008D6D1A"/>
    <w:rsid w:val="008D6F58"/>
    <w:rsid w:val="008E065E"/>
    <w:rsid w:val="008E0927"/>
    <w:rsid w:val="008E0CCF"/>
    <w:rsid w:val="008E1909"/>
    <w:rsid w:val="008E53F0"/>
    <w:rsid w:val="008F08F7"/>
    <w:rsid w:val="008F1C4E"/>
    <w:rsid w:val="008F1EAB"/>
    <w:rsid w:val="008F26DA"/>
    <w:rsid w:val="008F33DC"/>
    <w:rsid w:val="008F477F"/>
    <w:rsid w:val="008F48F3"/>
    <w:rsid w:val="008F50E0"/>
    <w:rsid w:val="008F64A7"/>
    <w:rsid w:val="008F661C"/>
    <w:rsid w:val="00902350"/>
    <w:rsid w:val="0090325C"/>
    <w:rsid w:val="0090336B"/>
    <w:rsid w:val="009053AA"/>
    <w:rsid w:val="00906939"/>
    <w:rsid w:val="00910B7D"/>
    <w:rsid w:val="00911DFB"/>
    <w:rsid w:val="009139D9"/>
    <w:rsid w:val="00914AD8"/>
    <w:rsid w:val="00916079"/>
    <w:rsid w:val="00916C7F"/>
    <w:rsid w:val="00917CE9"/>
    <w:rsid w:val="0092075B"/>
    <w:rsid w:val="00920BF2"/>
    <w:rsid w:val="00922010"/>
    <w:rsid w:val="009302B2"/>
    <w:rsid w:val="009309AB"/>
    <w:rsid w:val="00930E79"/>
    <w:rsid w:val="00931BD9"/>
    <w:rsid w:val="0093396D"/>
    <w:rsid w:val="00935A89"/>
    <w:rsid w:val="009368F3"/>
    <w:rsid w:val="00937B73"/>
    <w:rsid w:val="00940DE9"/>
    <w:rsid w:val="00941636"/>
    <w:rsid w:val="00942CA7"/>
    <w:rsid w:val="00943742"/>
    <w:rsid w:val="00943DE2"/>
    <w:rsid w:val="0094445C"/>
    <w:rsid w:val="00945C05"/>
    <w:rsid w:val="009466F2"/>
    <w:rsid w:val="00946945"/>
    <w:rsid w:val="00946AE0"/>
    <w:rsid w:val="00947713"/>
    <w:rsid w:val="00947773"/>
    <w:rsid w:val="00950DE7"/>
    <w:rsid w:val="00953920"/>
    <w:rsid w:val="00953D47"/>
    <w:rsid w:val="0095681E"/>
    <w:rsid w:val="009572D4"/>
    <w:rsid w:val="00957B5E"/>
    <w:rsid w:val="009605FD"/>
    <w:rsid w:val="00960F0E"/>
    <w:rsid w:val="00960F87"/>
    <w:rsid w:val="00961921"/>
    <w:rsid w:val="00962054"/>
    <w:rsid w:val="009635D2"/>
    <w:rsid w:val="00963853"/>
    <w:rsid w:val="0096430A"/>
    <w:rsid w:val="0096554B"/>
    <w:rsid w:val="0096584A"/>
    <w:rsid w:val="00971F08"/>
    <w:rsid w:val="0097269B"/>
    <w:rsid w:val="009740F8"/>
    <w:rsid w:val="0097603D"/>
    <w:rsid w:val="0097644B"/>
    <w:rsid w:val="00976949"/>
    <w:rsid w:val="00976D1B"/>
    <w:rsid w:val="00977EE4"/>
    <w:rsid w:val="00980477"/>
    <w:rsid w:val="00983411"/>
    <w:rsid w:val="00984C2F"/>
    <w:rsid w:val="00985253"/>
    <w:rsid w:val="009853B3"/>
    <w:rsid w:val="00990630"/>
    <w:rsid w:val="00990D06"/>
    <w:rsid w:val="00991761"/>
    <w:rsid w:val="00993376"/>
    <w:rsid w:val="009947B6"/>
    <w:rsid w:val="00994DCA"/>
    <w:rsid w:val="009960EC"/>
    <w:rsid w:val="00996A6E"/>
    <w:rsid w:val="009970DD"/>
    <w:rsid w:val="00997F60"/>
    <w:rsid w:val="009A0FBA"/>
    <w:rsid w:val="009A1601"/>
    <w:rsid w:val="009A2031"/>
    <w:rsid w:val="009A3BB6"/>
    <w:rsid w:val="009A462D"/>
    <w:rsid w:val="009A5CBA"/>
    <w:rsid w:val="009A5D7F"/>
    <w:rsid w:val="009A5EAB"/>
    <w:rsid w:val="009A7BF9"/>
    <w:rsid w:val="009A7D6D"/>
    <w:rsid w:val="009B0B79"/>
    <w:rsid w:val="009B1F30"/>
    <w:rsid w:val="009B356E"/>
    <w:rsid w:val="009B3AC2"/>
    <w:rsid w:val="009B4DF4"/>
    <w:rsid w:val="009B524E"/>
    <w:rsid w:val="009B564E"/>
    <w:rsid w:val="009B670C"/>
    <w:rsid w:val="009B7E87"/>
    <w:rsid w:val="009C0169"/>
    <w:rsid w:val="009C0647"/>
    <w:rsid w:val="009C403E"/>
    <w:rsid w:val="009C6870"/>
    <w:rsid w:val="009D0F24"/>
    <w:rsid w:val="009D1BB3"/>
    <w:rsid w:val="009D2282"/>
    <w:rsid w:val="009D2C71"/>
    <w:rsid w:val="009D4FF0"/>
    <w:rsid w:val="009D51F1"/>
    <w:rsid w:val="009D554A"/>
    <w:rsid w:val="009D703C"/>
    <w:rsid w:val="009D710D"/>
    <w:rsid w:val="009D718F"/>
    <w:rsid w:val="009D783A"/>
    <w:rsid w:val="009E068F"/>
    <w:rsid w:val="009E14E0"/>
    <w:rsid w:val="009E35DB"/>
    <w:rsid w:val="009E47A3"/>
    <w:rsid w:val="009F08F3"/>
    <w:rsid w:val="009F344F"/>
    <w:rsid w:val="009F5CB0"/>
    <w:rsid w:val="009F617C"/>
    <w:rsid w:val="00A00226"/>
    <w:rsid w:val="00A0063C"/>
    <w:rsid w:val="00A031D8"/>
    <w:rsid w:val="00A048A8"/>
    <w:rsid w:val="00A04F49"/>
    <w:rsid w:val="00A05ED5"/>
    <w:rsid w:val="00A105D3"/>
    <w:rsid w:val="00A13E54"/>
    <w:rsid w:val="00A14871"/>
    <w:rsid w:val="00A15C2D"/>
    <w:rsid w:val="00A17F63"/>
    <w:rsid w:val="00A2193B"/>
    <w:rsid w:val="00A231D0"/>
    <w:rsid w:val="00A2351A"/>
    <w:rsid w:val="00A264A9"/>
    <w:rsid w:val="00A26DCF"/>
    <w:rsid w:val="00A27785"/>
    <w:rsid w:val="00A30187"/>
    <w:rsid w:val="00A32286"/>
    <w:rsid w:val="00A32946"/>
    <w:rsid w:val="00A3448A"/>
    <w:rsid w:val="00A34B6D"/>
    <w:rsid w:val="00A36297"/>
    <w:rsid w:val="00A36EBF"/>
    <w:rsid w:val="00A40AD6"/>
    <w:rsid w:val="00A41E2B"/>
    <w:rsid w:val="00A447CE"/>
    <w:rsid w:val="00A4487C"/>
    <w:rsid w:val="00A45B74"/>
    <w:rsid w:val="00A52E1D"/>
    <w:rsid w:val="00A608FB"/>
    <w:rsid w:val="00A61499"/>
    <w:rsid w:val="00A61737"/>
    <w:rsid w:val="00A62A77"/>
    <w:rsid w:val="00A63483"/>
    <w:rsid w:val="00A642C7"/>
    <w:rsid w:val="00A657D7"/>
    <w:rsid w:val="00A660AC"/>
    <w:rsid w:val="00A67E6C"/>
    <w:rsid w:val="00A716CC"/>
    <w:rsid w:val="00A71B99"/>
    <w:rsid w:val="00A7383D"/>
    <w:rsid w:val="00A739D0"/>
    <w:rsid w:val="00A73E30"/>
    <w:rsid w:val="00A761D4"/>
    <w:rsid w:val="00A77EC4"/>
    <w:rsid w:val="00A80391"/>
    <w:rsid w:val="00A81F94"/>
    <w:rsid w:val="00A82813"/>
    <w:rsid w:val="00A85BE9"/>
    <w:rsid w:val="00A85DAB"/>
    <w:rsid w:val="00A875EA"/>
    <w:rsid w:val="00A90E0F"/>
    <w:rsid w:val="00A92879"/>
    <w:rsid w:val="00A9442A"/>
    <w:rsid w:val="00AA016F"/>
    <w:rsid w:val="00AA1408"/>
    <w:rsid w:val="00AA1ED6"/>
    <w:rsid w:val="00AA2EEF"/>
    <w:rsid w:val="00AA4C2B"/>
    <w:rsid w:val="00AA51D6"/>
    <w:rsid w:val="00AB0BC8"/>
    <w:rsid w:val="00AB11CA"/>
    <w:rsid w:val="00AB14D9"/>
    <w:rsid w:val="00AB36E1"/>
    <w:rsid w:val="00AB4AB8"/>
    <w:rsid w:val="00AB655E"/>
    <w:rsid w:val="00AC007F"/>
    <w:rsid w:val="00AC2ECD"/>
    <w:rsid w:val="00AC3119"/>
    <w:rsid w:val="00AC4842"/>
    <w:rsid w:val="00AC49FB"/>
    <w:rsid w:val="00AC5A10"/>
    <w:rsid w:val="00AC647C"/>
    <w:rsid w:val="00AD0AA3"/>
    <w:rsid w:val="00AD1E94"/>
    <w:rsid w:val="00AD2ED0"/>
    <w:rsid w:val="00AD3F94"/>
    <w:rsid w:val="00AD49CC"/>
    <w:rsid w:val="00AD4A5A"/>
    <w:rsid w:val="00AD5F4A"/>
    <w:rsid w:val="00AE1174"/>
    <w:rsid w:val="00AE2334"/>
    <w:rsid w:val="00AE27AC"/>
    <w:rsid w:val="00AE40E0"/>
    <w:rsid w:val="00AE4DBA"/>
    <w:rsid w:val="00AE4F07"/>
    <w:rsid w:val="00AE50BB"/>
    <w:rsid w:val="00AE6C10"/>
    <w:rsid w:val="00AF1C5D"/>
    <w:rsid w:val="00AF42D7"/>
    <w:rsid w:val="00AF606E"/>
    <w:rsid w:val="00AF64D6"/>
    <w:rsid w:val="00AF78B1"/>
    <w:rsid w:val="00B006FE"/>
    <w:rsid w:val="00B007CB"/>
    <w:rsid w:val="00B00ABF"/>
    <w:rsid w:val="00B00B35"/>
    <w:rsid w:val="00B00EC5"/>
    <w:rsid w:val="00B02AA9"/>
    <w:rsid w:val="00B02FA3"/>
    <w:rsid w:val="00B0323B"/>
    <w:rsid w:val="00B04754"/>
    <w:rsid w:val="00B05084"/>
    <w:rsid w:val="00B07B10"/>
    <w:rsid w:val="00B14A6A"/>
    <w:rsid w:val="00B157F9"/>
    <w:rsid w:val="00B15AB6"/>
    <w:rsid w:val="00B15B80"/>
    <w:rsid w:val="00B20256"/>
    <w:rsid w:val="00B2085E"/>
    <w:rsid w:val="00B20D09"/>
    <w:rsid w:val="00B22F06"/>
    <w:rsid w:val="00B249B3"/>
    <w:rsid w:val="00B2757F"/>
    <w:rsid w:val="00B2763F"/>
    <w:rsid w:val="00B27AAC"/>
    <w:rsid w:val="00B30243"/>
    <w:rsid w:val="00B30487"/>
    <w:rsid w:val="00B308FF"/>
    <w:rsid w:val="00B30929"/>
    <w:rsid w:val="00B32006"/>
    <w:rsid w:val="00B3269D"/>
    <w:rsid w:val="00B33FC2"/>
    <w:rsid w:val="00B34942"/>
    <w:rsid w:val="00B37191"/>
    <w:rsid w:val="00B372AA"/>
    <w:rsid w:val="00B3739F"/>
    <w:rsid w:val="00B40445"/>
    <w:rsid w:val="00B409E0"/>
    <w:rsid w:val="00B40FE3"/>
    <w:rsid w:val="00B413C4"/>
    <w:rsid w:val="00B41888"/>
    <w:rsid w:val="00B45A52"/>
    <w:rsid w:val="00B46175"/>
    <w:rsid w:val="00B4717E"/>
    <w:rsid w:val="00B47E17"/>
    <w:rsid w:val="00B515AF"/>
    <w:rsid w:val="00B548B7"/>
    <w:rsid w:val="00B62D01"/>
    <w:rsid w:val="00B6305E"/>
    <w:rsid w:val="00B664C7"/>
    <w:rsid w:val="00B67682"/>
    <w:rsid w:val="00B713D8"/>
    <w:rsid w:val="00B73724"/>
    <w:rsid w:val="00B739F6"/>
    <w:rsid w:val="00B75DC5"/>
    <w:rsid w:val="00B77C37"/>
    <w:rsid w:val="00B803BE"/>
    <w:rsid w:val="00B80A5A"/>
    <w:rsid w:val="00B81A6C"/>
    <w:rsid w:val="00B82A67"/>
    <w:rsid w:val="00B83398"/>
    <w:rsid w:val="00B84304"/>
    <w:rsid w:val="00B85DE5"/>
    <w:rsid w:val="00B85F10"/>
    <w:rsid w:val="00B86C24"/>
    <w:rsid w:val="00B86CD3"/>
    <w:rsid w:val="00B90032"/>
    <w:rsid w:val="00B90482"/>
    <w:rsid w:val="00B904B7"/>
    <w:rsid w:val="00B90DF0"/>
    <w:rsid w:val="00B90F73"/>
    <w:rsid w:val="00B93B59"/>
    <w:rsid w:val="00B9406A"/>
    <w:rsid w:val="00B97CA6"/>
    <w:rsid w:val="00BA0F10"/>
    <w:rsid w:val="00BA117C"/>
    <w:rsid w:val="00BA2280"/>
    <w:rsid w:val="00BA2A08"/>
    <w:rsid w:val="00BA56D2"/>
    <w:rsid w:val="00BA76E0"/>
    <w:rsid w:val="00BB0514"/>
    <w:rsid w:val="00BB1738"/>
    <w:rsid w:val="00BB2839"/>
    <w:rsid w:val="00BB2A25"/>
    <w:rsid w:val="00BB2C23"/>
    <w:rsid w:val="00BB34E3"/>
    <w:rsid w:val="00BB51E9"/>
    <w:rsid w:val="00BB73B1"/>
    <w:rsid w:val="00BC0EC9"/>
    <w:rsid w:val="00BC0FDC"/>
    <w:rsid w:val="00BC3053"/>
    <w:rsid w:val="00BC36C3"/>
    <w:rsid w:val="00BC3D55"/>
    <w:rsid w:val="00BC4D2E"/>
    <w:rsid w:val="00BC4EBD"/>
    <w:rsid w:val="00BC7D42"/>
    <w:rsid w:val="00BD48AC"/>
    <w:rsid w:val="00BD5F1A"/>
    <w:rsid w:val="00BE1234"/>
    <w:rsid w:val="00BE179C"/>
    <w:rsid w:val="00BE2FA6"/>
    <w:rsid w:val="00BE333F"/>
    <w:rsid w:val="00BE7406"/>
    <w:rsid w:val="00BE7603"/>
    <w:rsid w:val="00BE7C9D"/>
    <w:rsid w:val="00BF03C7"/>
    <w:rsid w:val="00BF2D41"/>
    <w:rsid w:val="00BF3279"/>
    <w:rsid w:val="00BF4500"/>
    <w:rsid w:val="00BF4A4A"/>
    <w:rsid w:val="00BF74C7"/>
    <w:rsid w:val="00C015F1"/>
    <w:rsid w:val="00C01F33"/>
    <w:rsid w:val="00C02CC6"/>
    <w:rsid w:val="00C040F7"/>
    <w:rsid w:val="00C044AB"/>
    <w:rsid w:val="00C05706"/>
    <w:rsid w:val="00C057AF"/>
    <w:rsid w:val="00C07377"/>
    <w:rsid w:val="00C10021"/>
    <w:rsid w:val="00C10478"/>
    <w:rsid w:val="00C12107"/>
    <w:rsid w:val="00C130AD"/>
    <w:rsid w:val="00C149A2"/>
    <w:rsid w:val="00C14CE2"/>
    <w:rsid w:val="00C14D4B"/>
    <w:rsid w:val="00C154BB"/>
    <w:rsid w:val="00C1575D"/>
    <w:rsid w:val="00C179DA"/>
    <w:rsid w:val="00C21DDE"/>
    <w:rsid w:val="00C23010"/>
    <w:rsid w:val="00C23CDD"/>
    <w:rsid w:val="00C279B5"/>
    <w:rsid w:val="00C27C45"/>
    <w:rsid w:val="00C34A89"/>
    <w:rsid w:val="00C3639D"/>
    <w:rsid w:val="00C3719D"/>
    <w:rsid w:val="00C37CB2"/>
    <w:rsid w:val="00C40862"/>
    <w:rsid w:val="00C40FCB"/>
    <w:rsid w:val="00C42137"/>
    <w:rsid w:val="00C4362E"/>
    <w:rsid w:val="00C473A5"/>
    <w:rsid w:val="00C50FA5"/>
    <w:rsid w:val="00C532D9"/>
    <w:rsid w:val="00C54995"/>
    <w:rsid w:val="00C54D41"/>
    <w:rsid w:val="00C56949"/>
    <w:rsid w:val="00C5787F"/>
    <w:rsid w:val="00C600B1"/>
    <w:rsid w:val="00C60783"/>
    <w:rsid w:val="00C60AC7"/>
    <w:rsid w:val="00C62A5B"/>
    <w:rsid w:val="00C64672"/>
    <w:rsid w:val="00C65968"/>
    <w:rsid w:val="00C659A1"/>
    <w:rsid w:val="00C66043"/>
    <w:rsid w:val="00C703EB"/>
    <w:rsid w:val="00C70697"/>
    <w:rsid w:val="00C72093"/>
    <w:rsid w:val="00C72851"/>
    <w:rsid w:val="00C72EF4"/>
    <w:rsid w:val="00C744FE"/>
    <w:rsid w:val="00C75D2F"/>
    <w:rsid w:val="00C767BE"/>
    <w:rsid w:val="00C76E3C"/>
    <w:rsid w:val="00C7789E"/>
    <w:rsid w:val="00C80E42"/>
    <w:rsid w:val="00C81568"/>
    <w:rsid w:val="00C8234F"/>
    <w:rsid w:val="00C87015"/>
    <w:rsid w:val="00C87FD4"/>
    <w:rsid w:val="00C9027A"/>
    <w:rsid w:val="00C9068E"/>
    <w:rsid w:val="00C91FD8"/>
    <w:rsid w:val="00C92A67"/>
    <w:rsid w:val="00C92B08"/>
    <w:rsid w:val="00C93814"/>
    <w:rsid w:val="00C93C4B"/>
    <w:rsid w:val="00C944AB"/>
    <w:rsid w:val="00C95B40"/>
    <w:rsid w:val="00CA1ED8"/>
    <w:rsid w:val="00CA22CD"/>
    <w:rsid w:val="00CA3824"/>
    <w:rsid w:val="00CA71E0"/>
    <w:rsid w:val="00CB045B"/>
    <w:rsid w:val="00CB0BD7"/>
    <w:rsid w:val="00CB1F63"/>
    <w:rsid w:val="00CB2FDB"/>
    <w:rsid w:val="00CB3702"/>
    <w:rsid w:val="00CB4AEC"/>
    <w:rsid w:val="00CB6C4B"/>
    <w:rsid w:val="00CB7170"/>
    <w:rsid w:val="00CC0265"/>
    <w:rsid w:val="00CC040E"/>
    <w:rsid w:val="00CC111F"/>
    <w:rsid w:val="00CC2011"/>
    <w:rsid w:val="00CC36BA"/>
    <w:rsid w:val="00CC3EA0"/>
    <w:rsid w:val="00CC52A8"/>
    <w:rsid w:val="00CC6714"/>
    <w:rsid w:val="00CC77B4"/>
    <w:rsid w:val="00CC7B45"/>
    <w:rsid w:val="00CD1188"/>
    <w:rsid w:val="00CD2ED1"/>
    <w:rsid w:val="00CD337B"/>
    <w:rsid w:val="00CD679C"/>
    <w:rsid w:val="00CE0424"/>
    <w:rsid w:val="00CE1D65"/>
    <w:rsid w:val="00CE57CE"/>
    <w:rsid w:val="00CE6FD1"/>
    <w:rsid w:val="00CE7561"/>
    <w:rsid w:val="00CF1354"/>
    <w:rsid w:val="00CF2243"/>
    <w:rsid w:val="00CF3049"/>
    <w:rsid w:val="00CF3A73"/>
    <w:rsid w:val="00CF3B1F"/>
    <w:rsid w:val="00CF3BF6"/>
    <w:rsid w:val="00CF625B"/>
    <w:rsid w:val="00CF687E"/>
    <w:rsid w:val="00CF6FD9"/>
    <w:rsid w:val="00CF72F1"/>
    <w:rsid w:val="00D018F7"/>
    <w:rsid w:val="00D0349B"/>
    <w:rsid w:val="00D03D14"/>
    <w:rsid w:val="00D06A61"/>
    <w:rsid w:val="00D078AD"/>
    <w:rsid w:val="00D10249"/>
    <w:rsid w:val="00D10DD4"/>
    <w:rsid w:val="00D115C3"/>
    <w:rsid w:val="00D11897"/>
    <w:rsid w:val="00D13135"/>
    <w:rsid w:val="00D13E4E"/>
    <w:rsid w:val="00D14554"/>
    <w:rsid w:val="00D157FD"/>
    <w:rsid w:val="00D15B33"/>
    <w:rsid w:val="00D207A9"/>
    <w:rsid w:val="00D239A7"/>
    <w:rsid w:val="00D23F47"/>
    <w:rsid w:val="00D24551"/>
    <w:rsid w:val="00D27BAE"/>
    <w:rsid w:val="00D32DE1"/>
    <w:rsid w:val="00D34019"/>
    <w:rsid w:val="00D34F48"/>
    <w:rsid w:val="00D36E71"/>
    <w:rsid w:val="00D371D1"/>
    <w:rsid w:val="00D37D87"/>
    <w:rsid w:val="00D40B33"/>
    <w:rsid w:val="00D42AA0"/>
    <w:rsid w:val="00D4318F"/>
    <w:rsid w:val="00D438BF"/>
    <w:rsid w:val="00D440F8"/>
    <w:rsid w:val="00D4479A"/>
    <w:rsid w:val="00D4554E"/>
    <w:rsid w:val="00D47C78"/>
    <w:rsid w:val="00D51C52"/>
    <w:rsid w:val="00D52265"/>
    <w:rsid w:val="00D5418A"/>
    <w:rsid w:val="00D546FF"/>
    <w:rsid w:val="00D55AD5"/>
    <w:rsid w:val="00D56D01"/>
    <w:rsid w:val="00D576CA"/>
    <w:rsid w:val="00D57AE8"/>
    <w:rsid w:val="00D61AF5"/>
    <w:rsid w:val="00D63A6A"/>
    <w:rsid w:val="00D652B5"/>
    <w:rsid w:val="00D66155"/>
    <w:rsid w:val="00D66BA4"/>
    <w:rsid w:val="00D708B0"/>
    <w:rsid w:val="00D71032"/>
    <w:rsid w:val="00D73DE2"/>
    <w:rsid w:val="00D77B1D"/>
    <w:rsid w:val="00D77ED5"/>
    <w:rsid w:val="00D8021F"/>
    <w:rsid w:val="00D80383"/>
    <w:rsid w:val="00D81BAC"/>
    <w:rsid w:val="00D823C6"/>
    <w:rsid w:val="00D8327F"/>
    <w:rsid w:val="00D85DDE"/>
    <w:rsid w:val="00D86CA3"/>
    <w:rsid w:val="00D871CE"/>
    <w:rsid w:val="00D9196D"/>
    <w:rsid w:val="00D92982"/>
    <w:rsid w:val="00D97D7C"/>
    <w:rsid w:val="00DA03CD"/>
    <w:rsid w:val="00DA0586"/>
    <w:rsid w:val="00DA238A"/>
    <w:rsid w:val="00DA2E82"/>
    <w:rsid w:val="00DA305E"/>
    <w:rsid w:val="00DA4B45"/>
    <w:rsid w:val="00DA5417"/>
    <w:rsid w:val="00DA56E8"/>
    <w:rsid w:val="00DA7899"/>
    <w:rsid w:val="00DA7A63"/>
    <w:rsid w:val="00DB0A9F"/>
    <w:rsid w:val="00DB377D"/>
    <w:rsid w:val="00DB4AC9"/>
    <w:rsid w:val="00DB6367"/>
    <w:rsid w:val="00DC05D5"/>
    <w:rsid w:val="00DC2D36"/>
    <w:rsid w:val="00DC474C"/>
    <w:rsid w:val="00DC53EF"/>
    <w:rsid w:val="00DC6962"/>
    <w:rsid w:val="00DC6B9D"/>
    <w:rsid w:val="00DD3ED7"/>
    <w:rsid w:val="00DD4719"/>
    <w:rsid w:val="00DE2C74"/>
    <w:rsid w:val="00DE4E2F"/>
    <w:rsid w:val="00DE5608"/>
    <w:rsid w:val="00DE58D0"/>
    <w:rsid w:val="00DE5A97"/>
    <w:rsid w:val="00DE654F"/>
    <w:rsid w:val="00DF0B6E"/>
    <w:rsid w:val="00DF15E0"/>
    <w:rsid w:val="00DF2857"/>
    <w:rsid w:val="00DF37A0"/>
    <w:rsid w:val="00DF7857"/>
    <w:rsid w:val="00E0083C"/>
    <w:rsid w:val="00E0775D"/>
    <w:rsid w:val="00E110E7"/>
    <w:rsid w:val="00E11333"/>
    <w:rsid w:val="00E11B20"/>
    <w:rsid w:val="00E13012"/>
    <w:rsid w:val="00E13BC3"/>
    <w:rsid w:val="00E15216"/>
    <w:rsid w:val="00E17FA2"/>
    <w:rsid w:val="00E206FA"/>
    <w:rsid w:val="00E20F32"/>
    <w:rsid w:val="00E22330"/>
    <w:rsid w:val="00E23E6A"/>
    <w:rsid w:val="00E25FF6"/>
    <w:rsid w:val="00E30B5A"/>
    <w:rsid w:val="00E3123D"/>
    <w:rsid w:val="00E31461"/>
    <w:rsid w:val="00E31D43"/>
    <w:rsid w:val="00E32608"/>
    <w:rsid w:val="00E34188"/>
    <w:rsid w:val="00E34B6E"/>
    <w:rsid w:val="00E3500E"/>
    <w:rsid w:val="00E35559"/>
    <w:rsid w:val="00E3723A"/>
    <w:rsid w:val="00E37860"/>
    <w:rsid w:val="00E446F1"/>
    <w:rsid w:val="00E44767"/>
    <w:rsid w:val="00E45655"/>
    <w:rsid w:val="00E45B6C"/>
    <w:rsid w:val="00E46886"/>
    <w:rsid w:val="00E47AEF"/>
    <w:rsid w:val="00E50FF3"/>
    <w:rsid w:val="00E51F85"/>
    <w:rsid w:val="00E53B75"/>
    <w:rsid w:val="00E54E3B"/>
    <w:rsid w:val="00E57565"/>
    <w:rsid w:val="00E606C3"/>
    <w:rsid w:val="00E63838"/>
    <w:rsid w:val="00E63C00"/>
    <w:rsid w:val="00E64434"/>
    <w:rsid w:val="00E67027"/>
    <w:rsid w:val="00E67C51"/>
    <w:rsid w:val="00E72EFC"/>
    <w:rsid w:val="00E73C15"/>
    <w:rsid w:val="00E758EC"/>
    <w:rsid w:val="00E7731A"/>
    <w:rsid w:val="00E81456"/>
    <w:rsid w:val="00E8234C"/>
    <w:rsid w:val="00E83AA9"/>
    <w:rsid w:val="00E83EE0"/>
    <w:rsid w:val="00E841E6"/>
    <w:rsid w:val="00E85928"/>
    <w:rsid w:val="00E87822"/>
    <w:rsid w:val="00E90395"/>
    <w:rsid w:val="00E90E49"/>
    <w:rsid w:val="00E917F9"/>
    <w:rsid w:val="00E9291C"/>
    <w:rsid w:val="00E93141"/>
    <w:rsid w:val="00E934F3"/>
    <w:rsid w:val="00E938CA"/>
    <w:rsid w:val="00E93FFE"/>
    <w:rsid w:val="00E94BC4"/>
    <w:rsid w:val="00E94F8A"/>
    <w:rsid w:val="00E96699"/>
    <w:rsid w:val="00EA0C9E"/>
    <w:rsid w:val="00EA16E4"/>
    <w:rsid w:val="00EA1F0A"/>
    <w:rsid w:val="00EA2D21"/>
    <w:rsid w:val="00EA3690"/>
    <w:rsid w:val="00EA37D9"/>
    <w:rsid w:val="00EA4449"/>
    <w:rsid w:val="00EA7A41"/>
    <w:rsid w:val="00EB077B"/>
    <w:rsid w:val="00EB0D7F"/>
    <w:rsid w:val="00EB32AC"/>
    <w:rsid w:val="00EB430F"/>
    <w:rsid w:val="00EB4EA2"/>
    <w:rsid w:val="00EC01C6"/>
    <w:rsid w:val="00EC03CC"/>
    <w:rsid w:val="00EC0F2A"/>
    <w:rsid w:val="00EC0FC1"/>
    <w:rsid w:val="00EC2482"/>
    <w:rsid w:val="00EC24D5"/>
    <w:rsid w:val="00EC27C6"/>
    <w:rsid w:val="00EC3F9E"/>
    <w:rsid w:val="00EC4207"/>
    <w:rsid w:val="00EC5653"/>
    <w:rsid w:val="00EC704A"/>
    <w:rsid w:val="00EC71CE"/>
    <w:rsid w:val="00ED1006"/>
    <w:rsid w:val="00ED2293"/>
    <w:rsid w:val="00ED23AA"/>
    <w:rsid w:val="00ED4750"/>
    <w:rsid w:val="00ED4A02"/>
    <w:rsid w:val="00ED5966"/>
    <w:rsid w:val="00ED5AC7"/>
    <w:rsid w:val="00ED730F"/>
    <w:rsid w:val="00ED7AFE"/>
    <w:rsid w:val="00EE0CED"/>
    <w:rsid w:val="00EE553B"/>
    <w:rsid w:val="00EE6C36"/>
    <w:rsid w:val="00EF18FE"/>
    <w:rsid w:val="00EF1CDD"/>
    <w:rsid w:val="00EF2D1D"/>
    <w:rsid w:val="00EF4D56"/>
    <w:rsid w:val="00EF5111"/>
    <w:rsid w:val="00EF5787"/>
    <w:rsid w:val="00EF60D0"/>
    <w:rsid w:val="00EF6152"/>
    <w:rsid w:val="00F0528D"/>
    <w:rsid w:val="00F062FF"/>
    <w:rsid w:val="00F06C67"/>
    <w:rsid w:val="00F06DFD"/>
    <w:rsid w:val="00F071D1"/>
    <w:rsid w:val="00F07533"/>
    <w:rsid w:val="00F10081"/>
    <w:rsid w:val="00F10629"/>
    <w:rsid w:val="00F10ADD"/>
    <w:rsid w:val="00F1148F"/>
    <w:rsid w:val="00F116B4"/>
    <w:rsid w:val="00F12132"/>
    <w:rsid w:val="00F12238"/>
    <w:rsid w:val="00F1514A"/>
    <w:rsid w:val="00F152CA"/>
    <w:rsid w:val="00F15C45"/>
    <w:rsid w:val="00F15FA5"/>
    <w:rsid w:val="00F17299"/>
    <w:rsid w:val="00F173A7"/>
    <w:rsid w:val="00F20511"/>
    <w:rsid w:val="00F209B7"/>
    <w:rsid w:val="00F2376F"/>
    <w:rsid w:val="00F243D8"/>
    <w:rsid w:val="00F27A5C"/>
    <w:rsid w:val="00F30828"/>
    <w:rsid w:val="00F313D6"/>
    <w:rsid w:val="00F32BA0"/>
    <w:rsid w:val="00F33EBF"/>
    <w:rsid w:val="00F37579"/>
    <w:rsid w:val="00F40F0C"/>
    <w:rsid w:val="00F41F07"/>
    <w:rsid w:val="00F44782"/>
    <w:rsid w:val="00F460F1"/>
    <w:rsid w:val="00F4766C"/>
    <w:rsid w:val="00F5060E"/>
    <w:rsid w:val="00F507D1"/>
    <w:rsid w:val="00F519CE"/>
    <w:rsid w:val="00F51ADA"/>
    <w:rsid w:val="00F523F6"/>
    <w:rsid w:val="00F5275A"/>
    <w:rsid w:val="00F5325A"/>
    <w:rsid w:val="00F546CA"/>
    <w:rsid w:val="00F54E35"/>
    <w:rsid w:val="00F60203"/>
    <w:rsid w:val="00F607C5"/>
    <w:rsid w:val="00F60DEA"/>
    <w:rsid w:val="00F61EBF"/>
    <w:rsid w:val="00F629E0"/>
    <w:rsid w:val="00F62BD7"/>
    <w:rsid w:val="00F62ED8"/>
    <w:rsid w:val="00F62FCC"/>
    <w:rsid w:val="00F6302A"/>
    <w:rsid w:val="00F63950"/>
    <w:rsid w:val="00F63D26"/>
    <w:rsid w:val="00F64C2B"/>
    <w:rsid w:val="00F651BE"/>
    <w:rsid w:val="00F67072"/>
    <w:rsid w:val="00F6776F"/>
    <w:rsid w:val="00F67F53"/>
    <w:rsid w:val="00F703BE"/>
    <w:rsid w:val="00F71DCE"/>
    <w:rsid w:val="00F71F69"/>
    <w:rsid w:val="00F72B72"/>
    <w:rsid w:val="00F72E6F"/>
    <w:rsid w:val="00F72E80"/>
    <w:rsid w:val="00F73ABB"/>
    <w:rsid w:val="00F742A6"/>
    <w:rsid w:val="00F74BB9"/>
    <w:rsid w:val="00F75582"/>
    <w:rsid w:val="00F76EFA"/>
    <w:rsid w:val="00F7785B"/>
    <w:rsid w:val="00F804BE"/>
    <w:rsid w:val="00F817CE"/>
    <w:rsid w:val="00F827DE"/>
    <w:rsid w:val="00F82F9C"/>
    <w:rsid w:val="00F83AB2"/>
    <w:rsid w:val="00F84413"/>
    <w:rsid w:val="00F8456C"/>
    <w:rsid w:val="00F859D8"/>
    <w:rsid w:val="00F86347"/>
    <w:rsid w:val="00F868F5"/>
    <w:rsid w:val="00F9056A"/>
    <w:rsid w:val="00F90F8D"/>
    <w:rsid w:val="00F92782"/>
    <w:rsid w:val="00F93AA9"/>
    <w:rsid w:val="00F93C72"/>
    <w:rsid w:val="00F94108"/>
    <w:rsid w:val="00F95F5E"/>
    <w:rsid w:val="00F96985"/>
    <w:rsid w:val="00F97838"/>
    <w:rsid w:val="00FA0C39"/>
    <w:rsid w:val="00FA2BB3"/>
    <w:rsid w:val="00FA3724"/>
    <w:rsid w:val="00FA6E29"/>
    <w:rsid w:val="00FB2312"/>
    <w:rsid w:val="00FB4C80"/>
    <w:rsid w:val="00FB6A6A"/>
    <w:rsid w:val="00FB7670"/>
    <w:rsid w:val="00FB78F9"/>
    <w:rsid w:val="00FC030B"/>
    <w:rsid w:val="00FC7429"/>
    <w:rsid w:val="00FD07F6"/>
    <w:rsid w:val="00FD1EC8"/>
    <w:rsid w:val="00FD47ED"/>
    <w:rsid w:val="00FD64AE"/>
    <w:rsid w:val="00FD74DB"/>
    <w:rsid w:val="00FD7660"/>
    <w:rsid w:val="00FE0655"/>
    <w:rsid w:val="00FE2365"/>
    <w:rsid w:val="00FE37D7"/>
    <w:rsid w:val="00FE4441"/>
    <w:rsid w:val="00FE4C7B"/>
    <w:rsid w:val="00FE70EE"/>
    <w:rsid w:val="00FE7336"/>
    <w:rsid w:val="00FE787C"/>
    <w:rsid w:val="00FF177B"/>
    <w:rsid w:val="00FF2BA2"/>
    <w:rsid w:val="00FF2FC6"/>
    <w:rsid w:val="00FF45A5"/>
    <w:rsid w:val="00FF5768"/>
    <w:rsid w:val="00FF5C91"/>
    <w:rsid w:val="00FF7C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DBA25C8-D56D-4313-98AE-480E09EBA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paragraph" w:customStyle="1" w:styleId="IvDbodytext">
    <w:name w:val="IvD bodytext"/>
    <w:basedOn w:val="BodyText"/>
    <w:link w:val="IvDbodytextChar"/>
    <w:qFormat/>
    <w:rsid w:val="008A3B4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8A3B4A"/>
    <w:rPr>
      <w:rFonts w:ascii="Arial" w:eastAsia="SimSun" w:hAnsi="Arial"/>
      <w:spacing w:val="2"/>
      <w:lang w:val="en-US" w:eastAsia="en-US"/>
    </w:rPr>
  </w:style>
  <w:style w:type="character" w:customStyle="1" w:styleId="apple-converted-space">
    <w:name w:val="apple-converted-space"/>
    <w:basedOn w:val="DefaultParagraphFont"/>
    <w:rsid w:val="00C23CDD"/>
  </w:style>
  <w:style w:type="character" w:styleId="Mention">
    <w:name w:val="Mention"/>
    <w:basedOn w:val="DefaultParagraphFont"/>
    <w:uiPriority w:val="99"/>
    <w:unhideWhenUsed/>
    <w:rsid w:val="00C421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8741</CharactersWithSpaces>
  <SharedDoc>false</SharedDoc>
  <HLinks>
    <vt:vector size="12" baseType="variant">
      <vt:variant>
        <vt:i4>4980805</vt:i4>
      </vt:variant>
      <vt:variant>
        <vt:i4>3</vt:i4>
      </vt:variant>
      <vt:variant>
        <vt:i4>0</vt:i4>
      </vt:variant>
      <vt:variant>
        <vt:i4>5</vt:i4>
      </vt:variant>
      <vt:variant>
        <vt:lpwstr>https://vividmaps.com/airline-routes/</vt:lpwstr>
      </vt:variant>
      <vt:variant>
        <vt:lpwstr/>
      </vt:variant>
      <vt:variant>
        <vt:i4>6750227</vt:i4>
      </vt:variant>
      <vt:variant>
        <vt:i4>0</vt:i4>
      </vt:variant>
      <vt:variant>
        <vt:i4>0</vt:i4>
      </vt:variant>
      <vt:variant>
        <vt:i4>5</vt:i4>
      </vt:variant>
      <vt:variant>
        <vt:lpwstr>http://3gpp.org/ftp/tsg_ran/WG4_Radio/TSGR4_104-e/Docs/R4-2214347.zip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cp:lastModifiedBy>
  <cp:revision>2</cp:revision>
  <cp:lastPrinted>2022-09-30T12:06:00Z</cp:lastPrinted>
  <dcterms:created xsi:type="dcterms:W3CDTF">2022-11-07T20:34:00Z</dcterms:created>
  <dcterms:modified xsi:type="dcterms:W3CDTF">2022-11-07T20:34:00Z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