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6DEDB41E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D038C" w:rsidRPr="00DD038C">
        <w:t xml:space="preserve"> </w:t>
      </w:r>
      <w:r w:rsidR="009101CA" w:rsidRPr="009101CA">
        <w:rPr>
          <w:rFonts w:cs="Arial"/>
          <w:b/>
          <w:sz w:val="24"/>
          <w:lang w:val="en-US" w:eastAsia="zh-CN"/>
        </w:rPr>
        <w:t>10</w:t>
      </w:r>
      <w:r w:rsidR="00745B09">
        <w:rPr>
          <w:rFonts w:cs="Arial"/>
          <w:b/>
          <w:sz w:val="24"/>
          <w:lang w:val="en-US" w:eastAsia="zh-CN"/>
        </w:rPr>
        <w:t>5</w:t>
      </w:r>
      <w:r>
        <w:rPr>
          <w:b/>
          <w:i/>
          <w:noProof/>
          <w:sz w:val="28"/>
        </w:rPr>
        <w:tab/>
      </w:r>
      <w:r w:rsidR="00D41B4B" w:rsidRPr="00D41B4B">
        <w:rPr>
          <w:rFonts w:eastAsia="宋体" w:cs="Arial"/>
          <w:b/>
          <w:sz w:val="24"/>
          <w:lang w:val="en-US" w:eastAsia="zh-CN"/>
        </w:rPr>
        <w:t>R4-2219392</w:t>
      </w:r>
      <w:bookmarkStart w:id="2" w:name="_GoBack"/>
      <w:bookmarkEnd w:id="2"/>
    </w:p>
    <w:p w14:paraId="7EC3F912" w14:textId="4383642F" w:rsidR="00745B09" w:rsidRPr="00D02B0E" w:rsidRDefault="00745B09" w:rsidP="00745B09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C14A1">
        <w:rPr>
          <w:rFonts w:cs="Arial"/>
          <w:noProof w:val="0"/>
          <w:sz w:val="24"/>
        </w:rPr>
        <w:t>Toulouse, France, November 14 – November 18,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633A29AF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>Discussion on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ab/>
      </w:r>
      <w:r w:rsidR="00745B09">
        <w:rPr>
          <w:rFonts w:ascii="Arial" w:eastAsia="宋体" w:hAnsi="Arial"/>
          <w:b/>
          <w:sz w:val="24"/>
          <w:lang w:val="en-US" w:eastAsia="zh-CN"/>
        </w:rPr>
        <w:t>remaining open issues</w:t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D1173F">
        <w:rPr>
          <w:rFonts w:ascii="Arial" w:eastAsia="宋体" w:hAnsi="Arial"/>
          <w:b/>
          <w:sz w:val="24"/>
          <w:lang w:val="en-US" w:eastAsia="zh-CN"/>
        </w:rPr>
        <w:t>for RedCap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3F99DA6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45B09">
        <w:rPr>
          <w:rFonts w:ascii="Arial" w:eastAsia="宋体" w:hAnsi="Arial"/>
          <w:b/>
          <w:sz w:val="24"/>
          <w:lang w:val="en-US" w:eastAsia="zh-CN"/>
        </w:rPr>
        <w:t>6.6.2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471ED58B" w:rsidR="005B7F51" w:rsidRPr="005B7F51" w:rsidRDefault="005B7F51" w:rsidP="005B7F51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FE78DE">
        <w:rPr>
          <w:rFonts w:eastAsia="宋体"/>
          <w:sz w:val="22"/>
          <w:szCs w:val="22"/>
          <w:lang w:val="en-US" w:eastAsia="zh-CN"/>
        </w:rPr>
        <w:t>is to</w:t>
      </w:r>
      <w:r w:rsidR="00FB3A42">
        <w:rPr>
          <w:rFonts w:eastAsia="宋体"/>
          <w:sz w:val="22"/>
          <w:szCs w:val="22"/>
          <w:lang w:val="en-US" w:eastAsia="zh-CN"/>
        </w:rPr>
        <w:t xml:space="preserve"> </w:t>
      </w:r>
      <w:r w:rsidR="000A5A31">
        <w:rPr>
          <w:rFonts w:eastAsia="宋体"/>
          <w:sz w:val="22"/>
          <w:szCs w:val="22"/>
          <w:lang w:val="en-US" w:eastAsia="zh-CN"/>
        </w:rPr>
        <w:t xml:space="preserve">further </w:t>
      </w:r>
      <w:r w:rsidR="00FB3A42">
        <w:rPr>
          <w:rFonts w:eastAsia="宋体"/>
          <w:sz w:val="22"/>
          <w:szCs w:val="22"/>
          <w:lang w:val="en-US" w:eastAsia="zh-CN"/>
        </w:rPr>
        <w:t xml:space="preserve">discuss the remaining </w:t>
      </w:r>
      <w:r w:rsidR="0003399C">
        <w:rPr>
          <w:rFonts w:eastAsia="宋体"/>
          <w:sz w:val="22"/>
          <w:szCs w:val="22"/>
          <w:lang w:val="en-US" w:eastAsia="zh-CN"/>
        </w:rPr>
        <w:t xml:space="preserve">open </w:t>
      </w:r>
      <w:r w:rsidR="00FB3A42">
        <w:rPr>
          <w:rFonts w:eastAsia="宋体"/>
          <w:sz w:val="22"/>
          <w:szCs w:val="22"/>
          <w:lang w:val="en-US" w:eastAsia="zh-CN"/>
        </w:rPr>
        <w:t>issues on</w:t>
      </w:r>
      <w:r w:rsidR="00745B09">
        <w:rPr>
          <w:rFonts w:eastAsia="宋体"/>
          <w:sz w:val="22"/>
          <w:szCs w:val="22"/>
          <w:lang w:val="en-US" w:eastAsia="zh-CN"/>
        </w:rPr>
        <w:t xml:space="preserve"> core requirements</w:t>
      </w:r>
      <w:r w:rsidR="00167847">
        <w:rPr>
          <w:rFonts w:eastAsia="宋体"/>
          <w:sz w:val="22"/>
          <w:szCs w:val="22"/>
          <w:lang w:val="en-US" w:eastAsia="zh-CN"/>
        </w:rPr>
        <w:t xml:space="preserve"> </w:t>
      </w:r>
      <w:r w:rsidR="00FB3A42">
        <w:rPr>
          <w:rFonts w:eastAsia="宋体"/>
          <w:sz w:val="22"/>
          <w:szCs w:val="22"/>
          <w:lang w:val="en-US" w:eastAsia="zh-CN"/>
        </w:rPr>
        <w:t>for RedCap UE.</w:t>
      </w:r>
    </w:p>
    <w:p w14:paraId="4D3B3D98" w14:textId="6C62F5FA" w:rsidR="00FC31BE" w:rsidRPr="00FB3A42" w:rsidRDefault="00C643FE" w:rsidP="00DC208A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7DB9CE6B" w14:textId="0E547561" w:rsidR="00D31374" w:rsidRPr="00D31374" w:rsidRDefault="00D31374" w:rsidP="00D31374">
      <w:pPr>
        <w:pStyle w:val="af8"/>
        <w:numPr>
          <w:ilvl w:val="0"/>
          <w:numId w:val="33"/>
        </w:numPr>
        <w:rPr>
          <w:rFonts w:eastAsiaTheme="minorEastAsia"/>
          <w:b/>
          <w:sz w:val="22"/>
          <w:szCs w:val="22"/>
          <w:u w:val="single"/>
          <w:lang w:eastAsia="zh-CN"/>
        </w:rPr>
      </w:pPr>
      <w:r w:rsidRPr="00D31374">
        <w:rPr>
          <w:rFonts w:eastAsiaTheme="minorEastAsia"/>
          <w:b/>
          <w:sz w:val="22"/>
          <w:szCs w:val="22"/>
          <w:u w:val="single"/>
          <w:lang w:eastAsia="zh-CN"/>
        </w:rPr>
        <w:t>Leftovers in handover</w:t>
      </w:r>
    </w:p>
    <w:p w14:paraId="46B6FF8F" w14:textId="452680D3" w:rsidR="00745B09" w:rsidRDefault="00B45167" w:rsidP="00082B73">
      <w:pPr>
        <w:ind w:left="220" w:hangingChars="100" w:hanging="2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One </w:t>
      </w:r>
      <w:r w:rsidR="00082B73">
        <w:rPr>
          <w:rFonts w:eastAsiaTheme="minorEastAsia"/>
          <w:sz w:val="22"/>
          <w:szCs w:val="22"/>
          <w:lang w:eastAsia="zh-CN"/>
        </w:rPr>
        <w:t xml:space="preserve">left </w:t>
      </w:r>
      <w:r w:rsidR="00D17868">
        <w:rPr>
          <w:rFonts w:eastAsiaTheme="minorEastAsia"/>
          <w:sz w:val="22"/>
          <w:szCs w:val="22"/>
          <w:lang w:eastAsia="zh-CN"/>
        </w:rPr>
        <w:t xml:space="preserve">open issue </w:t>
      </w:r>
      <w:r w:rsidR="00082B73">
        <w:rPr>
          <w:rFonts w:eastAsiaTheme="minorEastAsia"/>
          <w:sz w:val="22"/>
          <w:szCs w:val="22"/>
          <w:lang w:eastAsia="zh-CN"/>
        </w:rPr>
        <w:t>on handover is whether additional delay is needed when the measured SSB is different with the handover-to SSB</w:t>
      </w:r>
      <w:r w:rsidR="00616141">
        <w:rPr>
          <w:rFonts w:eastAsiaTheme="minorEastAsia"/>
          <w:sz w:val="22"/>
          <w:szCs w:val="22"/>
          <w:lang w:eastAsia="zh-CN"/>
        </w:rPr>
        <w:t xml:space="preserve"> [1]</w:t>
      </w:r>
      <w:r w:rsidR="00082B73">
        <w:rPr>
          <w:rFonts w:eastAsiaTheme="minorEastAsia"/>
          <w:sz w:val="22"/>
          <w:szCs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82B73" w14:paraId="5A79422F" w14:textId="77777777" w:rsidTr="00082B73">
        <w:tc>
          <w:tcPr>
            <w:tcW w:w="9621" w:type="dxa"/>
          </w:tcPr>
          <w:p w14:paraId="78ECF0D1" w14:textId="77777777" w:rsidR="00082B73" w:rsidRPr="0003399C" w:rsidRDefault="00082B73" w:rsidP="00082B73">
            <w:pPr>
              <w:rPr>
                <w:b/>
                <w:color w:val="000000" w:themeColor="text1"/>
                <w:sz w:val="22"/>
                <w:szCs w:val="22"/>
                <w:u w:val="single"/>
                <w:lang w:val="en-US" w:eastAsia="ko-KR"/>
              </w:rPr>
            </w:pPr>
            <w:r w:rsidRPr="0003399C">
              <w:rPr>
                <w:b/>
                <w:color w:val="000000" w:themeColor="text1"/>
                <w:sz w:val="22"/>
                <w:szCs w:val="22"/>
                <w:u w:val="single"/>
                <w:lang w:val="en-US" w:eastAsia="ko-KR"/>
              </w:rPr>
              <w:t>Requirements for HO to a BWP which has different SSB with the one used for measurement</w:t>
            </w:r>
          </w:p>
          <w:p w14:paraId="34DF89C6" w14:textId="77777777" w:rsidR="00082B73" w:rsidRPr="0003399C" w:rsidRDefault="00082B73" w:rsidP="00082B73">
            <w:pPr>
              <w:pStyle w:val="af8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 w:rsidRPr="0003399C"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 xml:space="preserve">Option 1 (Ericsson, HW, Nokia, Apple, Intel, CMCC, OPPO, Xiaomi, HW): </w:t>
            </w:r>
            <w:r w:rsidRPr="0003399C">
              <w:rPr>
                <w:rFonts w:eastAsia="宋体"/>
                <w:color w:val="000000" w:themeColor="text1"/>
                <w:sz w:val="22"/>
                <w:szCs w:val="22"/>
                <w:lang w:val="en-US" w:eastAsia="zh-CN"/>
              </w:rPr>
              <w:t>No additional delay is needed when UE handover to a BWP which has different SSB type with the one used for measurement.</w:t>
            </w:r>
            <w:r w:rsidRPr="0003399C"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 xml:space="preserve">  </w:t>
            </w:r>
          </w:p>
          <w:p w14:paraId="7EB5308A" w14:textId="77777777" w:rsidR="00082B73" w:rsidRPr="0003399C" w:rsidRDefault="00082B73" w:rsidP="00082B73">
            <w:pPr>
              <w:pStyle w:val="af8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 w:rsidRPr="0003399C"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 xml:space="preserve">Option 2 (QC, MTK): </w:t>
            </w:r>
            <w:r w:rsidRPr="0003399C">
              <w:rPr>
                <w:rFonts w:eastAsia="宋体"/>
                <w:color w:val="000000" w:themeColor="text1"/>
                <w:sz w:val="22"/>
                <w:szCs w:val="22"/>
                <w:lang w:val="en-US" w:eastAsia="zh-CN"/>
              </w:rPr>
              <w:t>The scenario when handover is performed to a BWP which has different SSB than the one used during measurement should be considered as handover to an unknown cell. Capture the above condition as a note in the Handover related section in TS38.133</w:t>
            </w:r>
          </w:p>
          <w:p w14:paraId="08142682" w14:textId="77777777" w:rsidR="00082B73" w:rsidRPr="0003399C" w:rsidRDefault="00082B73" w:rsidP="00082B73">
            <w:pPr>
              <w:pStyle w:val="af8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 w:rsidRPr="0003399C"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Option 2a (QC</w:t>
            </w:r>
            <w:r w:rsidRPr="0003399C">
              <w:rPr>
                <w:b/>
                <w:bCs/>
                <w:color w:val="000000" w:themeColor="text1"/>
                <w:sz w:val="22"/>
                <w:szCs w:val="22"/>
              </w:rPr>
              <w:t xml:space="preserve">): </w:t>
            </w:r>
            <w:r w:rsidRPr="0003399C">
              <w:rPr>
                <w:sz w:val="22"/>
                <w:szCs w:val="22"/>
              </w:rPr>
              <w:t>When handover is performed to a known cell where the SSB associated with the first active BWP is different from the SSB used during intra-frequency or inter-frequency measurements of the target cell, then T</w:t>
            </w:r>
            <w:r w:rsidRPr="0003399C">
              <w:rPr>
                <w:sz w:val="22"/>
                <w:szCs w:val="22"/>
                <w:vertAlign w:val="subscript"/>
              </w:rPr>
              <w:t>search</w:t>
            </w:r>
            <w:r w:rsidRPr="0003399C">
              <w:rPr>
                <w:sz w:val="22"/>
                <w:szCs w:val="22"/>
              </w:rPr>
              <w:t xml:space="preserve"> = T</w:t>
            </w:r>
            <w:r w:rsidRPr="0003399C">
              <w:rPr>
                <w:sz w:val="22"/>
                <w:szCs w:val="22"/>
                <w:vertAlign w:val="subscript"/>
              </w:rPr>
              <w:t>rs</w:t>
            </w:r>
            <w:r w:rsidRPr="0003399C" w:rsidDel="000446A6">
              <w:rPr>
                <w:sz w:val="22"/>
                <w:szCs w:val="22"/>
              </w:rPr>
              <w:t xml:space="preserve"> </w:t>
            </w:r>
            <w:r w:rsidRPr="0003399C">
              <w:rPr>
                <w:sz w:val="22"/>
                <w:szCs w:val="22"/>
              </w:rPr>
              <w:t xml:space="preserve"> ms if the target cell is intra-frequency cell and T</w:t>
            </w:r>
            <w:r w:rsidRPr="0003399C">
              <w:rPr>
                <w:sz w:val="22"/>
                <w:szCs w:val="22"/>
                <w:vertAlign w:val="subscript"/>
              </w:rPr>
              <w:t>search</w:t>
            </w:r>
            <w:r w:rsidRPr="0003399C">
              <w:rPr>
                <w:sz w:val="22"/>
                <w:szCs w:val="22"/>
              </w:rPr>
              <w:t xml:space="preserve"> = </w:t>
            </w:r>
            <w:r w:rsidRPr="0003399C">
              <w:rPr>
                <w:sz w:val="22"/>
                <w:szCs w:val="22"/>
                <w:highlight w:val="yellow"/>
              </w:rPr>
              <w:t>2</w:t>
            </w:r>
            <w:r w:rsidRPr="0003399C">
              <w:rPr>
                <w:sz w:val="22"/>
                <w:szCs w:val="22"/>
              </w:rPr>
              <w:t>* T</w:t>
            </w:r>
            <w:r w:rsidRPr="0003399C">
              <w:rPr>
                <w:sz w:val="22"/>
                <w:szCs w:val="22"/>
                <w:vertAlign w:val="subscript"/>
              </w:rPr>
              <w:t>rs</w:t>
            </w:r>
            <w:r w:rsidRPr="0003399C">
              <w:rPr>
                <w:sz w:val="22"/>
                <w:szCs w:val="22"/>
              </w:rPr>
              <w:t xml:space="preserve">  ms if the target cell in inter-frequency cell.”</w:t>
            </w:r>
          </w:p>
          <w:p w14:paraId="0815ECD2" w14:textId="77777777" w:rsidR="00082B73" w:rsidRPr="0003399C" w:rsidRDefault="00082B73" w:rsidP="00082B73">
            <w:pPr>
              <w:pStyle w:val="af8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 w:rsidRPr="0003399C">
              <w:rPr>
                <w:rFonts w:eastAsiaTheme="minor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Compromise (new) Option 3 (Ericsson, vivo, Apple):</w:t>
            </w:r>
            <w:r w:rsidRPr="0003399C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 xml:space="preserve"> An additional delay is allowed if some conditions are met, such as the frequency difference between NCD-SSB and CD-SSB is larger than a threshold.</w:t>
            </w:r>
          </w:p>
          <w:p w14:paraId="4C2AF27B" w14:textId="77777777" w:rsidR="00082B73" w:rsidRPr="0003399C" w:rsidRDefault="00082B73" w:rsidP="00082B73">
            <w:pPr>
              <w:rPr>
                <w:color w:val="000000" w:themeColor="text1"/>
                <w:sz w:val="22"/>
                <w:szCs w:val="22"/>
                <w:lang w:val="en-US" w:eastAsia="zh-CN"/>
              </w:rPr>
            </w:pPr>
            <w:r w:rsidRPr="0003399C">
              <w:rPr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Option 4 (new) (Ericsson):</w:t>
            </w:r>
            <w:r w:rsidRPr="0003399C">
              <w:rPr>
                <w:color w:val="000000" w:themeColor="text1"/>
                <w:sz w:val="22"/>
                <w:szCs w:val="22"/>
                <w:lang w:val="en-US" w:eastAsia="zh-CN"/>
              </w:rPr>
              <w:t xml:space="preserve"> Additional delay is allowed if the frequency difference between NCD-SSB and CD-SSB is larger than a threshold</w:t>
            </w:r>
            <w:r w:rsidRPr="0003399C">
              <w:rPr>
                <w:color w:val="000000" w:themeColor="text1"/>
                <w:sz w:val="22"/>
                <w:szCs w:val="22"/>
                <w:lang w:val="en-US" w:eastAsia="ko-KR"/>
              </w:rPr>
              <w:t>.</w:t>
            </w:r>
          </w:p>
          <w:p w14:paraId="532F5914" w14:textId="77777777" w:rsidR="00082B73" w:rsidRPr="00082B73" w:rsidRDefault="00082B73" w:rsidP="003E1D0E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</w:tc>
      </w:tr>
    </w:tbl>
    <w:p w14:paraId="11F7E7DA" w14:textId="106B4ECF" w:rsidR="00B977D2" w:rsidRDefault="00910D5C" w:rsidP="00B977D2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 maximum cell bandwidth is 100MHz for FR1 and 300M</w:t>
      </w:r>
      <w:r w:rsidR="00B977D2">
        <w:rPr>
          <w:rFonts w:eastAsiaTheme="minorEastAsia"/>
          <w:sz w:val="22"/>
          <w:szCs w:val="22"/>
          <w:lang w:eastAsia="zh-CN"/>
        </w:rPr>
        <w:t>H</w:t>
      </w:r>
      <w:r>
        <w:rPr>
          <w:rFonts w:eastAsiaTheme="minorEastAsia"/>
          <w:sz w:val="22"/>
          <w:szCs w:val="22"/>
          <w:lang w:eastAsia="zh-CN"/>
        </w:rPr>
        <w:t xml:space="preserve">z for FR2. The frequency </w:t>
      </w:r>
      <w:r w:rsidR="00B977D2">
        <w:rPr>
          <w:rFonts w:eastAsiaTheme="minorEastAsia"/>
          <w:sz w:val="22"/>
          <w:szCs w:val="22"/>
          <w:lang w:eastAsia="zh-CN"/>
        </w:rPr>
        <w:t>difference between CD-SSB and NCD-SSB doesn’t exceed cell bandwidth.</w:t>
      </w:r>
      <w:r w:rsidR="00B977D2" w:rsidRPr="00B977D2">
        <w:rPr>
          <w:rFonts w:eastAsiaTheme="minorEastAsia"/>
          <w:sz w:val="22"/>
          <w:szCs w:val="22"/>
          <w:lang w:eastAsia="zh-CN"/>
        </w:rPr>
        <w:t xml:space="preserve"> </w:t>
      </w:r>
      <w:r w:rsidR="00B977D2">
        <w:rPr>
          <w:rFonts w:eastAsiaTheme="minorEastAsia"/>
          <w:sz w:val="22"/>
          <w:szCs w:val="22"/>
          <w:lang w:eastAsia="zh-CN"/>
        </w:rPr>
        <w:t xml:space="preserve">According to RAN2 NCD-SSB signalling, only NCD-SSB periodicity, offset can be specific configured for NCD-SSB. For other properties, e.g., NCD-SSB power, NCD-SSB has the same value </w:t>
      </w:r>
      <w:r w:rsidR="0003399C">
        <w:rPr>
          <w:rFonts w:eastAsiaTheme="minorEastAsia"/>
          <w:sz w:val="22"/>
          <w:szCs w:val="22"/>
          <w:lang w:eastAsia="zh-CN"/>
        </w:rPr>
        <w:t>as</w:t>
      </w:r>
      <w:r w:rsidR="00B977D2">
        <w:rPr>
          <w:rFonts w:eastAsiaTheme="minorEastAsia"/>
          <w:sz w:val="22"/>
          <w:szCs w:val="22"/>
          <w:lang w:eastAsia="zh-CN"/>
        </w:rPr>
        <w:t xml:space="preserve"> the corresponding CD-SSB. Then the measured signal quality on CD-SSB and NCD/SSB would be similar. As a result,</w:t>
      </w:r>
      <w:r w:rsidR="00F56B5D">
        <w:rPr>
          <w:rFonts w:eastAsiaTheme="minorEastAsia"/>
          <w:sz w:val="22"/>
          <w:szCs w:val="22"/>
          <w:lang w:eastAsia="zh-CN"/>
        </w:rPr>
        <w:t xml:space="preserve"> for intra-frequency measurement,</w:t>
      </w:r>
      <w:r w:rsidR="00B977D2">
        <w:rPr>
          <w:rFonts w:eastAsiaTheme="minorEastAsia"/>
          <w:sz w:val="22"/>
          <w:szCs w:val="22"/>
          <w:lang w:eastAsia="zh-CN"/>
        </w:rPr>
        <w:t xml:space="preserve"> </w:t>
      </w:r>
      <w:r w:rsidR="00F56B5D">
        <w:rPr>
          <w:rFonts w:eastAsiaTheme="minorEastAsia"/>
          <w:sz w:val="22"/>
          <w:szCs w:val="22"/>
          <w:lang w:eastAsia="zh-CN"/>
        </w:rPr>
        <w:t xml:space="preserve">the AGC </w:t>
      </w:r>
      <w:r w:rsidR="00076301">
        <w:rPr>
          <w:rFonts w:eastAsiaTheme="minorEastAsia"/>
          <w:sz w:val="22"/>
          <w:szCs w:val="22"/>
          <w:lang w:eastAsia="zh-CN"/>
        </w:rPr>
        <w:t>is not required to adjust.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977D2" w14:paraId="6285A15D" w14:textId="77777777" w:rsidTr="00B977D2">
        <w:tc>
          <w:tcPr>
            <w:tcW w:w="9621" w:type="dxa"/>
          </w:tcPr>
          <w:p w14:paraId="6E864612" w14:textId="77777777" w:rsidR="00B977D2" w:rsidRPr="00B55E3E" w:rsidRDefault="00B977D2" w:rsidP="00B977D2">
            <w:pPr>
              <w:pStyle w:val="PL"/>
            </w:pPr>
            <w:r w:rsidRPr="00B55E3E">
              <w:t xml:space="preserve">NonCellDefiningSSB-r17 ::=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303B235D" w14:textId="77777777" w:rsidR="00B977D2" w:rsidRPr="00B55E3E" w:rsidRDefault="00B977D2" w:rsidP="00B977D2">
            <w:pPr>
              <w:pStyle w:val="PL"/>
            </w:pPr>
            <w:r w:rsidRPr="00B55E3E">
              <w:t xml:space="preserve">    absoluteFrequencySSB-r17        ARFCN-ValueNR,</w:t>
            </w:r>
          </w:p>
          <w:p w14:paraId="67C88651" w14:textId="77777777" w:rsidR="00B977D2" w:rsidRPr="00B55E3E" w:rsidRDefault="00B977D2" w:rsidP="00B977D2">
            <w:pPr>
              <w:pStyle w:val="PL"/>
              <w:rPr>
                <w:color w:val="808080"/>
              </w:rPr>
            </w:pPr>
            <w:r w:rsidRPr="00B55E3E">
              <w:t xml:space="preserve">    ssb-Periodicity-r17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 ms5, ms10, ms20, ms40, ms80, ms160, spare2, spare1 }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S</w:t>
            </w:r>
          </w:p>
          <w:p w14:paraId="12D5C1F9" w14:textId="77777777" w:rsidR="00B977D2" w:rsidRPr="00B55E3E" w:rsidRDefault="00B977D2" w:rsidP="00B977D2">
            <w:pPr>
              <w:pStyle w:val="PL"/>
              <w:rPr>
                <w:color w:val="808080"/>
              </w:rPr>
            </w:pPr>
            <w:r w:rsidRPr="00B55E3E">
              <w:lastRenderedPageBreak/>
              <w:t xml:space="preserve">    ssb-TimeOffset-r17 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 ms5, ms10, ms15, ms20, ms40, ms80, spare2, spare1 }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S</w:t>
            </w:r>
          </w:p>
          <w:p w14:paraId="2D7F1A31" w14:textId="77777777" w:rsidR="00B977D2" w:rsidRPr="00B55E3E" w:rsidRDefault="00B977D2" w:rsidP="00B977D2">
            <w:pPr>
              <w:pStyle w:val="PL"/>
            </w:pPr>
            <w:r w:rsidRPr="00B55E3E">
              <w:t xml:space="preserve">    ...</w:t>
            </w:r>
          </w:p>
          <w:p w14:paraId="001C8E24" w14:textId="77777777" w:rsidR="00B977D2" w:rsidRPr="003F438C" w:rsidRDefault="00B977D2" w:rsidP="00B977D2">
            <w:pPr>
              <w:pStyle w:val="PL"/>
            </w:pPr>
            <w:r w:rsidRPr="00B55E3E">
              <w:t>}</w:t>
            </w:r>
          </w:p>
        </w:tc>
      </w:tr>
    </w:tbl>
    <w:p w14:paraId="3B8C6605" w14:textId="77777777" w:rsidR="00B977D2" w:rsidRDefault="00B977D2" w:rsidP="00B977D2">
      <w:pPr>
        <w:rPr>
          <w:rFonts w:eastAsiaTheme="minorEastAsia"/>
          <w:sz w:val="22"/>
          <w:szCs w:val="22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977D2" w14:paraId="24C0FDF1" w14:textId="77777777" w:rsidTr="00B977D2">
        <w:tc>
          <w:tcPr>
            <w:tcW w:w="9621" w:type="dxa"/>
          </w:tcPr>
          <w:p w14:paraId="1432B200" w14:textId="77777777" w:rsidR="00B977D2" w:rsidRPr="00B55E3E" w:rsidRDefault="00B977D2" w:rsidP="00B977D2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nonCellDefiningSSB</w:t>
            </w:r>
          </w:p>
          <w:p w14:paraId="77E357DA" w14:textId="77777777" w:rsidR="00B977D2" w:rsidRPr="00B55E3E" w:rsidRDefault="00B977D2" w:rsidP="00B977D2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If configured, the RedCap UE operating in this BWP uses this SSB for the purposes for which it would otherwise have used the cell-defining SSB of the serving cell (e.g. obtaining sync, measurements, RLM). Furthermore, other parts of the BWP configuration that refer to an SSB (e.g. the "SSB" configured in the </w:t>
            </w:r>
            <w:r w:rsidRPr="00B55E3E">
              <w:rPr>
                <w:i/>
                <w:iCs/>
                <w:szCs w:val="22"/>
                <w:lang w:eastAsia="sv-SE"/>
              </w:rPr>
              <w:t>QCL-Info</w:t>
            </w:r>
            <w:r w:rsidRPr="00B55E3E">
              <w:rPr>
                <w:szCs w:val="22"/>
                <w:lang w:eastAsia="sv-SE"/>
              </w:rPr>
              <w:t xml:space="preserve"> IE; the "ssb-Index" configured in the </w:t>
            </w:r>
            <w:r w:rsidRPr="00B55E3E">
              <w:rPr>
                <w:i/>
                <w:iCs/>
                <w:szCs w:val="22"/>
                <w:lang w:eastAsia="sv-SE"/>
              </w:rPr>
              <w:t>RadioLinkMonitoringRS</w:t>
            </w:r>
            <w:r w:rsidRPr="00B55E3E">
              <w:rPr>
                <w:szCs w:val="22"/>
                <w:lang w:eastAsia="sv-SE"/>
              </w:rPr>
              <w:t xml:space="preserve">; </w:t>
            </w:r>
            <w:r w:rsidRPr="00B55E3E">
              <w:rPr>
                <w:i/>
                <w:iCs/>
                <w:szCs w:val="22"/>
                <w:lang w:eastAsia="sv-SE"/>
              </w:rPr>
              <w:t>CFRA-SSB-Resource</w:t>
            </w:r>
            <w:r w:rsidRPr="00B55E3E">
              <w:rPr>
                <w:szCs w:val="22"/>
                <w:lang w:eastAsia="sv-SE"/>
              </w:rPr>
              <w:t xml:space="preserve">; </w:t>
            </w:r>
            <w:r w:rsidRPr="00B55E3E">
              <w:rPr>
                <w:i/>
                <w:iCs/>
                <w:szCs w:val="22"/>
                <w:lang w:eastAsia="sv-SE"/>
              </w:rPr>
              <w:t>PRACH-ResourceDedicatedBFR</w:t>
            </w:r>
            <w:r w:rsidRPr="00B55E3E">
              <w:rPr>
                <w:szCs w:val="22"/>
                <w:lang w:eastAsia="sv-SE"/>
              </w:rPr>
              <w:t>) refer implicitily to this NCD-SSB.</w:t>
            </w:r>
          </w:p>
          <w:p w14:paraId="67AE4CB1" w14:textId="77777777" w:rsidR="00B977D2" w:rsidRPr="003F438C" w:rsidRDefault="00B977D2" w:rsidP="00B977D2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F438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The NCD-SSB has the same values for the properties (e.g., </w:t>
            </w:r>
            <w:r w:rsidRPr="003F438C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ssb-PositionsInBurst</w:t>
            </w:r>
            <w:r w:rsidRPr="003F438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, </w:t>
            </w:r>
            <w:r w:rsidRPr="003F438C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PCI</w:t>
            </w:r>
            <w:r w:rsidRPr="003F438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, </w:t>
            </w:r>
            <w:r w:rsidRPr="003F438C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ssb-periodicity</w:t>
            </w:r>
            <w:r w:rsidRPr="003F438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, </w:t>
            </w:r>
            <w:r w:rsidRPr="003F438C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ssb-PBCH-BlockPower</w:t>
            </w:r>
            <w:r w:rsidRPr="003F438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) of the corresponding CD-SSB apart from the values of the properties configured in the </w:t>
            </w:r>
            <w:r w:rsidRPr="003F438C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NonCellDefiningSSB-r17</w:t>
            </w:r>
            <w:r w:rsidRPr="003F438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IE.</w:t>
            </w:r>
          </w:p>
        </w:tc>
      </w:tr>
    </w:tbl>
    <w:p w14:paraId="1ADABFA6" w14:textId="77777777" w:rsidR="00B977D2" w:rsidRDefault="00B977D2" w:rsidP="00B977D2">
      <w:pPr>
        <w:rPr>
          <w:rFonts w:eastAsiaTheme="minorEastAsia"/>
          <w:sz w:val="22"/>
          <w:szCs w:val="22"/>
          <w:lang w:eastAsia="zh-CN"/>
        </w:rPr>
      </w:pPr>
    </w:p>
    <w:p w14:paraId="42D40DB7" w14:textId="358F0EE9" w:rsidR="00082B73" w:rsidRDefault="00B977D2" w:rsidP="003E1D0E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Moreover CD-SSB and NCD-SSB shall have the same PCI. In last meeting RAN1 agree to adopt the following agreement for</w:t>
      </w:r>
      <w:r w:rsidR="00082B73">
        <w:rPr>
          <w:rFonts w:eastAsiaTheme="minorEastAsia"/>
          <w:sz w:val="22"/>
          <w:szCs w:val="22"/>
          <w:lang w:eastAsia="zh-CN"/>
        </w:rPr>
        <w:t xml:space="preserve"> TS 38.213</w:t>
      </w:r>
      <w:r w:rsidR="00071581">
        <w:rPr>
          <w:rFonts w:eastAsiaTheme="minorEastAsia"/>
          <w:sz w:val="22"/>
          <w:szCs w:val="22"/>
          <w:lang w:eastAsia="zh-CN"/>
        </w:rPr>
        <w:t xml:space="preserve">. </w:t>
      </w:r>
      <w:r>
        <w:rPr>
          <w:rFonts w:eastAsiaTheme="minorEastAsia"/>
          <w:sz w:val="22"/>
          <w:szCs w:val="22"/>
          <w:lang w:eastAsia="zh-CN"/>
        </w:rPr>
        <w:t xml:space="preserve">It means </w:t>
      </w:r>
      <w:r w:rsidR="00071581">
        <w:rPr>
          <w:rFonts w:eastAsiaTheme="minorEastAsia"/>
          <w:sz w:val="22"/>
          <w:szCs w:val="22"/>
          <w:lang w:eastAsia="zh-CN"/>
        </w:rPr>
        <w:t>the</w:t>
      </w:r>
      <w:r w:rsidR="002053AD">
        <w:rPr>
          <w:rFonts w:eastAsiaTheme="minorEastAsia"/>
          <w:sz w:val="22"/>
          <w:szCs w:val="22"/>
          <w:lang w:eastAsia="zh-CN"/>
        </w:rPr>
        <w:t xml:space="preserve"> QCL relationship is the same for NCD-SSB and CD-SSB. Then the best beam measured on CD-SSB is also the best beam of NCD-SSB if UE would measure on NCD-SSB.</w:t>
      </w:r>
    </w:p>
    <w:p w14:paraId="0ED88D92" w14:textId="3898D8C6" w:rsidR="00082B73" w:rsidRDefault="003F438C" w:rsidP="003E1D0E">
      <w:pPr>
        <w:rPr>
          <w:rFonts w:eastAsiaTheme="minorEastAsia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8C6CF29" wp14:editId="7941E22B">
            <wp:extent cx="4987925" cy="754380"/>
            <wp:effectExtent l="0" t="0" r="3175" b="7620"/>
            <wp:docPr id="1" name="图片 1" descr="C:\Users\h00388629\AppData\Roaming\eSpace_Desktop\UserData\h00388629\imagefiles\3E16EB8F-D19B-4000-B63C-19F4332800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00388629\AppData\Roaming\eSpace_Desktop\UserData\h00388629\imagefiles\3E16EB8F-D19B-4000-B63C-19F4332800E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92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B8FEF" w14:textId="4499C5B9" w:rsidR="00655538" w:rsidRPr="00D31374" w:rsidRDefault="00D31374" w:rsidP="00B977D2">
      <w:pPr>
        <w:rPr>
          <w:rFonts w:eastAsiaTheme="minorEastAsia"/>
          <w:b/>
          <w:sz w:val="22"/>
          <w:szCs w:val="22"/>
          <w:lang w:eastAsia="zh-CN"/>
        </w:rPr>
      </w:pPr>
      <w:r w:rsidRPr="00D31374">
        <w:rPr>
          <w:rFonts w:eastAsiaTheme="minorEastAsia"/>
          <w:b/>
          <w:sz w:val="22"/>
          <w:szCs w:val="22"/>
          <w:lang w:eastAsia="zh-CN"/>
        </w:rPr>
        <w:t>Proposal 1: No strong justification is observed to introduce additional delay when UE handover to a BWP which has different SSB type with the one used for measurement.</w:t>
      </w: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44963CF8" w:rsidR="00105C3C" w:rsidRDefault="00C80159" w:rsidP="00DA6974">
      <w:pPr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</w:t>
      </w:r>
      <w:r w:rsidR="00DA6974" w:rsidRPr="005B7F51">
        <w:rPr>
          <w:rFonts w:eastAsia="宋体"/>
          <w:sz w:val="22"/>
          <w:szCs w:val="22"/>
          <w:lang w:val="en-US" w:eastAsia="zh-CN"/>
        </w:rPr>
        <w:t xml:space="preserve"> provides analysis on the</w:t>
      </w:r>
      <w:r w:rsidR="00FE78DE">
        <w:rPr>
          <w:rFonts w:eastAsia="宋体"/>
          <w:sz w:val="22"/>
          <w:szCs w:val="22"/>
          <w:lang w:val="en-US" w:eastAsia="zh-CN"/>
        </w:rPr>
        <w:t xml:space="preserve"> remaining issues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DA6974" w:rsidRPr="005B7F51">
        <w:rPr>
          <w:rFonts w:eastAsia="宋体"/>
          <w:sz w:val="22"/>
          <w:szCs w:val="22"/>
          <w:lang w:val="en-US" w:eastAsia="zh-CN"/>
        </w:rPr>
        <w:t>for RedCap</w:t>
      </w:r>
      <w:r w:rsidR="00DA6974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2B5AB4">
        <w:rPr>
          <w:rFonts w:eastAsia="宋体"/>
          <w:sz w:val="22"/>
          <w:lang w:eastAsia="zh-CN"/>
        </w:rPr>
        <w:t>proposal</w:t>
      </w:r>
      <w:r w:rsidR="00DA6974">
        <w:rPr>
          <w:rFonts w:eastAsia="宋体"/>
          <w:sz w:val="22"/>
          <w:lang w:eastAsia="zh-CN"/>
        </w:rPr>
        <w:t xml:space="preserve"> </w:t>
      </w:r>
      <w:r w:rsidR="002B5AB4">
        <w:rPr>
          <w:rFonts w:eastAsia="宋体"/>
          <w:sz w:val="22"/>
          <w:lang w:eastAsia="zh-CN"/>
        </w:rPr>
        <w:t>is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3317C43C" w14:textId="77777777" w:rsidR="00616141" w:rsidRDefault="00616141" w:rsidP="00616141">
      <w:pPr>
        <w:rPr>
          <w:rFonts w:eastAsiaTheme="minorEastAsia"/>
          <w:b/>
          <w:sz w:val="22"/>
          <w:szCs w:val="22"/>
          <w:lang w:eastAsia="zh-CN"/>
        </w:rPr>
      </w:pPr>
      <w:r w:rsidRPr="00D31374">
        <w:rPr>
          <w:rFonts w:eastAsiaTheme="minorEastAsia"/>
          <w:b/>
          <w:sz w:val="22"/>
          <w:szCs w:val="22"/>
          <w:lang w:eastAsia="zh-CN"/>
        </w:rPr>
        <w:t>Proposal 1: No strong justification is observed to introduce additional delay when UE handover to a BWP which has different SSB type with the one used for measurement.</w:t>
      </w:r>
    </w:p>
    <w:p w14:paraId="672686C3" w14:textId="77777777" w:rsidR="00146447" w:rsidRPr="00616141" w:rsidRDefault="00146447" w:rsidP="00B9045F">
      <w:pPr>
        <w:rPr>
          <w:rFonts w:eastAsia="宋体"/>
          <w:b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AAE3D9B" w14:textId="21FCD89D" w:rsidR="000C7824" w:rsidRDefault="002B5AB4" w:rsidP="002B5AB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2B5AB4">
        <w:rPr>
          <w:rFonts w:eastAsia="宋体"/>
          <w:sz w:val="22"/>
          <w:szCs w:val="22"/>
          <w:lang w:val="en-GB" w:eastAsia="zh-CN"/>
        </w:rPr>
        <w:t>R4-2210592</w:t>
      </w:r>
      <w:r w:rsidR="000C7824">
        <w:rPr>
          <w:rFonts w:eastAsia="宋体"/>
          <w:sz w:val="22"/>
          <w:szCs w:val="22"/>
          <w:lang w:val="en-GB" w:eastAsia="zh-CN"/>
        </w:rPr>
        <w:t xml:space="preserve">, </w:t>
      </w:r>
      <w:r w:rsidR="000C7824" w:rsidRPr="000C7824">
        <w:rPr>
          <w:rFonts w:eastAsia="宋体"/>
          <w:sz w:val="22"/>
          <w:szCs w:val="22"/>
          <w:lang w:val="en-GB" w:eastAsia="zh-CN"/>
        </w:rPr>
        <w:t>WF on RedCap RRM requirements</w:t>
      </w:r>
      <w:r w:rsidR="000C7824">
        <w:rPr>
          <w:rFonts w:eastAsia="宋体"/>
          <w:sz w:val="22"/>
          <w:szCs w:val="22"/>
          <w:lang w:val="en-GB" w:eastAsia="zh-CN"/>
        </w:rPr>
        <w:t>,</w:t>
      </w:r>
      <w:r w:rsidR="000C7824" w:rsidRPr="000C7824">
        <w:t xml:space="preserve"> </w:t>
      </w:r>
      <w:r w:rsidR="000C7824" w:rsidRPr="000C7824">
        <w:rPr>
          <w:rFonts w:eastAsia="宋体"/>
          <w:sz w:val="22"/>
          <w:szCs w:val="22"/>
          <w:lang w:val="en-GB" w:eastAsia="zh-CN"/>
        </w:rPr>
        <w:t>Ericsson</w:t>
      </w:r>
    </w:p>
    <w:p w14:paraId="7327F4E3" w14:textId="77777777" w:rsidR="006C74EF" w:rsidRPr="002B5AB4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2B5AB4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4BDE9" w14:textId="77777777" w:rsidR="00F35EE8" w:rsidRDefault="00F35EE8">
      <w:r>
        <w:separator/>
      </w:r>
    </w:p>
  </w:endnote>
  <w:endnote w:type="continuationSeparator" w:id="0">
    <w:p w14:paraId="5E6A3058" w14:textId="77777777" w:rsidR="00F35EE8" w:rsidRDefault="00F3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77D2" w:rsidRDefault="00B977D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77D2" w:rsidRDefault="00B977D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77D2" w:rsidRDefault="00B977D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70E47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B977D2" w:rsidRDefault="00B977D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6A28C" w14:textId="77777777" w:rsidR="00F35EE8" w:rsidRDefault="00F35EE8">
      <w:r>
        <w:separator/>
      </w:r>
    </w:p>
  </w:footnote>
  <w:footnote w:type="continuationSeparator" w:id="0">
    <w:p w14:paraId="3AC45A2F" w14:textId="77777777" w:rsidR="00F35EE8" w:rsidRDefault="00F35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F4918"/>
    <w:multiLevelType w:val="hybridMultilevel"/>
    <w:tmpl w:val="A14C572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746ECA"/>
    <w:multiLevelType w:val="hybridMultilevel"/>
    <w:tmpl w:val="2C0639F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4250F6"/>
    <w:multiLevelType w:val="hybridMultilevel"/>
    <w:tmpl w:val="C9F0B146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42A63888">
      <w:numFmt w:val="bullet"/>
      <w:lvlText w:val="•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03E0F"/>
    <w:multiLevelType w:val="hybridMultilevel"/>
    <w:tmpl w:val="2B5248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FE4B66"/>
    <w:multiLevelType w:val="hybridMultilevel"/>
    <w:tmpl w:val="9E164E44"/>
    <w:lvl w:ilvl="0" w:tplc="8B90B5C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3DB45716"/>
    <w:multiLevelType w:val="hybridMultilevel"/>
    <w:tmpl w:val="55B8E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B5A4CD1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D64095"/>
    <w:multiLevelType w:val="hybridMultilevel"/>
    <w:tmpl w:val="B83668CC"/>
    <w:lvl w:ilvl="0" w:tplc="E45671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8"/>
  </w:num>
  <w:num w:numId="4">
    <w:abstractNumId w:val="10"/>
  </w:num>
  <w:num w:numId="5">
    <w:abstractNumId w:val="15"/>
  </w:num>
  <w:num w:numId="6">
    <w:abstractNumId w:val="0"/>
  </w:num>
  <w:num w:numId="7">
    <w:abstractNumId w:val="23"/>
  </w:num>
  <w:num w:numId="8">
    <w:abstractNumId w:val="16"/>
  </w:num>
  <w:num w:numId="9">
    <w:abstractNumId w:val="20"/>
  </w:num>
  <w:num w:numId="10">
    <w:abstractNumId w:val="25"/>
  </w:num>
  <w:num w:numId="11">
    <w:abstractNumId w:val="12"/>
  </w:num>
  <w:num w:numId="12">
    <w:abstractNumId w:val="6"/>
  </w:num>
  <w:num w:numId="13">
    <w:abstractNumId w:val="5"/>
  </w:num>
  <w:num w:numId="14">
    <w:abstractNumId w:val="27"/>
  </w:num>
  <w:num w:numId="15">
    <w:abstractNumId w:val="8"/>
  </w:num>
  <w:num w:numId="16">
    <w:abstractNumId w:val="4"/>
  </w:num>
  <w:num w:numId="17">
    <w:abstractNumId w:val="7"/>
  </w:num>
  <w:num w:numId="18">
    <w:abstractNumId w:val="9"/>
  </w:num>
  <w:num w:numId="19">
    <w:abstractNumId w:val="19"/>
  </w:num>
  <w:num w:numId="20">
    <w:abstractNumId w:val="18"/>
  </w:num>
  <w:num w:numId="21">
    <w:abstractNumId w:val="21"/>
  </w:num>
  <w:num w:numId="22">
    <w:abstractNumId w:val="17"/>
  </w:num>
  <w:num w:numId="23">
    <w:abstractNumId w:val="13"/>
  </w:num>
  <w:num w:numId="24">
    <w:abstractNumId w:val="3"/>
  </w:num>
  <w:num w:numId="25">
    <w:abstractNumId w:val="17"/>
  </w:num>
  <w:num w:numId="26">
    <w:abstractNumId w:val="17"/>
  </w:num>
  <w:num w:numId="27">
    <w:abstractNumId w:val="1"/>
  </w:num>
  <w:num w:numId="28">
    <w:abstractNumId w:val="11"/>
  </w:num>
  <w:num w:numId="29">
    <w:abstractNumId w:val="26"/>
  </w:num>
  <w:num w:numId="30">
    <w:abstractNumId w:val="14"/>
  </w:num>
  <w:num w:numId="31">
    <w:abstractNumId w:val="17"/>
  </w:num>
  <w:num w:numId="32">
    <w:abstractNumId w:val="22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99C"/>
    <w:rsid w:val="00033B9A"/>
    <w:rsid w:val="0003446A"/>
    <w:rsid w:val="0003448D"/>
    <w:rsid w:val="000345EF"/>
    <w:rsid w:val="0003485E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E8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581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01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E49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2B73"/>
    <w:rsid w:val="00083081"/>
    <w:rsid w:val="000832CE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E93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6ECA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DE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3D"/>
    <w:rsid w:val="000F0B4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47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3F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74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3AD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EF1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84F"/>
    <w:rsid w:val="00243997"/>
    <w:rsid w:val="00244113"/>
    <w:rsid w:val="0024448F"/>
    <w:rsid w:val="0024452C"/>
    <w:rsid w:val="00245579"/>
    <w:rsid w:val="002459BC"/>
    <w:rsid w:val="00245D0A"/>
    <w:rsid w:val="00245E26"/>
    <w:rsid w:val="00245EA9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998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66F"/>
    <w:rsid w:val="002A5E44"/>
    <w:rsid w:val="002A5EB2"/>
    <w:rsid w:val="002A6689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B4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2FE3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021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626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05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12"/>
    <w:rsid w:val="0033626B"/>
    <w:rsid w:val="003362D8"/>
    <w:rsid w:val="003365BB"/>
    <w:rsid w:val="00336F9E"/>
    <w:rsid w:val="00337033"/>
    <w:rsid w:val="00337613"/>
    <w:rsid w:val="0033761E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D46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30D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27D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D1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8FD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1D0E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38C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3D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B56"/>
    <w:rsid w:val="004070B7"/>
    <w:rsid w:val="004074FC"/>
    <w:rsid w:val="004079A4"/>
    <w:rsid w:val="00407A40"/>
    <w:rsid w:val="004105DB"/>
    <w:rsid w:val="00410650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5F76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68E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AEF"/>
    <w:rsid w:val="00483CB2"/>
    <w:rsid w:val="00483CF6"/>
    <w:rsid w:val="00483E8C"/>
    <w:rsid w:val="00483EB2"/>
    <w:rsid w:val="00484022"/>
    <w:rsid w:val="00484153"/>
    <w:rsid w:val="00484565"/>
    <w:rsid w:val="00484596"/>
    <w:rsid w:val="0048493E"/>
    <w:rsid w:val="00484B75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48E"/>
    <w:rsid w:val="004928E2"/>
    <w:rsid w:val="00492CCE"/>
    <w:rsid w:val="00493751"/>
    <w:rsid w:val="0049384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DE8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1D7A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D5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276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2E6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37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A17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21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609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E57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41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D40"/>
    <w:rsid w:val="00653E2B"/>
    <w:rsid w:val="00653F50"/>
    <w:rsid w:val="00654516"/>
    <w:rsid w:val="00654A18"/>
    <w:rsid w:val="006551F3"/>
    <w:rsid w:val="0065545C"/>
    <w:rsid w:val="00655538"/>
    <w:rsid w:val="006555D9"/>
    <w:rsid w:val="0065607D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158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D6F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06B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E46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C0C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F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EB0"/>
    <w:rsid w:val="0071306F"/>
    <w:rsid w:val="00713362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C04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B09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07D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D12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3E1"/>
    <w:rsid w:val="007F5702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AD1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376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3AE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7AD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6EB0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76A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1CA"/>
    <w:rsid w:val="009102DE"/>
    <w:rsid w:val="009102E8"/>
    <w:rsid w:val="00910386"/>
    <w:rsid w:val="009103BD"/>
    <w:rsid w:val="00910610"/>
    <w:rsid w:val="00910839"/>
    <w:rsid w:val="00910D5C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0AF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8F"/>
    <w:rsid w:val="00963189"/>
    <w:rsid w:val="0096321A"/>
    <w:rsid w:val="00963371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7D8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F2F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76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0BA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032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78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4FB3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0E47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A71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53F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6C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167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E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314"/>
    <w:rsid w:val="00B72AB2"/>
    <w:rsid w:val="00B72ED8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5F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D79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7D2"/>
    <w:rsid w:val="00B97DEF"/>
    <w:rsid w:val="00BA0DEE"/>
    <w:rsid w:val="00BA18D2"/>
    <w:rsid w:val="00BA18D8"/>
    <w:rsid w:val="00BA20FB"/>
    <w:rsid w:val="00BA2120"/>
    <w:rsid w:val="00BA215E"/>
    <w:rsid w:val="00BA216E"/>
    <w:rsid w:val="00BA2236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0DC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929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47E"/>
    <w:rsid w:val="00C337BA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DCC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4DC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1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E8"/>
    <w:rsid w:val="00C8288F"/>
    <w:rsid w:val="00C82D0D"/>
    <w:rsid w:val="00C82DCA"/>
    <w:rsid w:val="00C83079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83F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1FC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BDB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B72"/>
    <w:rsid w:val="00CE4F9C"/>
    <w:rsid w:val="00CE5215"/>
    <w:rsid w:val="00CE56A2"/>
    <w:rsid w:val="00CE59DF"/>
    <w:rsid w:val="00CE5AF1"/>
    <w:rsid w:val="00CE5D68"/>
    <w:rsid w:val="00CE5E80"/>
    <w:rsid w:val="00CE669C"/>
    <w:rsid w:val="00CE709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73F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68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1B4B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D8F"/>
    <w:rsid w:val="00D54E84"/>
    <w:rsid w:val="00D54FCB"/>
    <w:rsid w:val="00D5501D"/>
    <w:rsid w:val="00D550E6"/>
    <w:rsid w:val="00D55187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C1D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96C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856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498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C8F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B8E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38C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33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09E6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BB1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D7922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68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7E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624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5EE8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2C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7F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B5D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1DA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3AA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178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79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2D8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42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1B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37D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8D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22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3F438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17c5c574-4f42-45b3-8a7f-77d8e859d074"/>
    <ds:schemaRef ds:uri="66EEDB98-F073-460B-B9B0-9643F9FE785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DEA045-F057-4411-A9C9-FB158365C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642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2022-11-07T13:29:00Z</dcterms:created>
  <dcterms:modified xsi:type="dcterms:W3CDTF">2022-11-07T13:29:00Z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(3)yB4NeGKtKHzeBfQHHLYqeRP/Do0IisEs8KH2rJkzN+7XGzo8hOrPTmVcz2nC/l85UnVD39Y4
3BTyrk1S5kyARi4Qm6leEAnHhs0eVcf7kMEWculodBDUGo/2cVOO7E535loOl00zzn7jIOFR
0NpIJt8bV6hcGhECxokFLHANOUA6LWeLKVo/sX3cjQgK4UHm2ZfqknMWMFBUb5Wu8MFEaUWF
q0GsRW8PwmxOmQyu3m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Wgr9Z75epzC0pMJOw+5i2ceck4BIfY1ssa2tlIAzXiW7QkvNcgxaLb
9ZO0fFQLG7bEr84YURbk99/17sgKUQ5x9/Ee3n/6B1jMzyhe/v+WZm8Ri2SftTEYH/QXgNRh
Exv4j6vkLiO9f/0EmaVcTWb5qFeRRSuNKB48dTKBSFx6Ua4wTlC/nGBFiZ/4uimLHK/1t+C0
YXln5O0lBF0LZ3oLRl0y/goOPB2jFJqCH0ab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ElMgL1iO6MkBY4Ub/kYILdj1hYo+aJV29x2l
kUY5lI3C7ABpA/bN9NskT6o8Y8fMI438301mKJR3FBn++2LrA9Y=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1667439395</vt:lpwstr>
  </property>
</Properties>
</file>