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BE1279" w:rsidRPr="00BE1279">
        <w:rPr>
          <w:rFonts w:cs="Arial"/>
          <w:sz w:val="24"/>
          <w:szCs w:val="24"/>
        </w:rPr>
        <w:t>R4-2219240</w:t>
      </w:r>
      <w:bookmarkStart w:id="0" w:name="_GoBack"/>
      <w:bookmarkEnd w:id="0"/>
    </w:p>
    <w:p w:rsidR="00314351" w:rsidRPr="004A029C" w:rsidRDefault="00314351" w:rsidP="00314351">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08CB">
        <w:rPr>
          <w:rFonts w:ascii="Arial" w:hAnsi="Arial"/>
          <w:sz w:val="24"/>
          <w:lang w:val="en-US"/>
        </w:rPr>
        <w:t>8</w:t>
      </w:r>
      <w:r w:rsidR="00192839">
        <w:rPr>
          <w:rFonts w:ascii="Arial" w:hAnsi="Arial"/>
          <w:sz w:val="24"/>
          <w:lang w:val="en-US"/>
        </w:rPr>
        <w:t>.13.</w:t>
      </w:r>
      <w:r w:rsidR="00BA08CB">
        <w:rPr>
          <w:rFonts w:ascii="Arial" w:hAnsi="Arial"/>
          <w:sz w:val="24"/>
          <w:lang w:val="en-US"/>
        </w:rPr>
        <w:t>4.</w:t>
      </w:r>
      <w:r w:rsidR="0025191B">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191B" w:rsidRPr="0025191B">
        <w:rPr>
          <w:rFonts w:ascii="Arial" w:hAnsi="Arial"/>
          <w:sz w:val="24"/>
          <w:lang w:val="en-US"/>
        </w:rPr>
        <w:t>Discussion on signaling characteristics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EA0120" w:rsidRPr="0025191B" w:rsidRDefault="00DF0231" w:rsidP="004B612D">
      <w:pPr>
        <w:pStyle w:val="Heading1"/>
        <w:numPr>
          <w:ilvl w:val="0"/>
          <w:numId w:val="1"/>
        </w:numPr>
        <w:rPr>
          <w:lang w:val="en-US"/>
        </w:rPr>
      </w:pPr>
      <w:r w:rsidRPr="002D2977">
        <w:rPr>
          <w:lang w:val="en-US"/>
        </w:rPr>
        <w:t>Discussion</w:t>
      </w:r>
    </w:p>
    <w:p w:rsidR="004B612D" w:rsidRDefault="00D01A4D" w:rsidP="00586EFF">
      <w:pPr>
        <w:rPr>
          <w:rFonts w:eastAsia="宋体"/>
        </w:rPr>
      </w:pPr>
      <w:r>
        <w:rPr>
          <w:rFonts w:eastAsia="宋体"/>
        </w:rPr>
        <w:t>Regarding the requirements for signalling characteristics, the status are summarized as follows:</w:t>
      </w:r>
    </w:p>
    <w:tbl>
      <w:tblPr>
        <w:tblStyle w:val="TableGrid"/>
        <w:tblW w:w="0" w:type="auto"/>
        <w:tblLook w:val="04A0" w:firstRow="1" w:lastRow="0" w:firstColumn="1" w:lastColumn="0" w:noHBand="0" w:noVBand="1"/>
      </w:tblPr>
      <w:tblGrid>
        <w:gridCol w:w="9562"/>
      </w:tblGrid>
      <w:tr w:rsidR="007D67F0" w:rsidTr="007D67F0">
        <w:tc>
          <w:tcPr>
            <w:tcW w:w="9562" w:type="dxa"/>
          </w:tcPr>
          <w:p w:rsidR="007D67F0" w:rsidRDefault="007D67F0" w:rsidP="007D67F0">
            <w:pPr>
              <w:rPr>
                <w:rFonts w:eastAsia="Yu Mincho Light"/>
                <w:b/>
                <w:u w:val="single"/>
                <w:lang w:val="en-US" w:eastAsia="ko-KR"/>
              </w:rPr>
            </w:pPr>
            <w:r>
              <w:rPr>
                <w:b/>
                <w:u w:val="single"/>
                <w:lang w:eastAsia="ko-KR"/>
              </w:rPr>
              <w:t>Issue 4-1-1: Radio Link Monitoring</w:t>
            </w:r>
          </w:p>
          <w:p w:rsidR="007D67F0" w:rsidRDefault="007D67F0" w:rsidP="007D67F0">
            <w:pPr>
              <w:numPr>
                <w:ilvl w:val="0"/>
                <w:numId w:val="46"/>
              </w:numPr>
              <w:spacing w:after="0"/>
              <w:ind w:left="935" w:hanging="357"/>
              <w:rPr>
                <w:rFonts w:eastAsia="宋体"/>
                <w:lang w:eastAsia="zh-CN"/>
              </w:rPr>
            </w:pPr>
            <w:r>
              <w:rPr>
                <w:rFonts w:eastAsia="宋体"/>
              </w:rPr>
              <w:t>For RLM OOS evaluation period.</w:t>
            </w:r>
          </w:p>
          <w:p w:rsidR="007D67F0" w:rsidRDefault="007D67F0" w:rsidP="007D67F0">
            <w:pPr>
              <w:numPr>
                <w:ilvl w:val="1"/>
                <w:numId w:val="46"/>
              </w:numPr>
              <w:spacing w:after="0"/>
              <w:rPr>
                <w:rFonts w:eastAsia="宋体"/>
              </w:rPr>
            </w:pPr>
            <w:r>
              <w:rPr>
                <w:rFonts w:eastAsia="宋体"/>
              </w:rPr>
              <w:t>Option 1: FFS whether any impact due to channel model assumed for ATG.</w:t>
            </w:r>
          </w:p>
          <w:p w:rsidR="007D67F0" w:rsidRDefault="007D67F0" w:rsidP="007D67F0">
            <w:pPr>
              <w:numPr>
                <w:ilvl w:val="1"/>
                <w:numId w:val="46"/>
              </w:numPr>
              <w:spacing w:after="0"/>
              <w:rPr>
                <w:rFonts w:eastAsia="宋体"/>
              </w:rPr>
            </w:pPr>
            <w:r>
              <w:rPr>
                <w:rFonts w:eastAsia="宋体"/>
              </w:rPr>
              <w:t>Option 2: Reuse the legacy requirement.</w:t>
            </w:r>
          </w:p>
          <w:p w:rsidR="007D67F0" w:rsidRDefault="007D67F0" w:rsidP="007D67F0">
            <w:pPr>
              <w:numPr>
                <w:ilvl w:val="0"/>
                <w:numId w:val="46"/>
              </w:numPr>
              <w:spacing w:after="0"/>
              <w:ind w:left="935" w:hanging="357"/>
              <w:rPr>
                <w:rFonts w:eastAsia="宋体"/>
              </w:rPr>
            </w:pPr>
            <w:r>
              <w:rPr>
                <w:rFonts w:eastAsia="宋体"/>
              </w:rPr>
              <w:t>For RLM In-sync evaluation period,</w:t>
            </w:r>
          </w:p>
          <w:p w:rsidR="007D67F0" w:rsidRDefault="007D67F0" w:rsidP="007D67F0">
            <w:pPr>
              <w:numPr>
                <w:ilvl w:val="1"/>
                <w:numId w:val="46"/>
              </w:numPr>
              <w:spacing w:after="0"/>
              <w:rPr>
                <w:rFonts w:eastAsia="宋体"/>
              </w:rPr>
            </w:pPr>
            <w:r>
              <w:rPr>
                <w:rFonts w:eastAsia="宋体"/>
              </w:rPr>
              <w:t>Option 1: FFS</w:t>
            </w:r>
          </w:p>
          <w:p w:rsidR="007D67F0" w:rsidRDefault="007D67F0" w:rsidP="007D67F0">
            <w:pPr>
              <w:numPr>
                <w:ilvl w:val="1"/>
                <w:numId w:val="46"/>
              </w:numPr>
              <w:spacing w:after="0"/>
              <w:rPr>
                <w:rFonts w:eastAsia="宋体"/>
              </w:rPr>
            </w:pPr>
            <w:r>
              <w:rPr>
                <w:rFonts w:eastAsia="宋体"/>
              </w:rPr>
              <w:t>Option 2: Reuse the legacy requirement</w:t>
            </w:r>
          </w:p>
          <w:p w:rsidR="007D67F0" w:rsidRDefault="007D67F0" w:rsidP="007D67F0">
            <w:pPr>
              <w:numPr>
                <w:ilvl w:val="0"/>
                <w:numId w:val="46"/>
              </w:numPr>
              <w:spacing w:after="0"/>
              <w:ind w:left="935" w:hanging="357"/>
              <w:rPr>
                <w:rFonts w:eastAsia="宋体"/>
              </w:rPr>
            </w:pPr>
            <w:r>
              <w:rPr>
                <w:rFonts w:eastAsia="宋体"/>
              </w:rPr>
              <w:t>The conclusion could be revisited after RF group has identified the channel model</w:t>
            </w:r>
          </w:p>
          <w:p w:rsidR="007D67F0" w:rsidRDefault="007D67F0" w:rsidP="007D67F0">
            <w:pPr>
              <w:rPr>
                <w:rFonts w:eastAsia="Yu Mincho Light"/>
                <w:b/>
                <w:u w:val="single"/>
                <w:lang w:eastAsia="ko-KR"/>
              </w:rPr>
            </w:pPr>
            <w:r>
              <w:rPr>
                <w:b/>
                <w:u w:val="single"/>
                <w:lang w:eastAsia="ko-KR"/>
              </w:rPr>
              <w:t>Issue 4-1-2: Link Recovery Procedure</w:t>
            </w:r>
          </w:p>
          <w:p w:rsidR="007D67F0" w:rsidRDefault="007D67F0" w:rsidP="007D67F0">
            <w:pPr>
              <w:numPr>
                <w:ilvl w:val="0"/>
                <w:numId w:val="46"/>
              </w:numPr>
              <w:spacing w:after="0"/>
              <w:ind w:left="935" w:hanging="357"/>
              <w:rPr>
                <w:rFonts w:eastAsia="宋体"/>
                <w:lang w:eastAsia="zh-CN"/>
              </w:rPr>
            </w:pPr>
            <w:r>
              <w:rPr>
                <w:rFonts w:eastAsia="宋体"/>
              </w:rPr>
              <w:t>For BFD evaluation period, reuse the legacy requirement.</w:t>
            </w:r>
          </w:p>
          <w:p w:rsidR="007D67F0" w:rsidRDefault="007D67F0" w:rsidP="007D67F0">
            <w:pPr>
              <w:numPr>
                <w:ilvl w:val="1"/>
                <w:numId w:val="46"/>
              </w:numPr>
              <w:spacing w:after="0"/>
              <w:rPr>
                <w:rFonts w:eastAsia="宋体"/>
              </w:rPr>
            </w:pPr>
            <w:r>
              <w:rPr>
                <w:rFonts w:eastAsia="宋体"/>
              </w:rPr>
              <w:t>Option 1: FFS whether there is any impact due to ATG channel model</w:t>
            </w:r>
          </w:p>
          <w:p w:rsidR="007D67F0" w:rsidRDefault="007D67F0" w:rsidP="007D67F0">
            <w:pPr>
              <w:numPr>
                <w:ilvl w:val="1"/>
                <w:numId w:val="46"/>
              </w:numPr>
              <w:spacing w:after="0"/>
              <w:rPr>
                <w:rFonts w:eastAsia="宋体"/>
              </w:rPr>
            </w:pPr>
            <w:r>
              <w:rPr>
                <w:rFonts w:eastAsia="宋体"/>
              </w:rPr>
              <w:t>Option 2: Reuse the legacy requirement</w:t>
            </w:r>
          </w:p>
          <w:p w:rsidR="007D67F0" w:rsidRDefault="007D67F0" w:rsidP="007D67F0">
            <w:pPr>
              <w:numPr>
                <w:ilvl w:val="0"/>
                <w:numId w:val="46"/>
              </w:numPr>
              <w:spacing w:after="0"/>
              <w:ind w:left="935" w:hanging="357"/>
              <w:rPr>
                <w:rFonts w:eastAsia="宋体"/>
              </w:rPr>
            </w:pPr>
            <w:r>
              <w:rPr>
                <w:rFonts w:eastAsia="宋体"/>
              </w:rPr>
              <w:t>For CBD evaluation period,</w:t>
            </w:r>
          </w:p>
          <w:p w:rsidR="007D67F0" w:rsidRDefault="007D67F0" w:rsidP="007D67F0">
            <w:pPr>
              <w:numPr>
                <w:ilvl w:val="1"/>
                <w:numId w:val="46"/>
              </w:numPr>
              <w:spacing w:after="0"/>
              <w:rPr>
                <w:rFonts w:eastAsia="宋体"/>
              </w:rPr>
            </w:pPr>
            <w:r>
              <w:rPr>
                <w:rFonts w:eastAsia="宋体"/>
              </w:rPr>
              <w:t>Option 1: FFS (CMCC, ZTE, LGE)</w:t>
            </w:r>
          </w:p>
          <w:p w:rsidR="007D67F0" w:rsidRDefault="007D67F0" w:rsidP="007D67F0">
            <w:pPr>
              <w:numPr>
                <w:ilvl w:val="1"/>
                <w:numId w:val="46"/>
              </w:numPr>
              <w:spacing w:after="0"/>
              <w:rPr>
                <w:rFonts w:eastAsia="宋体"/>
              </w:rPr>
            </w:pPr>
            <w:r>
              <w:rPr>
                <w:rFonts w:eastAsia="宋体"/>
              </w:rPr>
              <w:t>Option 2: Reuse the legacy requirement (HW, ZTE, CATT)</w:t>
            </w:r>
          </w:p>
          <w:p w:rsidR="007D67F0" w:rsidRDefault="007D67F0" w:rsidP="007D67F0">
            <w:pPr>
              <w:numPr>
                <w:ilvl w:val="0"/>
                <w:numId w:val="46"/>
              </w:numPr>
              <w:spacing w:after="0"/>
              <w:ind w:left="935" w:hanging="357"/>
              <w:rPr>
                <w:rFonts w:eastAsia="宋体"/>
              </w:rPr>
            </w:pPr>
            <w:r>
              <w:rPr>
                <w:rFonts w:eastAsia="宋体"/>
              </w:rPr>
              <w:t>The conclusion could be revisited after RF group has identified the channel model</w:t>
            </w:r>
          </w:p>
          <w:p w:rsidR="007D67F0" w:rsidRDefault="007D67F0" w:rsidP="007D67F0">
            <w:pPr>
              <w:rPr>
                <w:rFonts w:eastAsia="Yu Mincho Light"/>
                <w:b/>
                <w:u w:val="single"/>
                <w:lang w:eastAsia="ko-KR"/>
              </w:rPr>
            </w:pPr>
            <w:r>
              <w:rPr>
                <w:b/>
                <w:u w:val="single"/>
                <w:lang w:eastAsia="ko-KR"/>
              </w:rPr>
              <w:t>Issue 4-1-3: Active BWP switching delay</w:t>
            </w:r>
          </w:p>
          <w:p w:rsidR="007D67F0" w:rsidRDefault="007D67F0" w:rsidP="007D67F0">
            <w:pPr>
              <w:numPr>
                <w:ilvl w:val="0"/>
                <w:numId w:val="46"/>
              </w:numPr>
              <w:spacing w:after="0"/>
              <w:ind w:left="935" w:hanging="357"/>
              <w:rPr>
                <w:rFonts w:eastAsia="宋体"/>
                <w:lang w:eastAsia="zh-CN"/>
              </w:rPr>
            </w:pPr>
            <w:r>
              <w:rPr>
                <w:rFonts w:eastAsia="宋体"/>
              </w:rPr>
              <w:t>No need to define interruptions due to active BWP in section 8.2 of TS 38.133 for NR serving cells for EN-DC and NE-DC.</w:t>
            </w:r>
          </w:p>
          <w:p w:rsidR="007D67F0" w:rsidRDefault="007D67F0" w:rsidP="007D67F0">
            <w:pPr>
              <w:numPr>
                <w:ilvl w:val="0"/>
                <w:numId w:val="46"/>
              </w:numPr>
              <w:spacing w:after="0"/>
              <w:ind w:left="935" w:hanging="357"/>
              <w:rPr>
                <w:rFonts w:eastAsia="宋体"/>
              </w:rPr>
            </w:pPr>
            <w:r>
              <w:rPr>
                <w:rFonts w:eastAsia="宋体"/>
              </w:rPr>
              <w:t>FFS:</w:t>
            </w:r>
          </w:p>
          <w:p w:rsidR="007D67F0" w:rsidRDefault="007D67F0" w:rsidP="007D67F0">
            <w:pPr>
              <w:numPr>
                <w:ilvl w:val="1"/>
                <w:numId w:val="46"/>
              </w:numPr>
              <w:spacing w:after="0"/>
              <w:rPr>
                <w:rFonts w:eastAsia="宋体"/>
              </w:rPr>
            </w:pPr>
            <w:r>
              <w:rPr>
                <w:rFonts w:eastAsia="宋体"/>
              </w:rPr>
              <w:t>Option 1: Reuse the legacy Active BWP switching delay requirement for ATG. (CMCC, CATT, ZTE, HW)</w:t>
            </w:r>
          </w:p>
          <w:p w:rsidR="007D67F0" w:rsidRDefault="007D67F0" w:rsidP="007D67F0">
            <w:pPr>
              <w:numPr>
                <w:ilvl w:val="1"/>
                <w:numId w:val="46"/>
              </w:numPr>
              <w:spacing w:after="0"/>
              <w:rPr>
                <w:rFonts w:eastAsia="宋体"/>
              </w:rPr>
            </w:pPr>
            <w:r>
              <w:rPr>
                <w:rFonts w:eastAsia="宋体"/>
              </w:rPr>
              <w:t>Option 2: Existing active BWP switching requirements (excluding simultaneous and non-simultaneous BWP switching delay on multiple CCs) defined are reused for ATG. (Ericsson)</w:t>
            </w:r>
          </w:p>
          <w:p w:rsidR="007D67F0" w:rsidRDefault="007D67F0" w:rsidP="007D67F0">
            <w:pPr>
              <w:rPr>
                <w:rFonts w:eastAsia="Yu Mincho Light"/>
                <w:b/>
                <w:u w:val="single"/>
                <w:lang w:eastAsia="ko-KR"/>
              </w:rPr>
            </w:pPr>
            <w:r>
              <w:rPr>
                <w:b/>
                <w:u w:val="single"/>
                <w:lang w:eastAsia="ko-KR"/>
              </w:rPr>
              <w:t>Issue 4-1-4: L1-RSRP measurement requirements</w:t>
            </w:r>
          </w:p>
          <w:p w:rsidR="007D67F0" w:rsidRDefault="007D67F0" w:rsidP="007D67F0">
            <w:pPr>
              <w:numPr>
                <w:ilvl w:val="0"/>
                <w:numId w:val="46"/>
              </w:numPr>
              <w:spacing w:after="0"/>
              <w:ind w:left="935" w:hanging="357"/>
              <w:rPr>
                <w:rFonts w:eastAsia="宋体"/>
                <w:lang w:eastAsia="zh-CN"/>
              </w:rPr>
            </w:pPr>
            <w:r>
              <w:rPr>
                <w:rFonts w:eastAsia="宋体"/>
              </w:rPr>
              <w:t>Reuse the legacy L1-RSRP measurement requirements for ATG. The conclusion could be revisited after RF group has identified the channel model.</w:t>
            </w:r>
          </w:p>
          <w:p w:rsidR="007D67F0" w:rsidRDefault="007D67F0" w:rsidP="007D67F0">
            <w:pPr>
              <w:rPr>
                <w:rFonts w:eastAsia="Yu Mincho Light"/>
                <w:b/>
                <w:u w:val="single"/>
                <w:lang w:eastAsia="ko-KR"/>
              </w:rPr>
            </w:pPr>
            <w:r>
              <w:rPr>
                <w:b/>
                <w:u w:val="single"/>
                <w:lang w:eastAsia="ko-KR"/>
              </w:rPr>
              <w:t>Issue 4-1-5: Active TCI state switching delay, Active downlink TCI state switching delay for unified TCI, Active uplink TCI state switching delay for unified TCI</w:t>
            </w:r>
          </w:p>
          <w:p w:rsidR="007D67F0" w:rsidRDefault="007D67F0" w:rsidP="007D67F0">
            <w:pPr>
              <w:numPr>
                <w:ilvl w:val="0"/>
                <w:numId w:val="46"/>
              </w:numPr>
              <w:spacing w:after="0"/>
              <w:ind w:left="935" w:hanging="357"/>
              <w:rPr>
                <w:rFonts w:eastAsia="宋体"/>
                <w:lang w:eastAsia="zh-CN"/>
              </w:rPr>
            </w:pPr>
            <w:r>
              <w:rPr>
                <w:rFonts w:eastAsia="宋体"/>
              </w:rPr>
              <w:t xml:space="preserve">Reuse the legacy Active TCI state switching delay requirement for ATG. </w:t>
            </w:r>
          </w:p>
          <w:p w:rsidR="007D67F0" w:rsidRDefault="007D67F0" w:rsidP="007D67F0">
            <w:pPr>
              <w:numPr>
                <w:ilvl w:val="0"/>
                <w:numId w:val="46"/>
              </w:numPr>
              <w:spacing w:after="0"/>
              <w:ind w:left="935" w:hanging="357"/>
              <w:rPr>
                <w:rFonts w:eastAsia="宋体"/>
              </w:rPr>
            </w:pPr>
            <w:r>
              <w:rPr>
                <w:rFonts w:eastAsia="宋体"/>
              </w:rPr>
              <w:t>Further check Active downlink TCI state switching delay for unified TCI, Active uplink TCI state switching delay measurement requirement.</w:t>
            </w:r>
          </w:p>
          <w:p w:rsidR="007D67F0" w:rsidRDefault="007D67F0" w:rsidP="007D67F0">
            <w:pPr>
              <w:rPr>
                <w:rFonts w:eastAsia="Yu Mincho Light"/>
                <w:b/>
                <w:u w:val="single"/>
                <w:lang w:eastAsia="ko-KR"/>
              </w:rPr>
            </w:pPr>
            <w:r>
              <w:rPr>
                <w:b/>
                <w:u w:val="single"/>
                <w:lang w:eastAsia="ko-KR"/>
              </w:rPr>
              <w:lastRenderedPageBreak/>
              <w:t>Issue 4-1-6: Pathloss reference signal switching delay</w:t>
            </w:r>
          </w:p>
          <w:p w:rsidR="007D67F0" w:rsidRDefault="007D67F0" w:rsidP="007D67F0">
            <w:pPr>
              <w:numPr>
                <w:ilvl w:val="0"/>
                <w:numId w:val="46"/>
              </w:numPr>
              <w:spacing w:after="0"/>
              <w:ind w:left="935" w:hanging="357"/>
              <w:rPr>
                <w:rFonts w:eastAsia="宋体"/>
                <w:lang w:eastAsia="zh-CN"/>
              </w:rPr>
            </w:pPr>
            <w:r>
              <w:rPr>
                <w:rFonts w:eastAsia="宋体"/>
              </w:rPr>
              <w:t>Option 1: Reuse the legacy Pathloss reference signal switching delay requirement for ATG. (CMCC, HW, ZTE, CATT)</w:t>
            </w:r>
          </w:p>
          <w:p w:rsidR="007D67F0" w:rsidRDefault="007D67F0" w:rsidP="007D67F0">
            <w:pPr>
              <w:numPr>
                <w:ilvl w:val="0"/>
                <w:numId w:val="46"/>
              </w:numPr>
              <w:spacing w:after="0"/>
              <w:ind w:left="935" w:hanging="357"/>
              <w:rPr>
                <w:rFonts w:eastAsia="宋体"/>
              </w:rPr>
            </w:pPr>
            <w:r>
              <w:rPr>
                <w:rFonts w:eastAsia="宋体"/>
              </w:rPr>
              <w:t>Option 2: Check whether eMIMO is to be considered. (Ericsson)</w:t>
            </w:r>
          </w:p>
          <w:p w:rsidR="007D67F0" w:rsidRDefault="007D67F0" w:rsidP="007D67F0">
            <w:pPr>
              <w:rPr>
                <w:rFonts w:eastAsia="Malgun Gothic"/>
                <w:b/>
                <w:u w:val="single"/>
                <w:lang w:eastAsia="ko-KR"/>
              </w:rPr>
            </w:pPr>
            <w:r>
              <w:rPr>
                <w:rFonts w:eastAsia="Malgun Gothic"/>
                <w:b/>
                <w:u w:val="single"/>
                <w:lang w:eastAsia="ko-KR"/>
              </w:rPr>
              <w:t>Issue 4-1-7: Uplink spatial relation switch delay</w:t>
            </w:r>
          </w:p>
          <w:p w:rsidR="007D67F0" w:rsidRDefault="007D67F0" w:rsidP="007D67F0">
            <w:pPr>
              <w:numPr>
                <w:ilvl w:val="0"/>
                <w:numId w:val="46"/>
              </w:numPr>
              <w:spacing w:after="0"/>
              <w:ind w:left="935" w:hanging="357"/>
              <w:rPr>
                <w:rFonts w:eastAsia="宋体"/>
                <w:lang w:eastAsia="zh-CN"/>
              </w:rPr>
            </w:pPr>
            <w:r>
              <w:rPr>
                <w:rFonts w:eastAsia="宋体"/>
              </w:rPr>
              <w:t xml:space="preserve">Option 1: Uplink spatial relation switch delay requirement will not be applicable for R18 ATG. (CMCC, ZTE) </w:t>
            </w:r>
          </w:p>
          <w:p w:rsidR="007D67F0" w:rsidRDefault="007D67F0" w:rsidP="007D67F0">
            <w:pPr>
              <w:numPr>
                <w:ilvl w:val="0"/>
                <w:numId w:val="46"/>
              </w:numPr>
              <w:spacing w:after="0"/>
              <w:ind w:left="935" w:hanging="357"/>
              <w:rPr>
                <w:rFonts w:eastAsia="宋体"/>
              </w:rPr>
            </w:pPr>
            <w:r>
              <w:rPr>
                <w:rFonts w:eastAsia="宋体"/>
              </w:rPr>
              <w:t>Option 2: Reusing legacy requirements of spatial relation switching for ATG. (Ericsson, CATT)</w:t>
            </w:r>
          </w:p>
          <w:p w:rsidR="007D67F0" w:rsidRDefault="007D67F0" w:rsidP="007D67F0">
            <w:pPr>
              <w:rPr>
                <w:rFonts w:eastAsia="Malgun Gothic"/>
                <w:b/>
                <w:u w:val="single"/>
                <w:lang w:eastAsia="ko-KR"/>
              </w:rPr>
            </w:pPr>
            <w:r>
              <w:rPr>
                <w:rFonts w:eastAsia="Malgun Gothic"/>
                <w:b/>
                <w:u w:val="single"/>
                <w:lang w:eastAsia="ko-KR"/>
              </w:rPr>
              <w:t>Issue 4-1-8: UE-specific CBW change requirements</w:t>
            </w:r>
          </w:p>
          <w:p w:rsidR="007D67F0" w:rsidRDefault="007D67F0" w:rsidP="007D67F0">
            <w:pPr>
              <w:numPr>
                <w:ilvl w:val="0"/>
                <w:numId w:val="46"/>
              </w:numPr>
              <w:spacing w:after="0"/>
              <w:ind w:left="935" w:hanging="357"/>
              <w:rPr>
                <w:rFonts w:eastAsia="宋体"/>
                <w:lang w:eastAsia="zh-CN"/>
              </w:rPr>
            </w:pPr>
            <w:r>
              <w:rPr>
                <w:rFonts w:eastAsia="宋体"/>
              </w:rPr>
              <w:t>Existing requirements on UE-specific CBW change are reused for ATG.</w:t>
            </w:r>
          </w:p>
          <w:p w:rsidR="007D67F0" w:rsidRDefault="007D67F0" w:rsidP="00586EFF">
            <w:pPr>
              <w:rPr>
                <w:rFonts w:eastAsia="宋体"/>
              </w:rPr>
            </w:pPr>
          </w:p>
        </w:tc>
      </w:tr>
    </w:tbl>
    <w:p w:rsidR="00D01A4D" w:rsidRPr="004B612D" w:rsidRDefault="00D01A4D" w:rsidP="00586EFF">
      <w:pPr>
        <w:rPr>
          <w:rFonts w:eastAsia="宋体"/>
        </w:rPr>
      </w:pPr>
    </w:p>
    <w:p w:rsidR="00492B07" w:rsidRDefault="00A26E54" w:rsidP="00586EFF">
      <w:pPr>
        <w:rPr>
          <w:rFonts w:eastAsia="宋体"/>
        </w:rPr>
      </w:pPr>
      <w:r w:rsidRPr="00A26E54">
        <w:rPr>
          <w:rFonts w:eastAsia="宋体"/>
        </w:rPr>
        <w:t>There is left FFS on whether to reusing the legacy requirements for RLM/BFD/CBD/L1-RSRP requirements.</w:t>
      </w:r>
      <w:r>
        <w:rPr>
          <w:rFonts w:eastAsia="宋体"/>
        </w:rPr>
        <w:t xml:space="preserve"> Companies have concerns on whether different channel model will be considered for ATG which may result in different measurements. </w:t>
      </w:r>
      <w:r w:rsidR="001903A1">
        <w:rPr>
          <w:rFonts w:eastAsia="宋体"/>
        </w:rPr>
        <w:t xml:space="preserve">As </w:t>
      </w:r>
      <w:r w:rsidR="009B778D">
        <w:rPr>
          <w:rFonts w:eastAsia="宋体"/>
        </w:rPr>
        <w:t>analysed for intra-f and inter-f requirements, the typical transmission form is LOS for ATG, in legacy TN requirements, the number of samples are derived based on simulation using fading channel (e.g. TDL-C). In other words, with same side conditions, ATG UE is expected to achieve similar or better performance as TN. Thus, we think legacy requirements requirement can apply to ATG.</w:t>
      </w:r>
    </w:p>
    <w:p w:rsidR="009B778D" w:rsidRPr="009B778D" w:rsidRDefault="009B778D" w:rsidP="00586EFF">
      <w:pPr>
        <w:rPr>
          <w:rFonts w:eastAsia="宋体"/>
          <w:b/>
        </w:rPr>
      </w:pPr>
      <w:r w:rsidRPr="009B778D">
        <w:rPr>
          <w:rFonts w:eastAsia="宋体"/>
          <w:b/>
        </w:rPr>
        <w:t>Proposal 1: Legacy RLM and link recovery requirements can apply to ATG.</w:t>
      </w:r>
    </w:p>
    <w:p w:rsidR="009B778D" w:rsidRDefault="009B778D" w:rsidP="00586EFF">
      <w:pPr>
        <w:rPr>
          <w:rFonts w:eastAsia="宋体"/>
        </w:rPr>
      </w:pPr>
      <w:r>
        <w:rPr>
          <w:rFonts w:eastAsia="宋体"/>
        </w:rPr>
        <w:t>For BWP switching requirement, there is no controversial issue for the options. The only difference is how to reflect the conclusion in the spec. apparently, multi CC BWP switching is not needed for ATG as the scenarios is not considered.</w:t>
      </w:r>
    </w:p>
    <w:p w:rsidR="009B778D" w:rsidRDefault="009B778D" w:rsidP="00586EFF">
      <w:pPr>
        <w:rPr>
          <w:rFonts w:eastAsia="宋体"/>
          <w:b/>
        </w:rPr>
      </w:pPr>
      <w:r w:rsidRPr="009B778D">
        <w:rPr>
          <w:rFonts w:eastAsia="宋体"/>
          <w:b/>
        </w:rPr>
        <w:t>Proposal 2: Existing active BWP switching requirements can apply to ATG.</w:t>
      </w:r>
    </w:p>
    <w:p w:rsidR="009B778D" w:rsidRDefault="009B778D" w:rsidP="00586EFF">
      <w:pPr>
        <w:rPr>
          <w:rFonts w:eastAsia="宋体"/>
        </w:rPr>
      </w:pPr>
      <w:r w:rsidRPr="009B778D">
        <w:rPr>
          <w:rFonts w:eastAsia="宋体"/>
        </w:rPr>
        <w:t xml:space="preserve">Regarding </w:t>
      </w:r>
      <w:r>
        <w:rPr>
          <w:rFonts w:eastAsia="宋体"/>
        </w:rPr>
        <w:t>the u</w:t>
      </w:r>
      <w:r w:rsidRPr="009B778D">
        <w:rPr>
          <w:rFonts w:eastAsia="宋体"/>
        </w:rPr>
        <w:t>plink spatial relation switch delay</w:t>
      </w:r>
      <w:r>
        <w:rPr>
          <w:rFonts w:eastAsia="宋体"/>
        </w:rPr>
        <w:t xml:space="preserve">, as commented by companies in last meeting, it is only for FR2. And similar discussion happened in NTN discussion in last meeting, and the corresponding requirements were removed for NTN. Thus, </w:t>
      </w:r>
      <w:r w:rsidR="00A66509">
        <w:rPr>
          <w:rFonts w:eastAsia="宋体"/>
        </w:rPr>
        <w:t xml:space="preserve">no need to consider </w:t>
      </w:r>
      <w:r w:rsidR="00A66509" w:rsidRPr="00A66509">
        <w:rPr>
          <w:rFonts w:eastAsia="宋体"/>
        </w:rPr>
        <w:t>Uplink spatial relation switch delay</w:t>
      </w:r>
      <w:r w:rsidR="00A66509">
        <w:rPr>
          <w:rFonts w:eastAsia="宋体"/>
        </w:rPr>
        <w:t xml:space="preserve"> for ATG.</w:t>
      </w:r>
    </w:p>
    <w:p w:rsidR="00A66509" w:rsidRPr="00061A47" w:rsidRDefault="00A66509" w:rsidP="00A66509">
      <w:pPr>
        <w:rPr>
          <w:rFonts w:eastAsia="宋体"/>
          <w:b/>
        </w:rPr>
      </w:pPr>
      <w:r w:rsidRPr="00061A47">
        <w:rPr>
          <w:rFonts w:eastAsia="宋体"/>
          <w:b/>
        </w:rPr>
        <w:t>Proposal 3</w:t>
      </w:r>
      <w:r w:rsidRPr="00061A47">
        <w:rPr>
          <w:rFonts w:eastAsia="宋体" w:hint="eastAsia"/>
          <w:b/>
          <w:lang w:eastAsia="zh-CN"/>
        </w:rPr>
        <w:t>:</w:t>
      </w:r>
      <w:r w:rsidRPr="00061A47">
        <w:rPr>
          <w:rFonts w:eastAsia="宋体"/>
          <w:b/>
          <w:lang w:eastAsia="zh-CN"/>
        </w:rPr>
        <w:t xml:space="preserve"> </w:t>
      </w:r>
      <w:r w:rsidRPr="00061A47">
        <w:rPr>
          <w:rFonts w:eastAsia="宋体"/>
          <w:b/>
        </w:rPr>
        <w:t>No need to consider Uplink spatial relation switch delay for ATG.</w:t>
      </w:r>
    </w:p>
    <w:p w:rsidR="00360FBE" w:rsidRPr="00A26E54" w:rsidRDefault="00360FBE" w:rsidP="00586EFF">
      <w:pPr>
        <w:rPr>
          <w:rFonts w:eastAsia="宋体"/>
        </w:rPr>
      </w:pPr>
    </w:p>
    <w:p w:rsidR="00DF0231" w:rsidRDefault="00DF0231" w:rsidP="00DF0231">
      <w:pPr>
        <w:pStyle w:val="Heading1"/>
        <w:numPr>
          <w:ilvl w:val="0"/>
          <w:numId w:val="1"/>
        </w:numPr>
        <w:rPr>
          <w:lang w:val="en-US"/>
        </w:rPr>
      </w:pPr>
      <w:r w:rsidRPr="002D2977">
        <w:rPr>
          <w:lang w:val="en-US"/>
        </w:rPr>
        <w:t>Conclusions</w:t>
      </w:r>
    </w:p>
    <w:p w:rsidR="0025191B" w:rsidRPr="009B778D" w:rsidRDefault="0025191B" w:rsidP="0025191B">
      <w:pPr>
        <w:rPr>
          <w:rFonts w:eastAsia="宋体"/>
          <w:b/>
        </w:rPr>
      </w:pPr>
      <w:r w:rsidRPr="009B778D">
        <w:rPr>
          <w:rFonts w:eastAsia="宋体"/>
          <w:b/>
        </w:rPr>
        <w:t>Proposal 1: Legacy RLM and link recovery requirements can apply to ATG.</w:t>
      </w:r>
    </w:p>
    <w:p w:rsidR="0025191B" w:rsidRDefault="0025191B" w:rsidP="0025191B">
      <w:pPr>
        <w:rPr>
          <w:rFonts w:eastAsia="宋体"/>
          <w:b/>
        </w:rPr>
      </w:pPr>
      <w:r w:rsidRPr="009B778D">
        <w:rPr>
          <w:rFonts w:eastAsia="宋体"/>
          <w:b/>
        </w:rPr>
        <w:t>Proposal 2: Existing active BWP switching requirements can apply to ATG.</w:t>
      </w:r>
    </w:p>
    <w:p w:rsidR="008641BB" w:rsidRPr="0025191B" w:rsidRDefault="0025191B" w:rsidP="00F87DA1">
      <w:pPr>
        <w:rPr>
          <w:rFonts w:eastAsia="宋体"/>
          <w:b/>
        </w:rPr>
      </w:pPr>
      <w:r w:rsidRPr="00061A47">
        <w:rPr>
          <w:rFonts w:eastAsia="宋体"/>
          <w:b/>
        </w:rPr>
        <w:t>Proposal 3</w:t>
      </w:r>
      <w:r w:rsidRPr="00061A47">
        <w:rPr>
          <w:rFonts w:eastAsia="宋体" w:hint="eastAsia"/>
          <w:b/>
          <w:lang w:eastAsia="zh-CN"/>
        </w:rPr>
        <w:t>:</w:t>
      </w:r>
      <w:r w:rsidRPr="00061A47">
        <w:rPr>
          <w:rFonts w:eastAsia="宋体"/>
          <w:b/>
          <w:lang w:eastAsia="zh-CN"/>
        </w:rPr>
        <w:t xml:space="preserve"> </w:t>
      </w:r>
      <w:r w:rsidRPr="00061A47">
        <w:rPr>
          <w:rFonts w:eastAsia="宋体"/>
          <w:b/>
        </w:rPr>
        <w:t>No need to consider Uplink spatial relation switch delay for ATG.</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004628CB" w:rsidRPr="004628CB">
        <w:rPr>
          <w:rFonts w:eastAsiaTheme="minorEastAsia"/>
          <w:lang w:eastAsia="zh-CN"/>
        </w:rPr>
        <w:t>R4-2217256</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3BF" w:rsidRDefault="008733BF">
      <w:pPr>
        <w:spacing w:after="0"/>
      </w:pPr>
      <w:r>
        <w:separator/>
      </w:r>
    </w:p>
  </w:endnote>
  <w:endnote w:type="continuationSeparator" w:id="0">
    <w:p w:rsidR="008733BF" w:rsidRDefault="00873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Light">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1279">
      <w:rPr>
        <w:rStyle w:val="PageNumber"/>
      </w:rPr>
      <w:t>1</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3BF" w:rsidRDefault="008733BF">
      <w:pPr>
        <w:spacing w:after="0"/>
      </w:pPr>
      <w:r>
        <w:separator/>
      </w:r>
    </w:p>
  </w:footnote>
  <w:footnote w:type="continuationSeparator" w:id="0">
    <w:p w:rsidR="008733BF" w:rsidRDefault="008733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191B"/>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3BF"/>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14FD"/>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4F8"/>
    <w:rsid w:val="00BC3920"/>
    <w:rsid w:val="00BC47AB"/>
    <w:rsid w:val="00BD0D7C"/>
    <w:rsid w:val="00BD2AB1"/>
    <w:rsid w:val="00BD3A7F"/>
    <w:rsid w:val="00BE056E"/>
    <w:rsid w:val="00BE09C1"/>
    <w:rsid w:val="00BE1279"/>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60016"/>
    <w:rsid w:val="00C638D8"/>
    <w:rsid w:val="00C63D6B"/>
    <w:rsid w:val="00C64128"/>
    <w:rsid w:val="00C710B7"/>
    <w:rsid w:val="00C73515"/>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9B3"/>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2DB6"/>
    <w:rsid w:val="00F66108"/>
    <w:rsid w:val="00F7293F"/>
    <w:rsid w:val="00F72D98"/>
    <w:rsid w:val="00F76B81"/>
    <w:rsid w:val="00F83F8A"/>
    <w:rsid w:val="00F87DA1"/>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C8AA8-1648-4D29-B6E8-A89A9DED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16508</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314</cp:revision>
  <dcterms:created xsi:type="dcterms:W3CDTF">2019-09-18T02:52:00Z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(3)LFP1En94vm2fhMUoVeeA6nestU/eDV6GlQoM/yoihWb7fZPOrPNSjLrzS7wGog2WGVbHn4OJ
bU2WsLU5DNs/ES1VUylAY3WHkhs2gh2z3VjF7aJ+E3RSpUipeWNF4/xp4w6YaDV3xw2cbr/L
RF9a9VKmd0HcQgXdjfc0R0+mDHf0hEToWzN4c1uA1T1jrqii6Nq+rXfbwtQOfg/xTdiD+M0X
6VgBef12UtUz1QSpII</vt:lpwstr>
  </property>
  <property fmtid="{D5CDD505-2E9C-101B-9397-08002B2CF9AE}" pid="3" name="_2015_ms_pID_7253431">
    <vt:lpwstr>IgXABxNLwBch/HiOLSZfbfXcYUvzisI64nU2KT7o5E1fML9ZbD1s8J
aNAPyFzJUM4nygyw8d9SYTiSumF0ioyL1AVMI/CpKV2nSLoG0z+qxCMOOIW+EbfrAFboakpq
8OaUKmHtYqw4zsDZuLDtF6OGX4ujy3UVkAIcP8uI3SxU1S51I48NjGk5HUO8+UZPzPeRNqMt
SXSuEkP7Wzqar4ClVorhMYi2aVZdC/OCUghq</vt:lpwstr>
  </property>
  <property fmtid="{D5CDD505-2E9C-101B-9397-08002B2CF9AE}" pid="4" name="_2015_ms_pID_7253432">
    <vt:lpwstr>hDEQnp+AyVDoOP3mj5LeSJM=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