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4F6F6" w14:textId="0D17BBE7" w:rsidR="005F3993" w:rsidRPr="005F3993" w:rsidRDefault="005F3993" w:rsidP="005F399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105</w:t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3016E" w:rsidRPr="0093016E">
        <w:rPr>
          <w:rFonts w:ascii="Arial" w:eastAsia="MS Mincho" w:hAnsi="Arial" w:cs="Arial"/>
          <w:b/>
          <w:sz w:val="24"/>
          <w:szCs w:val="24"/>
          <w:lang w:eastAsia="en-US"/>
        </w:rPr>
        <w:t>R4-2218645</w:t>
      </w:r>
    </w:p>
    <w:p w14:paraId="2A6B0C98" w14:textId="3D4D0484" w:rsidR="00811CC5" w:rsidRDefault="005F3993" w:rsidP="005F399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F3993">
        <w:rPr>
          <w:rFonts w:ascii="Arial" w:eastAsia="MS Mincho" w:hAnsi="Arial" w:cs="Arial"/>
          <w:b/>
          <w:sz w:val="24"/>
          <w:szCs w:val="24"/>
          <w:lang w:eastAsia="en-US"/>
        </w:rPr>
        <w:t>Toulouse, France, November 14 – November 18, 2022</w:t>
      </w:r>
    </w:p>
    <w:p w14:paraId="4EB3180A" w14:textId="77777777" w:rsidR="005F3993" w:rsidRDefault="005F3993" w:rsidP="005F399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65592BD5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85745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="00094CC6">
        <w:rPr>
          <w:rFonts w:ascii="Arial" w:eastAsia="MS Mincho" w:hAnsi="Arial" w:cs="Arial"/>
          <w:b/>
          <w:sz w:val="24"/>
          <w:szCs w:val="24"/>
          <w:lang w:eastAsia="en-US"/>
        </w:rPr>
        <w:t>.1</w:t>
      </w:r>
      <w:r w:rsidR="00985745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="00094CC6">
        <w:rPr>
          <w:rFonts w:ascii="Arial" w:eastAsia="MS Mincho" w:hAnsi="Arial" w:cs="Arial"/>
          <w:b/>
          <w:sz w:val="24"/>
          <w:szCs w:val="24"/>
          <w:lang w:eastAsia="en-US"/>
        </w:rPr>
        <w:t>.2.2.2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642FBEEF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746D3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>tudy the feasibility of and impact on RF requirements on UE aspects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4E5AD06F" w:rsidR="001F2616" w:rsidRDefault="00324767" w:rsidP="00A928CA">
      <w:pPr>
        <w:spacing w:after="180"/>
        <w:rPr>
          <w:rFonts w:ascii="Times New Roman" w:hAnsi="Times New Roman"/>
          <w:sz w:val="20"/>
        </w:rPr>
      </w:pPr>
      <w:r w:rsidRPr="00324767">
        <w:rPr>
          <w:rFonts w:ascii="Times New Roman" w:hAnsi="Times New Roman"/>
          <w:sz w:val="20"/>
        </w:rPr>
        <w:t>WF on SBFD feasibility study and RF impact</w:t>
      </w:r>
      <w:r>
        <w:rPr>
          <w:rFonts w:ascii="Times New Roman" w:hAnsi="Times New Roman"/>
          <w:sz w:val="20"/>
        </w:rPr>
        <w:t xml:space="preserve"> has been approved in last meeting</w:t>
      </w:r>
      <w:r w:rsidR="00CA4FCD" w:rsidRPr="00CA4FCD">
        <w:rPr>
          <w:rFonts w:ascii="Times New Roman" w:hAnsi="Times New Roman"/>
          <w:sz w:val="20"/>
        </w:rPr>
        <w:t xml:space="preserve"> [1]. It seems we still need to refine the reply. In this contribution, we focus on the discussion of how to refine the LS to RAN1</w:t>
      </w:r>
      <w:r w:rsidR="00004218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68B42F0" w14:textId="740E9979" w:rsidR="00555542" w:rsidRDefault="00555542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Tx adjacent channel model, </w:t>
      </w:r>
      <w:r w:rsidR="008E2409">
        <w:rPr>
          <w:rFonts w:ascii="Times New Roman" w:hAnsi="Times New Roman"/>
          <w:sz w:val="20"/>
          <w:szCs w:val="21"/>
        </w:rPr>
        <w:t xml:space="preserve">it is still FFS </w:t>
      </w:r>
      <w:r w:rsidR="008E2409" w:rsidRPr="008E2409">
        <w:rPr>
          <w:rFonts w:ascii="Times New Roman" w:hAnsi="Times New Roman"/>
          <w:sz w:val="20"/>
          <w:szCs w:val="21"/>
        </w:rPr>
        <w:t>whether we need to model allocations that are less than fully allocated uplink sub-bands</w:t>
      </w:r>
      <w:r w:rsidR="008E2409">
        <w:rPr>
          <w:rFonts w:ascii="Times New Roman" w:hAnsi="Times New Roman"/>
          <w:sz w:val="20"/>
          <w:szCs w:val="21"/>
        </w:rPr>
        <w:t>.</w:t>
      </w:r>
    </w:p>
    <w:p w14:paraId="1C0647B6" w14:textId="668AF417" w:rsidR="008E2409" w:rsidRDefault="008E2409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From RAN4 perspective, we have approved one UE per sub-band</w:t>
      </w:r>
      <w:r w:rsidR="007D378D">
        <w:rPr>
          <w:rFonts w:ascii="Times New Roman" w:hAnsi="Times New Roman"/>
          <w:sz w:val="20"/>
          <w:szCs w:val="21"/>
        </w:rPr>
        <w:t xml:space="preserve"> for simulation</w:t>
      </w:r>
      <w:r>
        <w:rPr>
          <w:rFonts w:ascii="Times New Roman" w:hAnsi="Times New Roman"/>
          <w:sz w:val="20"/>
          <w:szCs w:val="21"/>
        </w:rPr>
        <w:t xml:space="preserve">, i.e. 3 UEs for DUD configuration </w:t>
      </w:r>
      <w:r w:rsidR="007D378D">
        <w:rPr>
          <w:rFonts w:ascii="Times New Roman" w:hAnsi="Times New Roman"/>
          <w:sz w:val="20"/>
          <w:szCs w:val="21"/>
        </w:rPr>
        <w:t xml:space="preserve">cell, </w:t>
      </w:r>
      <w:r>
        <w:rPr>
          <w:rFonts w:ascii="Times New Roman" w:hAnsi="Times New Roman"/>
          <w:sz w:val="20"/>
          <w:szCs w:val="21"/>
        </w:rPr>
        <w:t xml:space="preserve">2 UEs for DU configuration </w:t>
      </w:r>
      <w:r w:rsidR="007D378D">
        <w:rPr>
          <w:rFonts w:ascii="Times New Roman" w:hAnsi="Times New Roman"/>
          <w:sz w:val="20"/>
          <w:szCs w:val="21"/>
        </w:rPr>
        <w:t xml:space="preserve">cell </w:t>
      </w:r>
      <w:r>
        <w:rPr>
          <w:rFonts w:ascii="Times New Roman" w:hAnsi="Times New Roman"/>
          <w:sz w:val="20"/>
          <w:szCs w:val="21"/>
        </w:rPr>
        <w:t>and 1 UE for legacy cell.</w:t>
      </w:r>
      <w:r w:rsidR="007D378D">
        <w:rPr>
          <w:rFonts w:ascii="Times New Roman" w:hAnsi="Times New Roman"/>
          <w:sz w:val="20"/>
          <w:szCs w:val="21"/>
        </w:rPr>
        <w:t xml:space="preserve"> From this point of view, RAN4 don’t need to model allocations that are less than fully allocated uplink sub-bands.</w:t>
      </w:r>
      <w:r w:rsidR="00FC493E">
        <w:rPr>
          <w:rFonts w:ascii="Times New Roman" w:hAnsi="Times New Roman"/>
          <w:sz w:val="20"/>
          <w:szCs w:val="21"/>
        </w:rPr>
        <w:t xml:space="preserve"> But from RAN1 perspective, more than one UE per sub-band for simulation and </w:t>
      </w:r>
      <w:r w:rsidR="00300EB2">
        <w:rPr>
          <w:rFonts w:ascii="Times New Roman" w:hAnsi="Times New Roman"/>
          <w:sz w:val="20"/>
          <w:szCs w:val="21"/>
        </w:rPr>
        <w:t>each</w:t>
      </w:r>
      <w:r w:rsidR="00FC493E">
        <w:rPr>
          <w:rFonts w:ascii="Times New Roman" w:hAnsi="Times New Roman"/>
          <w:sz w:val="20"/>
          <w:szCs w:val="21"/>
        </w:rPr>
        <w:t xml:space="preserve"> UE will not be configured with full uplink sub-band. if we send UE adjacent channel model to RAN1, we should consider the model that allocation is less than full UL sub-band.</w:t>
      </w:r>
    </w:p>
    <w:p w14:paraId="23E9EF59" w14:textId="33C9DDDC" w:rsidR="00FC493E" w:rsidRPr="00E85D55" w:rsidRDefault="00FC493E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E85D55">
        <w:rPr>
          <w:rFonts w:ascii="Times New Roman" w:hAnsi="Times New Roman"/>
          <w:b/>
          <w:bCs/>
          <w:sz w:val="20"/>
          <w:szCs w:val="21"/>
        </w:rPr>
        <w:t xml:space="preserve">Observation 1: from RAN4 simulation perspective, we don’t need </w:t>
      </w:r>
      <w:r w:rsidR="00A6003C" w:rsidRPr="00E85D55">
        <w:rPr>
          <w:rFonts w:ascii="Times New Roman" w:hAnsi="Times New Roman"/>
          <w:b/>
          <w:bCs/>
          <w:sz w:val="20"/>
          <w:szCs w:val="21"/>
        </w:rPr>
        <w:t>to</w:t>
      </w:r>
      <w:r w:rsidRPr="00E85D55">
        <w:rPr>
          <w:rFonts w:ascii="Times New Roman" w:hAnsi="Times New Roman"/>
          <w:b/>
          <w:bCs/>
          <w:sz w:val="20"/>
          <w:szCs w:val="21"/>
        </w:rPr>
        <w:t xml:space="preserve"> model the case that allocation less than full UL sub-band. </w:t>
      </w:r>
      <w:r w:rsidR="00A6003C" w:rsidRPr="00E85D55">
        <w:rPr>
          <w:rFonts w:ascii="Times New Roman" w:hAnsi="Times New Roman"/>
          <w:b/>
          <w:bCs/>
          <w:sz w:val="20"/>
          <w:szCs w:val="21"/>
        </w:rPr>
        <w:t>but if we send the model to RAN1, such model is necessary.</w:t>
      </w:r>
    </w:p>
    <w:p w14:paraId="627622A4" w14:textId="6FFF0512" w:rsidR="00F617DB" w:rsidRPr="008669D3" w:rsidRDefault="000F4D19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</w:t>
      </w:r>
      <w:r>
        <w:rPr>
          <w:rFonts w:ascii="Times New Roman" w:hAnsi="Times New Roman" w:hint="eastAsia"/>
          <w:sz w:val="20"/>
          <w:szCs w:val="21"/>
        </w:rPr>
        <w:t>or</w:t>
      </w:r>
      <w:r>
        <w:rPr>
          <w:rFonts w:ascii="Times New Roman" w:hAnsi="Times New Roman"/>
          <w:sz w:val="20"/>
          <w:szCs w:val="21"/>
        </w:rPr>
        <w:t xml:space="preserve"> Rx </w:t>
      </w:r>
      <w:r w:rsidR="009E4C09">
        <w:rPr>
          <w:rFonts w:ascii="Times New Roman" w:hAnsi="Times New Roman"/>
          <w:sz w:val="20"/>
          <w:szCs w:val="21"/>
        </w:rPr>
        <w:t xml:space="preserve">co-channel </w:t>
      </w:r>
      <w:r>
        <w:rPr>
          <w:rFonts w:ascii="Times New Roman" w:hAnsi="Times New Roman"/>
          <w:sz w:val="20"/>
          <w:szCs w:val="21"/>
        </w:rPr>
        <w:t>part, if we assume there is no selectivity requirement</w:t>
      </w:r>
      <w:r w:rsidR="009E4C09">
        <w:rPr>
          <w:rFonts w:ascii="Times New Roman" w:hAnsi="Times New Roman"/>
          <w:sz w:val="20"/>
          <w:szCs w:val="21"/>
        </w:rPr>
        <w:t>, i.e. option 1 in [1]</w:t>
      </w:r>
      <w:r>
        <w:rPr>
          <w:rFonts w:ascii="Times New Roman" w:hAnsi="Times New Roman"/>
          <w:sz w:val="20"/>
          <w:szCs w:val="21"/>
        </w:rPr>
        <w:t>, this means all the Tx power will fall into victim UE without any selectivity. At the victim part, total interference include</w:t>
      </w:r>
      <w:r w:rsidR="00C06B7E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 two part</w:t>
      </w:r>
      <w:r w:rsidR="00836369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, one from Tx unwanted leakage that fall into Rx sub-band, and the other part from Tx wanted </w:t>
      </w:r>
      <w:r w:rsidR="002D7D49">
        <w:rPr>
          <w:rFonts w:ascii="Times New Roman" w:hAnsi="Times New Roman"/>
          <w:sz w:val="20"/>
          <w:szCs w:val="21"/>
        </w:rPr>
        <w:t>single that all fall into Rx sub</w:t>
      </w:r>
      <w:r w:rsidR="003A67AA">
        <w:rPr>
          <w:rFonts w:ascii="Times New Roman" w:hAnsi="Times New Roman"/>
          <w:sz w:val="20"/>
          <w:szCs w:val="21"/>
        </w:rPr>
        <w:t>-</w:t>
      </w:r>
      <w:r w:rsidR="002D7D49">
        <w:rPr>
          <w:rFonts w:ascii="Times New Roman" w:hAnsi="Times New Roman"/>
          <w:sz w:val="20"/>
          <w:szCs w:val="21"/>
        </w:rPr>
        <w:t xml:space="preserve">band if we assume no ICS requirements. since Tx wanted signal </w:t>
      </w:r>
      <w:r w:rsidR="00C06B7E">
        <w:rPr>
          <w:rFonts w:ascii="Times New Roman" w:hAnsi="Times New Roman"/>
          <w:sz w:val="20"/>
          <w:szCs w:val="21"/>
        </w:rPr>
        <w:t xml:space="preserve">power </w:t>
      </w:r>
      <w:r w:rsidR="002D7D49">
        <w:rPr>
          <w:rFonts w:ascii="Times New Roman" w:hAnsi="Times New Roman"/>
          <w:sz w:val="20"/>
          <w:szCs w:val="21"/>
        </w:rPr>
        <w:t xml:space="preserve">is much </w:t>
      </w:r>
      <w:r w:rsidR="00442F38">
        <w:rPr>
          <w:rFonts w:ascii="Times New Roman" w:hAnsi="Times New Roman"/>
          <w:sz w:val="20"/>
          <w:szCs w:val="21"/>
        </w:rPr>
        <w:t>larger</w:t>
      </w:r>
      <w:r w:rsidR="002D7D49">
        <w:rPr>
          <w:rFonts w:ascii="Times New Roman" w:hAnsi="Times New Roman"/>
          <w:sz w:val="20"/>
          <w:szCs w:val="21"/>
        </w:rPr>
        <w:t xml:space="preserve"> than unwanted part, wanted signal at Tx aggressor UE will determine final interference</w:t>
      </w:r>
      <w:r w:rsidR="002D7D49" w:rsidRPr="009E4C09">
        <w:rPr>
          <w:rFonts w:ascii="Times New Roman" w:hAnsi="Times New Roman"/>
          <w:sz w:val="20"/>
          <w:szCs w:val="21"/>
        </w:rPr>
        <w:t>. To be honest, if no ICS requirement is sen</w:t>
      </w:r>
      <w:r w:rsidR="008669D3" w:rsidRPr="009E4C09">
        <w:rPr>
          <w:rFonts w:ascii="Times New Roman" w:hAnsi="Times New Roman"/>
          <w:sz w:val="20"/>
          <w:szCs w:val="21"/>
        </w:rPr>
        <w:t>t</w:t>
      </w:r>
      <w:r w:rsidR="002D7D49" w:rsidRPr="009E4C09">
        <w:rPr>
          <w:rFonts w:ascii="Times New Roman" w:hAnsi="Times New Roman"/>
          <w:sz w:val="20"/>
          <w:szCs w:val="21"/>
        </w:rPr>
        <w:t xml:space="preserve"> to RAN1, interference is very severe and all Tx power from aggressor will fall into Rx side without selectivity and RAN1 even don’t need to model IBE interference which is negligible</w:t>
      </w:r>
      <w:r w:rsidR="00F617DB" w:rsidRPr="009E4C09">
        <w:rPr>
          <w:rFonts w:ascii="Times New Roman" w:hAnsi="Times New Roman"/>
          <w:sz w:val="20"/>
          <w:szCs w:val="21"/>
        </w:rPr>
        <w:t>.</w:t>
      </w:r>
    </w:p>
    <w:p w14:paraId="1A79AC82" w14:textId="2BE7BED4" w:rsidR="009E4162" w:rsidRDefault="00F617DB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example, </w:t>
      </w:r>
      <w:r w:rsidR="007A58E2">
        <w:rPr>
          <w:rFonts w:ascii="Times New Roman" w:hAnsi="Times New Roman"/>
          <w:sz w:val="20"/>
          <w:szCs w:val="21"/>
        </w:rPr>
        <w:t>i</w:t>
      </w:r>
      <w:r w:rsidR="003C49A5">
        <w:rPr>
          <w:rFonts w:ascii="Times New Roman" w:hAnsi="Times New Roman"/>
          <w:sz w:val="20"/>
          <w:szCs w:val="21"/>
        </w:rPr>
        <w:t xml:space="preserve">f we assume UE could accept REFSENSE+1dB, I=N-6dB, I=-111dBm/MHz with 9dB NF. </w:t>
      </w:r>
      <w:r w:rsidR="00FE1B93">
        <w:rPr>
          <w:rFonts w:ascii="Times New Roman" w:hAnsi="Times New Roman"/>
          <w:sz w:val="20"/>
          <w:szCs w:val="21"/>
        </w:rPr>
        <w:t>At least 121dB isolation is required</w:t>
      </w:r>
      <w:r w:rsidR="003C49A5">
        <w:rPr>
          <w:rFonts w:ascii="Times New Roman" w:hAnsi="Times New Roman"/>
          <w:sz w:val="20"/>
          <w:szCs w:val="21"/>
        </w:rPr>
        <w:t xml:space="preserve"> between Tx aggressor and Rx victim UE. </w:t>
      </w:r>
      <w:r w:rsidR="00A109DF">
        <w:rPr>
          <w:rFonts w:ascii="Times New Roman" w:hAnsi="Times New Roman"/>
          <w:sz w:val="20"/>
          <w:szCs w:val="21"/>
        </w:rPr>
        <w:t>T</w:t>
      </w:r>
      <w:r w:rsidR="003C49A5">
        <w:rPr>
          <w:rFonts w:ascii="Times New Roman" w:hAnsi="Times New Roman"/>
          <w:sz w:val="20"/>
          <w:szCs w:val="21"/>
        </w:rPr>
        <w:t>his means it’s very hard to depl</w:t>
      </w:r>
      <w:r w:rsidR="00A109DF">
        <w:rPr>
          <w:rFonts w:ascii="Times New Roman" w:hAnsi="Times New Roman"/>
          <w:sz w:val="20"/>
          <w:szCs w:val="21"/>
        </w:rPr>
        <w:t>o</w:t>
      </w:r>
      <w:r w:rsidR="003C49A5">
        <w:rPr>
          <w:rFonts w:ascii="Times New Roman" w:hAnsi="Times New Roman"/>
          <w:sz w:val="20"/>
          <w:szCs w:val="21"/>
        </w:rPr>
        <w:t>y aggressor UE and victim UE in the same cell.</w:t>
      </w:r>
    </w:p>
    <w:p w14:paraId="5A1D64A9" w14:textId="0CD63066" w:rsidR="002D7D49" w:rsidRDefault="009E4162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1A7E26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836ADE">
        <w:rPr>
          <w:rFonts w:ascii="Times New Roman" w:hAnsi="Times New Roman"/>
          <w:b/>
          <w:bCs/>
          <w:sz w:val="20"/>
          <w:szCs w:val="21"/>
        </w:rPr>
        <w:t>2</w:t>
      </w:r>
      <w:r w:rsidRPr="001A7E26">
        <w:rPr>
          <w:rFonts w:ascii="Times New Roman" w:hAnsi="Times New Roman"/>
          <w:b/>
          <w:bCs/>
          <w:sz w:val="20"/>
          <w:szCs w:val="21"/>
        </w:rPr>
        <w:t xml:space="preserve">: if there is no ICS requirement, </w:t>
      </w:r>
      <w:r w:rsidR="007D4462">
        <w:rPr>
          <w:rFonts w:ascii="Times New Roman" w:hAnsi="Times New Roman"/>
          <w:b/>
          <w:bCs/>
          <w:sz w:val="20"/>
          <w:szCs w:val="21"/>
        </w:rPr>
        <w:t xml:space="preserve">it’s </w:t>
      </w:r>
      <w:r w:rsidR="00581271">
        <w:rPr>
          <w:rFonts w:ascii="Times New Roman" w:hAnsi="Times New Roman"/>
          <w:b/>
          <w:bCs/>
          <w:sz w:val="20"/>
          <w:szCs w:val="21"/>
        </w:rPr>
        <w:t>im</w:t>
      </w:r>
      <w:r w:rsidR="007D4462" w:rsidRPr="007D4462">
        <w:rPr>
          <w:rFonts w:ascii="Times New Roman" w:hAnsi="Times New Roman"/>
          <w:b/>
          <w:bCs/>
          <w:sz w:val="20"/>
          <w:szCs w:val="21"/>
        </w:rPr>
        <w:t>possibl</w:t>
      </w:r>
      <w:r w:rsidR="007D4462">
        <w:rPr>
          <w:rFonts w:ascii="Times New Roman" w:hAnsi="Times New Roman"/>
          <w:b/>
          <w:bCs/>
          <w:sz w:val="20"/>
          <w:szCs w:val="21"/>
        </w:rPr>
        <w:t xml:space="preserve">e to configure </w:t>
      </w:r>
      <w:r w:rsidRPr="001A7E26">
        <w:rPr>
          <w:rFonts w:ascii="Times New Roman" w:hAnsi="Times New Roman"/>
          <w:b/>
          <w:bCs/>
          <w:sz w:val="20"/>
          <w:szCs w:val="21"/>
        </w:rPr>
        <w:t>aggressor UE and victim UE in the same cell if victim UE only allow 1dB REFSENSE degradation.</w:t>
      </w:r>
      <w:r w:rsidR="00F617DB" w:rsidRPr="001A7E26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2D7D49" w:rsidRPr="001A7E26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22A5AF0B" w14:textId="40CBD4ED" w:rsidR="001834E1" w:rsidRDefault="001834E1" w:rsidP="00A928CA">
      <w:pPr>
        <w:spacing w:after="180"/>
        <w:rPr>
          <w:rFonts w:ascii="Times New Roman" w:hAnsi="Times New Roman"/>
          <w:sz w:val="20"/>
          <w:szCs w:val="21"/>
        </w:rPr>
      </w:pPr>
      <w:r w:rsidRPr="006D0377">
        <w:rPr>
          <w:rFonts w:ascii="Times New Roman" w:hAnsi="Times New Roman"/>
          <w:sz w:val="20"/>
          <w:szCs w:val="21"/>
        </w:rPr>
        <w:lastRenderedPageBreak/>
        <w:t>The commercial UE must ha</w:t>
      </w:r>
      <w:r w:rsidR="006D0377">
        <w:rPr>
          <w:rFonts w:ascii="Times New Roman" w:hAnsi="Times New Roman"/>
          <w:sz w:val="20"/>
          <w:szCs w:val="21"/>
        </w:rPr>
        <w:t>ve</w:t>
      </w:r>
      <w:r w:rsidRPr="006D0377">
        <w:rPr>
          <w:rFonts w:ascii="Times New Roman" w:hAnsi="Times New Roman"/>
          <w:sz w:val="20"/>
          <w:szCs w:val="21"/>
        </w:rPr>
        <w:t xml:space="preserve"> </w:t>
      </w:r>
      <w:r w:rsidR="007E7D46">
        <w:rPr>
          <w:rFonts w:ascii="Times New Roman" w:hAnsi="Times New Roman"/>
          <w:sz w:val="20"/>
          <w:szCs w:val="21"/>
        </w:rPr>
        <w:t>certain</w:t>
      </w:r>
      <w:r w:rsidRPr="006D0377">
        <w:rPr>
          <w:rFonts w:ascii="Times New Roman" w:hAnsi="Times New Roman"/>
          <w:sz w:val="20"/>
          <w:szCs w:val="21"/>
        </w:rPr>
        <w:t xml:space="preserve"> capability to </w:t>
      </w:r>
      <w:r w:rsidR="006D0377">
        <w:rPr>
          <w:rFonts w:ascii="Times New Roman" w:hAnsi="Times New Roman"/>
          <w:sz w:val="20"/>
          <w:szCs w:val="21"/>
        </w:rPr>
        <w:t>suppress</w:t>
      </w:r>
      <w:r w:rsidRPr="006D0377">
        <w:rPr>
          <w:rFonts w:ascii="Times New Roman" w:hAnsi="Times New Roman"/>
          <w:sz w:val="20"/>
          <w:szCs w:val="21"/>
        </w:rPr>
        <w:t xml:space="preserve"> Rx interference, it’s better to fin</w:t>
      </w:r>
      <w:r w:rsidR="006D0377">
        <w:rPr>
          <w:rFonts w:ascii="Times New Roman" w:hAnsi="Times New Roman"/>
          <w:sz w:val="20"/>
          <w:szCs w:val="21"/>
        </w:rPr>
        <w:t xml:space="preserve">d </w:t>
      </w:r>
      <w:r w:rsidRPr="006D0377">
        <w:rPr>
          <w:rFonts w:ascii="Times New Roman" w:hAnsi="Times New Roman"/>
          <w:sz w:val="20"/>
          <w:szCs w:val="21"/>
        </w:rPr>
        <w:t>out the common performance at RAN4 rather than just send this interference to RAN1 without reflecting actual interference issue.</w:t>
      </w:r>
      <w:r w:rsidR="002064BA">
        <w:rPr>
          <w:rFonts w:ascii="Times New Roman" w:hAnsi="Times New Roman"/>
          <w:sz w:val="20"/>
          <w:szCs w:val="21"/>
        </w:rPr>
        <w:t xml:space="preserve"> </w:t>
      </w:r>
      <w:r w:rsidR="0093748D">
        <w:rPr>
          <w:rFonts w:ascii="Times New Roman" w:hAnsi="Times New Roman"/>
          <w:sz w:val="20"/>
          <w:szCs w:val="21"/>
        </w:rPr>
        <w:t xml:space="preserve">So original option 2 and 3 could be down selected for further study. </w:t>
      </w:r>
      <w:r w:rsidR="002064BA">
        <w:rPr>
          <w:rFonts w:ascii="Times New Roman" w:hAnsi="Times New Roman"/>
          <w:sz w:val="20"/>
          <w:szCs w:val="21"/>
        </w:rPr>
        <w:t>If final interference still exist</w:t>
      </w:r>
      <w:r w:rsidR="007E7D46">
        <w:rPr>
          <w:rFonts w:ascii="Times New Roman" w:hAnsi="Times New Roman"/>
          <w:sz w:val="20"/>
          <w:szCs w:val="21"/>
        </w:rPr>
        <w:t>s</w:t>
      </w:r>
      <w:r w:rsidR="002064BA">
        <w:rPr>
          <w:rFonts w:ascii="Times New Roman" w:hAnsi="Times New Roman"/>
          <w:sz w:val="20"/>
          <w:szCs w:val="21"/>
        </w:rPr>
        <w:t xml:space="preserve"> even with typical UE performance, RAN1 schemes are suggested rather than let RAN1 resolve such sever interference with 0dB ICS.</w:t>
      </w:r>
    </w:p>
    <w:p w14:paraId="66B471AB" w14:textId="77FF52FE" w:rsidR="002B7CF6" w:rsidRDefault="002B7CF6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Regarding how to configure SBFD configuration to UE, some RAN1 </w:t>
      </w:r>
      <w:r w:rsidR="00C7786B">
        <w:rPr>
          <w:rFonts w:ascii="Times New Roman" w:hAnsi="Times New Roman"/>
          <w:sz w:val="20"/>
          <w:szCs w:val="21"/>
        </w:rPr>
        <w:t>working assumption and agreements are listed as below for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7786B" w14:paraId="016CD771" w14:textId="77777777" w:rsidTr="00C7786B">
        <w:tc>
          <w:tcPr>
            <w:tcW w:w="9736" w:type="dxa"/>
          </w:tcPr>
          <w:p w14:paraId="569A63AD" w14:textId="77777777" w:rsidR="00C7786B" w:rsidRPr="00C7786B" w:rsidRDefault="00C7786B" w:rsidP="00C7786B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7786B">
              <w:rPr>
                <w:rFonts w:ascii="Times New Roman" w:hAnsi="Times New Roman"/>
                <w:sz w:val="20"/>
                <w:szCs w:val="21"/>
              </w:rPr>
              <w:t>Working Assumption</w:t>
            </w:r>
          </w:p>
          <w:p w14:paraId="7BEEBAB0" w14:textId="77777777" w:rsidR="00C7786B" w:rsidRPr="00C7786B" w:rsidRDefault="00C7786B" w:rsidP="00C7786B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7786B">
              <w:rPr>
                <w:rFonts w:ascii="Times New Roman" w:hAnsi="Times New Roman"/>
                <w:sz w:val="20"/>
                <w:szCs w:val="21"/>
              </w:rPr>
              <w:t xml:space="preserve">For SBFD operation within a TDD carrier, study SBFD scheme within a single configured DL and UL BWP pair with aligned center frequencies as baseline. </w:t>
            </w:r>
          </w:p>
          <w:p w14:paraId="107CDFC9" w14:textId="77777777" w:rsidR="00C7786B" w:rsidRPr="00C7786B" w:rsidRDefault="00C7786B" w:rsidP="00C7786B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7786B">
              <w:rPr>
                <w:rFonts w:ascii="Times New Roman" w:hAnsi="Times New Roman"/>
                <w:sz w:val="20"/>
                <w:szCs w:val="21"/>
              </w:rPr>
              <w:t>- FFS feasibility and potential benefit of SBFD scheme within a single configured DL and UL BWP pair with unaligned center frequencies</w:t>
            </w:r>
          </w:p>
          <w:p w14:paraId="23760364" w14:textId="21A1E096" w:rsidR="00C7786B" w:rsidRDefault="00C7786B" w:rsidP="00C7786B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7786B">
              <w:rPr>
                <w:rFonts w:ascii="Times New Roman" w:hAnsi="Times New Roman"/>
                <w:sz w:val="20"/>
                <w:szCs w:val="21"/>
              </w:rPr>
              <w:t>- FFS feasibility and potential benefit of SBFD scheme with more than one configured DL and UL BWP pair with aligned/unaligned center frequencies for a DL and UL BWP pair</w:t>
            </w:r>
          </w:p>
        </w:tc>
      </w:tr>
      <w:tr w:rsidR="00CE155D" w14:paraId="76764904" w14:textId="77777777" w:rsidTr="00C7786B">
        <w:tc>
          <w:tcPr>
            <w:tcW w:w="9736" w:type="dxa"/>
          </w:tcPr>
          <w:p w14:paraId="1AFEEF00" w14:textId="77777777" w:rsidR="00CE155D" w:rsidRPr="00CE155D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/>
                <w:sz w:val="20"/>
                <w:szCs w:val="21"/>
              </w:rPr>
              <w:t>Agreement</w:t>
            </w:r>
          </w:p>
          <w:p w14:paraId="41239C81" w14:textId="77777777" w:rsidR="00CE155D" w:rsidRPr="00CE155D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/>
                <w:sz w:val="20"/>
                <w:szCs w:val="21"/>
              </w:rPr>
              <w:t>For SBFD operation at least for RRC_CONNECTED state, it is agreed that SBFD operation Alt 4 is the baseline.</w:t>
            </w:r>
          </w:p>
          <w:p w14:paraId="0E37E1F9" w14:textId="77777777" w:rsidR="00CE155D" w:rsidRPr="00CE155D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 w:hint="eastAsia"/>
                <w:sz w:val="20"/>
                <w:szCs w:val="21"/>
              </w:rPr>
              <w:t>•</w:t>
            </w:r>
            <w:r w:rsidRPr="00CE155D">
              <w:rPr>
                <w:rFonts w:ascii="Times New Roman" w:hAnsi="Times New Roman"/>
                <w:sz w:val="20"/>
                <w:szCs w:val="21"/>
              </w:rPr>
              <w:t xml:space="preserve"> SBFD operation Alt 4:</w:t>
            </w:r>
          </w:p>
          <w:p w14:paraId="10E4D085" w14:textId="77777777" w:rsidR="00CE155D" w:rsidRPr="00CE155D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/>
                <w:sz w:val="20"/>
                <w:szCs w:val="21"/>
              </w:rPr>
              <w:t xml:space="preserve">o Both time and frequency locations of subbands for SBFD operation are known to SBFD aware UEs. </w:t>
            </w:r>
          </w:p>
          <w:p w14:paraId="35204799" w14:textId="77777777" w:rsidR="00CE155D" w:rsidRPr="00CE155D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/>
                <w:sz w:val="20"/>
                <w:szCs w:val="21"/>
              </w:rPr>
              <w:t>o UE behaviors for non-SBFD aware UEs follow existing specifications.</w:t>
            </w:r>
          </w:p>
          <w:p w14:paraId="55353D1C" w14:textId="326784C9" w:rsidR="00CE155D" w:rsidRPr="00C7786B" w:rsidRDefault="00CE155D" w:rsidP="00CE155D">
            <w:pPr>
              <w:spacing w:after="180"/>
              <w:rPr>
                <w:rFonts w:ascii="Times New Roman" w:hAnsi="Times New Roman"/>
                <w:sz w:val="20"/>
                <w:szCs w:val="21"/>
              </w:rPr>
            </w:pPr>
            <w:r w:rsidRPr="00CE155D">
              <w:rPr>
                <w:rFonts w:ascii="Times New Roman" w:hAnsi="Times New Roman"/>
                <w:sz w:val="20"/>
                <w:szCs w:val="21"/>
              </w:rPr>
              <w:t>o From RAN1 perspective, new UE behaviors can be introduced for SBFD aware UEs based on the time and frequency locations of subbands for SBFD operation.</w:t>
            </w:r>
          </w:p>
        </w:tc>
      </w:tr>
    </w:tbl>
    <w:p w14:paraId="191FD5FC" w14:textId="449EEE88" w:rsidR="00C7786B" w:rsidRDefault="008A1D77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Based on above agreement, legacy UE, i.e. non-SBFD aware UEs should follow existing specifications </w:t>
      </w:r>
      <w:r w:rsidR="00AB3C44">
        <w:rPr>
          <w:rFonts w:ascii="Times New Roman" w:hAnsi="Times New Roman"/>
          <w:sz w:val="20"/>
          <w:szCs w:val="21"/>
        </w:rPr>
        <w:t xml:space="preserve">and </w:t>
      </w:r>
      <w:r w:rsidR="00AB3C44" w:rsidRPr="00AB3C44">
        <w:rPr>
          <w:rFonts w:ascii="Times New Roman" w:hAnsi="Times New Roman"/>
          <w:sz w:val="20"/>
          <w:szCs w:val="21"/>
        </w:rPr>
        <w:t xml:space="preserve">UE channel bandwidth </w:t>
      </w:r>
      <w:r w:rsidR="00AB3C44">
        <w:rPr>
          <w:rFonts w:ascii="Times New Roman" w:hAnsi="Times New Roman"/>
          <w:sz w:val="20"/>
          <w:szCs w:val="21"/>
        </w:rPr>
        <w:t xml:space="preserve">can’t </w:t>
      </w:r>
      <w:r w:rsidR="00AB3C44" w:rsidRPr="00AB3C44">
        <w:rPr>
          <w:rFonts w:ascii="Times New Roman" w:hAnsi="Times New Roman"/>
          <w:sz w:val="20"/>
          <w:szCs w:val="21"/>
        </w:rPr>
        <w:t>be configured to equal the sub-band BW for SBFD operation</w:t>
      </w:r>
      <w:r w:rsidR="00053583">
        <w:rPr>
          <w:rFonts w:ascii="Times New Roman" w:hAnsi="Times New Roman"/>
          <w:sz w:val="20"/>
          <w:szCs w:val="21"/>
        </w:rPr>
        <w:t xml:space="preserve">. but for R18 UE supporting SBFD, RAN1’s work assumption is based on BWP method but there is no agreement about whether </w:t>
      </w:r>
      <w:r w:rsidR="00053583" w:rsidRPr="00053583">
        <w:rPr>
          <w:rFonts w:ascii="Times New Roman" w:hAnsi="Times New Roman"/>
          <w:sz w:val="20"/>
          <w:szCs w:val="21"/>
        </w:rPr>
        <w:t xml:space="preserve">UE channel bandwidth configured to equal the sub-band BW </w:t>
      </w:r>
      <w:r w:rsidR="00053583">
        <w:rPr>
          <w:rFonts w:ascii="Times New Roman" w:hAnsi="Times New Roman"/>
          <w:sz w:val="20"/>
          <w:szCs w:val="21"/>
        </w:rPr>
        <w:t xml:space="preserve">is feasible or not </w:t>
      </w:r>
      <w:r w:rsidR="00053583" w:rsidRPr="00053583">
        <w:rPr>
          <w:rFonts w:ascii="Times New Roman" w:hAnsi="Times New Roman"/>
          <w:sz w:val="20"/>
          <w:szCs w:val="21"/>
        </w:rPr>
        <w:t>for SBFD operation</w:t>
      </w:r>
      <w:r w:rsidR="00D74CE9">
        <w:rPr>
          <w:rFonts w:ascii="Times New Roman" w:hAnsi="Times New Roman"/>
          <w:sz w:val="20"/>
          <w:szCs w:val="21"/>
        </w:rPr>
        <w:t>.</w:t>
      </w:r>
    </w:p>
    <w:p w14:paraId="2031B31F" w14:textId="5C037FCC" w:rsidR="00BE5F2E" w:rsidRPr="0055449C" w:rsidRDefault="00BE5F2E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55449C">
        <w:rPr>
          <w:rFonts w:ascii="Times New Roman" w:hAnsi="Times New Roman"/>
          <w:b/>
          <w:bCs/>
          <w:sz w:val="20"/>
          <w:szCs w:val="21"/>
        </w:rPr>
        <w:t xml:space="preserve">Observation 3: </w:t>
      </w:r>
      <w:r w:rsidR="0050164F" w:rsidRPr="0055449C">
        <w:rPr>
          <w:rFonts w:ascii="Times New Roman" w:hAnsi="Times New Roman"/>
          <w:b/>
          <w:bCs/>
          <w:sz w:val="20"/>
          <w:szCs w:val="21"/>
        </w:rPr>
        <w:t>based on RAN1’s agreements,</w:t>
      </w:r>
    </w:p>
    <w:p w14:paraId="0DF84690" w14:textId="16D0E1A6" w:rsidR="0055449C" w:rsidRPr="0055449C" w:rsidRDefault="0050164F" w:rsidP="0055449C">
      <w:pPr>
        <w:pStyle w:val="ListParagraph"/>
        <w:numPr>
          <w:ilvl w:val="0"/>
          <w:numId w:val="16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55449C">
        <w:rPr>
          <w:rFonts w:ascii="Times New Roman" w:hAnsi="Times New Roman"/>
          <w:b/>
          <w:bCs/>
          <w:sz w:val="20"/>
          <w:szCs w:val="21"/>
        </w:rPr>
        <w:t>legacy UE</w:t>
      </w:r>
      <w:r w:rsidR="0055449C" w:rsidRPr="0055449C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603624">
        <w:rPr>
          <w:rFonts w:ascii="Times New Roman" w:hAnsi="Times New Roman"/>
          <w:b/>
          <w:bCs/>
          <w:sz w:val="20"/>
          <w:szCs w:val="21"/>
        </w:rPr>
        <w:t xml:space="preserve">CBW </w:t>
      </w:r>
      <w:r w:rsidRPr="0055449C">
        <w:rPr>
          <w:rFonts w:ascii="Times New Roman" w:hAnsi="Times New Roman"/>
          <w:b/>
          <w:bCs/>
          <w:sz w:val="20"/>
          <w:szCs w:val="21"/>
        </w:rPr>
        <w:t xml:space="preserve">can’t be configured to equal </w:t>
      </w:r>
      <w:r w:rsidR="0055449C" w:rsidRPr="0055449C">
        <w:rPr>
          <w:rFonts w:ascii="Times New Roman" w:hAnsi="Times New Roman"/>
          <w:b/>
          <w:bCs/>
          <w:sz w:val="20"/>
          <w:szCs w:val="21"/>
        </w:rPr>
        <w:t xml:space="preserve">to </w:t>
      </w:r>
      <w:r w:rsidRPr="0055449C">
        <w:rPr>
          <w:rFonts w:ascii="Times New Roman" w:hAnsi="Times New Roman"/>
          <w:b/>
          <w:bCs/>
          <w:sz w:val="20"/>
          <w:szCs w:val="21"/>
        </w:rPr>
        <w:t>the sub-band BW for SBFD operation.</w:t>
      </w:r>
      <w:r w:rsidR="0055449C" w:rsidRPr="0055449C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0D4AA4FB" w14:textId="666D54AD" w:rsidR="0050164F" w:rsidRDefault="0055449C" w:rsidP="0055449C">
      <w:pPr>
        <w:pStyle w:val="ListParagraph"/>
        <w:numPr>
          <w:ilvl w:val="0"/>
          <w:numId w:val="16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55449C">
        <w:rPr>
          <w:rFonts w:ascii="Times New Roman" w:hAnsi="Times New Roman"/>
          <w:b/>
          <w:bCs/>
          <w:sz w:val="20"/>
          <w:szCs w:val="21"/>
        </w:rPr>
        <w:t xml:space="preserve">for </w:t>
      </w:r>
      <w:r w:rsidR="0050164F" w:rsidRPr="0055449C">
        <w:rPr>
          <w:rFonts w:ascii="Times New Roman" w:hAnsi="Times New Roman"/>
          <w:b/>
          <w:bCs/>
          <w:sz w:val="20"/>
          <w:szCs w:val="21"/>
        </w:rPr>
        <w:t>R18 UE supporting SBFD, RAN1’s work assumption is based on BWP method but there is no agreement about whether UE channel bandwidth configured to equal the sub-band BW is feasible or not for SBFD operation.</w:t>
      </w:r>
    </w:p>
    <w:p w14:paraId="0B56539B" w14:textId="0EA92345" w:rsidR="00603624" w:rsidRPr="0047406F" w:rsidRDefault="00603624" w:rsidP="00603624">
      <w:pPr>
        <w:spacing w:after="180"/>
        <w:rPr>
          <w:rFonts w:ascii="Times New Roman" w:hAnsi="Times New Roman"/>
          <w:sz w:val="20"/>
          <w:szCs w:val="21"/>
        </w:rPr>
      </w:pPr>
      <w:r w:rsidRPr="0047406F">
        <w:rPr>
          <w:rFonts w:ascii="Times New Roman" w:hAnsi="Times New Roman"/>
          <w:sz w:val="20"/>
          <w:szCs w:val="21"/>
        </w:rPr>
        <w:t>for Rx selectivity, our suggestion is that for legacy UE, we adopt option 3 in [1] but for R18 UE, we analyze the possibility of option 2 and option 3.</w:t>
      </w:r>
    </w:p>
    <w:p w14:paraId="4A52A717" w14:textId="4FB267E1" w:rsidR="00383A45" w:rsidRPr="00383A45" w:rsidRDefault="00383A45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383A45">
        <w:rPr>
          <w:rFonts w:ascii="Times New Roman" w:hAnsi="Times New Roman"/>
          <w:b/>
          <w:bCs/>
          <w:sz w:val="20"/>
          <w:szCs w:val="21"/>
        </w:rPr>
        <w:t xml:space="preserve">Proposal 1: it’s suggested to provide </w:t>
      </w:r>
      <w:r w:rsidR="007E7D46">
        <w:rPr>
          <w:rFonts w:ascii="Times New Roman" w:hAnsi="Times New Roman"/>
          <w:b/>
          <w:bCs/>
          <w:sz w:val="20"/>
          <w:szCs w:val="21"/>
        </w:rPr>
        <w:t>typical</w:t>
      </w:r>
      <w:r w:rsidRPr="00383A45">
        <w:rPr>
          <w:rFonts w:ascii="Times New Roman" w:hAnsi="Times New Roman"/>
          <w:b/>
          <w:bCs/>
          <w:sz w:val="20"/>
          <w:szCs w:val="21"/>
        </w:rPr>
        <w:t xml:space="preserve"> co-channel Rx modelling </w:t>
      </w:r>
      <w:r w:rsidR="007E7D46">
        <w:rPr>
          <w:rFonts w:ascii="Times New Roman" w:hAnsi="Times New Roman"/>
          <w:b/>
          <w:bCs/>
          <w:sz w:val="20"/>
          <w:szCs w:val="21"/>
        </w:rPr>
        <w:t>to RAN1 other than assuming 0dBi ICS</w:t>
      </w:r>
      <w:r w:rsidR="0047406F">
        <w:rPr>
          <w:rFonts w:ascii="Times New Roman" w:hAnsi="Times New Roman"/>
          <w:b/>
          <w:bCs/>
          <w:sz w:val="20"/>
          <w:szCs w:val="21"/>
        </w:rPr>
        <w:t xml:space="preserve"> for legacy UE</w:t>
      </w:r>
      <w:r w:rsidR="007E7D46">
        <w:rPr>
          <w:rFonts w:ascii="Times New Roman" w:hAnsi="Times New Roman"/>
          <w:b/>
          <w:bCs/>
          <w:sz w:val="20"/>
          <w:szCs w:val="21"/>
        </w:rPr>
        <w:t>.</w:t>
      </w:r>
      <w:r w:rsidR="0047406F">
        <w:rPr>
          <w:rFonts w:ascii="Times New Roman" w:hAnsi="Times New Roman"/>
          <w:b/>
          <w:bCs/>
          <w:sz w:val="20"/>
          <w:szCs w:val="21"/>
        </w:rPr>
        <w:t xml:space="preserve"> for R18 UE, ACS based or typical performance model are both OK for us.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68FD63FB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9A4B46">
        <w:rPr>
          <w:rFonts w:ascii="Times New Roman" w:hAnsi="Times New Roman"/>
          <w:sz w:val="20"/>
          <w:szCs w:val="20"/>
        </w:rPr>
        <w:t>LS to RAN1</w:t>
      </w:r>
      <w:r>
        <w:rPr>
          <w:rFonts w:ascii="Times New Roman" w:hAnsi="Times New Roman"/>
          <w:sz w:val="20"/>
          <w:szCs w:val="20"/>
        </w:rPr>
        <w:t xml:space="preserve"> </w:t>
      </w:r>
      <w:r w:rsidR="00F95356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2C0BDD7D" w14:textId="3DFF37EE" w:rsidR="00205008" w:rsidRDefault="003E1E7C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3E1E7C">
        <w:rPr>
          <w:rFonts w:ascii="Times New Roman" w:hAnsi="Times New Roman"/>
          <w:b/>
          <w:bCs/>
          <w:sz w:val="20"/>
          <w:szCs w:val="20"/>
        </w:rPr>
        <w:t>Observation 1: from RAN4 simulation perspective, we don’t need to model the case that allocation less than full UL sub-band. but if we send the model to RAN1, such model is necessary</w:t>
      </w:r>
      <w:r w:rsidR="00205008" w:rsidRPr="00205008">
        <w:rPr>
          <w:rFonts w:ascii="Times New Roman" w:hAnsi="Times New Roman"/>
          <w:b/>
          <w:bCs/>
          <w:sz w:val="20"/>
          <w:szCs w:val="20"/>
        </w:rPr>
        <w:t>.</w:t>
      </w:r>
    </w:p>
    <w:p w14:paraId="0311861F" w14:textId="65DDFCA9" w:rsidR="003E1E7C" w:rsidRDefault="00C06094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C06094">
        <w:rPr>
          <w:rFonts w:ascii="Times New Roman" w:hAnsi="Times New Roman"/>
          <w:b/>
          <w:bCs/>
          <w:sz w:val="20"/>
          <w:szCs w:val="20"/>
        </w:rPr>
        <w:t xml:space="preserve">Observation 2: if there is no ICS requirement, it’s impossible to configure aggressor UE and victim UE in the same cell if victim UE only allow 1dB REFSENSE degradation.  </w:t>
      </w:r>
    </w:p>
    <w:p w14:paraId="627A8A78" w14:textId="77777777" w:rsidR="0001033C" w:rsidRPr="0001033C" w:rsidRDefault="0001033C" w:rsidP="0001033C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1033C">
        <w:rPr>
          <w:rFonts w:ascii="Times New Roman" w:hAnsi="Times New Roman"/>
          <w:b/>
          <w:bCs/>
          <w:sz w:val="20"/>
          <w:szCs w:val="21"/>
        </w:rPr>
        <w:t>Observation 3: based on RAN1’s agreements,</w:t>
      </w:r>
    </w:p>
    <w:p w14:paraId="121F05BF" w14:textId="77777777" w:rsidR="0001033C" w:rsidRPr="0001033C" w:rsidRDefault="0001033C" w:rsidP="0001033C">
      <w:pPr>
        <w:numPr>
          <w:ilvl w:val="0"/>
          <w:numId w:val="16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1033C">
        <w:rPr>
          <w:rFonts w:ascii="Times New Roman" w:hAnsi="Times New Roman"/>
          <w:b/>
          <w:bCs/>
          <w:sz w:val="20"/>
          <w:szCs w:val="21"/>
        </w:rPr>
        <w:t xml:space="preserve">legacy UE CBW can’t be configured to equal to the sub-band BW for SBFD operation. </w:t>
      </w:r>
    </w:p>
    <w:p w14:paraId="4B2C364B" w14:textId="77777777" w:rsidR="0001033C" w:rsidRPr="0001033C" w:rsidRDefault="0001033C" w:rsidP="0001033C">
      <w:pPr>
        <w:numPr>
          <w:ilvl w:val="0"/>
          <w:numId w:val="16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1033C">
        <w:rPr>
          <w:rFonts w:ascii="Times New Roman" w:hAnsi="Times New Roman"/>
          <w:b/>
          <w:bCs/>
          <w:sz w:val="20"/>
          <w:szCs w:val="21"/>
        </w:rPr>
        <w:t>for R18 UE supporting SBFD, RAN1’s work assumption is based on BWP method but there is no agreement about whether UE channel bandwidth configured to equal the sub-band BW is feasible or not for SBFD operation.</w:t>
      </w:r>
    </w:p>
    <w:p w14:paraId="7C839F7E" w14:textId="77777777" w:rsidR="0001033C" w:rsidRPr="0001033C" w:rsidRDefault="0001033C" w:rsidP="0001033C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1033C">
        <w:rPr>
          <w:rFonts w:ascii="Times New Roman" w:hAnsi="Times New Roman"/>
          <w:b/>
          <w:bCs/>
          <w:sz w:val="20"/>
          <w:szCs w:val="21"/>
        </w:rPr>
        <w:t>Proposal 1: it’s suggested to provide typical co-channel Rx modelling to RAN1 other than assuming 0dBi ICS for legacy UE. for R18 UE, ACS based or typical performance model are both OK for us.</w:t>
      </w:r>
    </w:p>
    <w:p w14:paraId="1032BAA9" w14:textId="77777777" w:rsidR="00C06094" w:rsidRPr="0001033C" w:rsidRDefault="00C06094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42D47C3F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294FC3" w:rsidRPr="00294FC3">
        <w:rPr>
          <w:rFonts w:ascii="Times New Roman" w:hAnsi="Times New Roman"/>
          <w:sz w:val="20"/>
          <w:szCs w:val="20"/>
        </w:rPr>
        <w:t>R4-2217513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294FC3" w:rsidRPr="00294FC3">
        <w:rPr>
          <w:rFonts w:ascii="Times New Roman" w:hAnsi="Times New Roman"/>
          <w:sz w:val="20"/>
          <w:szCs w:val="20"/>
        </w:rPr>
        <w:t>WF on SBFD feasibility study and RF impact: UE aspects</w:t>
      </w:r>
      <w:r w:rsidR="00883082">
        <w:rPr>
          <w:rFonts w:ascii="Times New Roman" w:hAnsi="Times New Roman"/>
          <w:sz w:val="20"/>
          <w:szCs w:val="20"/>
        </w:rPr>
        <w:t>,</w:t>
      </w:r>
      <w:r w:rsidR="0053600E">
        <w:rPr>
          <w:rFonts w:ascii="Times New Roman" w:hAnsi="Times New Roman"/>
          <w:sz w:val="20"/>
          <w:szCs w:val="20"/>
        </w:rPr>
        <w:t xml:space="preserve"> </w:t>
      </w:r>
      <w:r w:rsidR="00AE1AD8" w:rsidRPr="00AE1AD8">
        <w:rPr>
          <w:rFonts w:ascii="Times New Roman" w:hAnsi="Times New Roman"/>
          <w:sz w:val="20"/>
          <w:szCs w:val="20"/>
        </w:rPr>
        <w:t>Qualcomm Inc</w:t>
      </w:r>
      <w:r w:rsidR="0053600E">
        <w:rPr>
          <w:rFonts w:ascii="Times New Roman" w:hAnsi="Times New Roman"/>
          <w:sz w:val="20"/>
          <w:szCs w:val="20"/>
        </w:rPr>
        <w:t>.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4D0B2" w14:textId="77777777" w:rsidR="00F64E4F" w:rsidRDefault="00F64E4F">
      <w:r>
        <w:separator/>
      </w:r>
    </w:p>
  </w:endnote>
  <w:endnote w:type="continuationSeparator" w:id="0">
    <w:p w14:paraId="144E65B8" w14:textId="77777777" w:rsidR="00F64E4F" w:rsidRDefault="00F6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16EF1" w14:textId="77777777" w:rsidR="00F64E4F" w:rsidRDefault="00F64E4F">
      <w:r>
        <w:separator/>
      </w:r>
    </w:p>
  </w:footnote>
  <w:footnote w:type="continuationSeparator" w:id="0">
    <w:p w14:paraId="4E6AB125" w14:textId="77777777" w:rsidR="00F64E4F" w:rsidRDefault="00F6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D4BD5"/>
    <w:multiLevelType w:val="hybridMultilevel"/>
    <w:tmpl w:val="EE18C2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616B85"/>
    <w:multiLevelType w:val="hybridMultilevel"/>
    <w:tmpl w:val="1B7E1182"/>
    <w:lvl w:ilvl="0" w:tplc="FFFFFFFF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5B041F0C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1B6AD1"/>
    <w:multiLevelType w:val="hybridMultilevel"/>
    <w:tmpl w:val="356A8AC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100ADD"/>
    <w:multiLevelType w:val="hybridMultilevel"/>
    <w:tmpl w:val="ED08F4A4"/>
    <w:lvl w:ilvl="0" w:tplc="5B041F0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3"/>
  </w:num>
  <w:num w:numId="3" w16cid:durableId="766271796">
    <w:abstractNumId w:val="9"/>
  </w:num>
  <w:num w:numId="4" w16cid:durableId="794757771">
    <w:abstractNumId w:val="3"/>
  </w:num>
  <w:num w:numId="5" w16cid:durableId="491604757">
    <w:abstractNumId w:val="7"/>
  </w:num>
  <w:num w:numId="6" w16cid:durableId="410663615">
    <w:abstractNumId w:val="1"/>
  </w:num>
  <w:num w:numId="7" w16cid:durableId="810758056">
    <w:abstractNumId w:val="15"/>
  </w:num>
  <w:num w:numId="8" w16cid:durableId="131022400">
    <w:abstractNumId w:val="14"/>
  </w:num>
  <w:num w:numId="9" w16cid:durableId="1395203366">
    <w:abstractNumId w:val="12"/>
  </w:num>
  <w:num w:numId="10" w16cid:durableId="4290336">
    <w:abstractNumId w:val="8"/>
  </w:num>
  <w:num w:numId="11" w16cid:durableId="1875574972">
    <w:abstractNumId w:val="10"/>
  </w:num>
  <w:num w:numId="12" w16cid:durableId="1564948441">
    <w:abstractNumId w:val="6"/>
  </w:num>
  <w:num w:numId="13" w16cid:durableId="123811046">
    <w:abstractNumId w:val="2"/>
  </w:num>
  <w:num w:numId="14" w16cid:durableId="1430353952">
    <w:abstractNumId w:val="11"/>
  </w:num>
  <w:num w:numId="15" w16cid:durableId="591012712">
    <w:abstractNumId w:val="4"/>
  </w:num>
  <w:num w:numId="16" w16cid:durableId="545261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992"/>
    <w:rsid w:val="000041CA"/>
    <w:rsid w:val="00004218"/>
    <w:rsid w:val="0000477F"/>
    <w:rsid w:val="00005E84"/>
    <w:rsid w:val="00006174"/>
    <w:rsid w:val="00006196"/>
    <w:rsid w:val="0001033C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D6A"/>
    <w:rsid w:val="00037971"/>
    <w:rsid w:val="00040C35"/>
    <w:rsid w:val="0004256C"/>
    <w:rsid w:val="00042571"/>
    <w:rsid w:val="00043E8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583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4CC6"/>
    <w:rsid w:val="00095D9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6A72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D19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DB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80138"/>
    <w:rsid w:val="00180913"/>
    <w:rsid w:val="00181052"/>
    <w:rsid w:val="00182088"/>
    <w:rsid w:val="00182911"/>
    <w:rsid w:val="00182F03"/>
    <w:rsid w:val="001834E1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E26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ABF"/>
    <w:rsid w:val="001F2FBC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5008"/>
    <w:rsid w:val="002064BA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0536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4FC3"/>
    <w:rsid w:val="00296039"/>
    <w:rsid w:val="002967E4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20C"/>
    <w:rsid w:val="002B3F1E"/>
    <w:rsid w:val="002B5B3F"/>
    <w:rsid w:val="002B715D"/>
    <w:rsid w:val="002B7CF6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49"/>
    <w:rsid w:val="002D7DEE"/>
    <w:rsid w:val="002E0CA4"/>
    <w:rsid w:val="002E1212"/>
    <w:rsid w:val="002E23B9"/>
    <w:rsid w:val="002E389B"/>
    <w:rsid w:val="002E4D43"/>
    <w:rsid w:val="002E5905"/>
    <w:rsid w:val="002E5D85"/>
    <w:rsid w:val="002E5F86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0EB2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767"/>
    <w:rsid w:val="00325EB5"/>
    <w:rsid w:val="0032603C"/>
    <w:rsid w:val="003300C5"/>
    <w:rsid w:val="00330D7C"/>
    <w:rsid w:val="00330FBB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3A45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D76"/>
    <w:rsid w:val="003971FA"/>
    <w:rsid w:val="00397BAF"/>
    <w:rsid w:val="003A07B8"/>
    <w:rsid w:val="003A30AB"/>
    <w:rsid w:val="003A3B4E"/>
    <w:rsid w:val="003A4245"/>
    <w:rsid w:val="003A49DF"/>
    <w:rsid w:val="003A67AA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49A5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1E7C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4D5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2F38"/>
    <w:rsid w:val="0044386A"/>
    <w:rsid w:val="00443A0D"/>
    <w:rsid w:val="00443A65"/>
    <w:rsid w:val="00443AA8"/>
    <w:rsid w:val="0044454A"/>
    <w:rsid w:val="00444D85"/>
    <w:rsid w:val="00445856"/>
    <w:rsid w:val="004504FB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06F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0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3B73"/>
    <w:rsid w:val="004E6011"/>
    <w:rsid w:val="004E64DB"/>
    <w:rsid w:val="004E7582"/>
    <w:rsid w:val="004E7B3E"/>
    <w:rsid w:val="004F0B06"/>
    <w:rsid w:val="004F0FC0"/>
    <w:rsid w:val="004F125E"/>
    <w:rsid w:val="004F5464"/>
    <w:rsid w:val="004F5F34"/>
    <w:rsid w:val="004F5F6B"/>
    <w:rsid w:val="004F7DEF"/>
    <w:rsid w:val="005008DD"/>
    <w:rsid w:val="00500DD8"/>
    <w:rsid w:val="0050164F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F9"/>
    <w:rsid w:val="0053600E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CDB"/>
    <w:rsid w:val="005532DF"/>
    <w:rsid w:val="00553635"/>
    <w:rsid w:val="0055449C"/>
    <w:rsid w:val="00554E1D"/>
    <w:rsid w:val="0055537F"/>
    <w:rsid w:val="0055554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271"/>
    <w:rsid w:val="0058142F"/>
    <w:rsid w:val="005815B1"/>
    <w:rsid w:val="005826E8"/>
    <w:rsid w:val="00582FB6"/>
    <w:rsid w:val="00583A1F"/>
    <w:rsid w:val="0058515D"/>
    <w:rsid w:val="0058676E"/>
    <w:rsid w:val="00587E7B"/>
    <w:rsid w:val="00591008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3F8D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993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3624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79F5"/>
    <w:rsid w:val="006207CA"/>
    <w:rsid w:val="0062237F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5913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01D2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37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1F0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675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58E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378D"/>
    <w:rsid w:val="007D4462"/>
    <w:rsid w:val="007D4B4F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D46"/>
    <w:rsid w:val="007F1B38"/>
    <w:rsid w:val="007F1BFD"/>
    <w:rsid w:val="007F1E29"/>
    <w:rsid w:val="007F2265"/>
    <w:rsid w:val="007F2AA5"/>
    <w:rsid w:val="007F39E8"/>
    <w:rsid w:val="007F4113"/>
    <w:rsid w:val="007F4FE8"/>
    <w:rsid w:val="007F5D49"/>
    <w:rsid w:val="007F69A1"/>
    <w:rsid w:val="007F6ADD"/>
    <w:rsid w:val="007F6EDB"/>
    <w:rsid w:val="007F7D61"/>
    <w:rsid w:val="008013C3"/>
    <w:rsid w:val="00803DC4"/>
    <w:rsid w:val="0080470B"/>
    <w:rsid w:val="00804ED9"/>
    <w:rsid w:val="0080605A"/>
    <w:rsid w:val="0080629B"/>
    <w:rsid w:val="00806730"/>
    <w:rsid w:val="00807677"/>
    <w:rsid w:val="00807DA0"/>
    <w:rsid w:val="008103EA"/>
    <w:rsid w:val="00810598"/>
    <w:rsid w:val="00811CC5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337E"/>
    <w:rsid w:val="00834A55"/>
    <w:rsid w:val="00834B97"/>
    <w:rsid w:val="0083511F"/>
    <w:rsid w:val="008355B0"/>
    <w:rsid w:val="00836369"/>
    <w:rsid w:val="00836ADE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669D3"/>
    <w:rsid w:val="00872F12"/>
    <w:rsid w:val="00873799"/>
    <w:rsid w:val="0087419F"/>
    <w:rsid w:val="008746D3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3082"/>
    <w:rsid w:val="00884341"/>
    <w:rsid w:val="00884D26"/>
    <w:rsid w:val="008863A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1D77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DEF"/>
    <w:rsid w:val="008E005A"/>
    <w:rsid w:val="008E0ED1"/>
    <w:rsid w:val="008E1075"/>
    <w:rsid w:val="008E2274"/>
    <w:rsid w:val="008E2363"/>
    <w:rsid w:val="008E2409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3D12"/>
    <w:rsid w:val="00924167"/>
    <w:rsid w:val="009269CA"/>
    <w:rsid w:val="00926D09"/>
    <w:rsid w:val="00927081"/>
    <w:rsid w:val="00927AA5"/>
    <w:rsid w:val="0093016E"/>
    <w:rsid w:val="00931FE0"/>
    <w:rsid w:val="0093223F"/>
    <w:rsid w:val="00932F45"/>
    <w:rsid w:val="00933126"/>
    <w:rsid w:val="00934C2C"/>
    <w:rsid w:val="009352E1"/>
    <w:rsid w:val="00935C4C"/>
    <w:rsid w:val="00936AFE"/>
    <w:rsid w:val="0093748D"/>
    <w:rsid w:val="009410C1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66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A9B"/>
    <w:rsid w:val="009841F0"/>
    <w:rsid w:val="00984DB5"/>
    <w:rsid w:val="0098574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4B46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4162"/>
    <w:rsid w:val="009E4C09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9DF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728D"/>
    <w:rsid w:val="00A5007F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6003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5C3E"/>
    <w:rsid w:val="00AA6BF3"/>
    <w:rsid w:val="00AA727D"/>
    <w:rsid w:val="00AA7C27"/>
    <w:rsid w:val="00AB1972"/>
    <w:rsid w:val="00AB19C7"/>
    <w:rsid w:val="00AB2A0E"/>
    <w:rsid w:val="00AB3997"/>
    <w:rsid w:val="00AB3C44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1AD8"/>
    <w:rsid w:val="00AE2CD8"/>
    <w:rsid w:val="00AE2D8D"/>
    <w:rsid w:val="00AE2E55"/>
    <w:rsid w:val="00AE3031"/>
    <w:rsid w:val="00AE3A35"/>
    <w:rsid w:val="00AE4849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5B"/>
    <w:rsid w:val="00B27BE3"/>
    <w:rsid w:val="00B31EAB"/>
    <w:rsid w:val="00B338DE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5F2E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A3E"/>
    <w:rsid w:val="00C05FF9"/>
    <w:rsid w:val="00C06094"/>
    <w:rsid w:val="00C0617E"/>
    <w:rsid w:val="00C062FC"/>
    <w:rsid w:val="00C06B7E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7A93"/>
    <w:rsid w:val="00C406DC"/>
    <w:rsid w:val="00C412C3"/>
    <w:rsid w:val="00C41873"/>
    <w:rsid w:val="00C418E8"/>
    <w:rsid w:val="00C42308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7786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FCD"/>
    <w:rsid w:val="00CA5C9B"/>
    <w:rsid w:val="00CA6209"/>
    <w:rsid w:val="00CA7347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155D"/>
    <w:rsid w:val="00CE4474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CE9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628"/>
    <w:rsid w:val="00DC5FA3"/>
    <w:rsid w:val="00DC7195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2706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8C2"/>
    <w:rsid w:val="00E11E75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7C7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D55"/>
    <w:rsid w:val="00E86EA3"/>
    <w:rsid w:val="00E87009"/>
    <w:rsid w:val="00E9087D"/>
    <w:rsid w:val="00E90C46"/>
    <w:rsid w:val="00E92937"/>
    <w:rsid w:val="00E931C3"/>
    <w:rsid w:val="00E93EF7"/>
    <w:rsid w:val="00E94174"/>
    <w:rsid w:val="00E95DE9"/>
    <w:rsid w:val="00E96141"/>
    <w:rsid w:val="00E96388"/>
    <w:rsid w:val="00E96623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6D41"/>
    <w:rsid w:val="00F26EBA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7DB"/>
    <w:rsid w:val="00F618F1"/>
    <w:rsid w:val="00F61EB9"/>
    <w:rsid w:val="00F621F6"/>
    <w:rsid w:val="00F62A97"/>
    <w:rsid w:val="00F64E4F"/>
    <w:rsid w:val="00F65E70"/>
    <w:rsid w:val="00F66940"/>
    <w:rsid w:val="00F66C3F"/>
    <w:rsid w:val="00F670B7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5356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93E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B93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C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2491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83</cp:revision>
  <dcterms:created xsi:type="dcterms:W3CDTF">2022-04-25T02:55:00Z</dcterms:created>
  <dcterms:modified xsi:type="dcterms:W3CDTF">2022-11-07T10:00:00Z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