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273774" w:rsidRPr="00273774">
        <w:rPr>
          <w:rStyle w:val="af9"/>
          <w:rFonts w:ascii="Arial" w:eastAsia="宋体" w:hAnsi="Arial" w:cs="Arial"/>
        </w:rPr>
        <w:t>R4-2218430</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E43AA" w:rsidRPr="00DE43AA">
        <w:rPr>
          <w:rFonts w:ascii="Arial" w:hAnsi="Arial" w:cs="Arial"/>
          <w:b w:val="0"/>
        </w:rPr>
        <w:t>Discussion on general aspects for Rel-18 ATG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3377D" w:rsidRPr="0023377D">
        <w:rPr>
          <w:rFonts w:ascii="Arial" w:hAnsi="Arial" w:cs="Arial"/>
          <w:b w:val="0"/>
        </w:rPr>
        <w:t>8.13.4.1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23377D">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t>
      </w:r>
      <w:r w:rsidR="007828DD">
        <w:rPr>
          <w:rFonts w:hint="eastAsia"/>
          <w:sz w:val="20"/>
        </w:rPr>
        <w:t xml:space="preserve">a way forward </w:t>
      </w:r>
      <w:r w:rsidR="00DE43AA" w:rsidRPr="00DE43AA">
        <w:rPr>
          <w:sz w:val="20"/>
        </w:rPr>
        <w:t>on NR ATG RRM core requirements</w:t>
      </w:r>
      <w:r w:rsidR="00DE43AA" w:rsidRPr="00DE43AA">
        <w:rPr>
          <w:rFonts w:hint="eastAsia"/>
          <w:sz w:val="20"/>
        </w:rPr>
        <w:t xml:space="preserve"> </w:t>
      </w:r>
      <w:r w:rsidR="00281D4A">
        <w:rPr>
          <w:rFonts w:hint="eastAsia"/>
          <w:sz w:val="20"/>
        </w:rPr>
        <w:t>was approved [1]</w:t>
      </w:r>
      <w:r w:rsidR="00DE43AA">
        <w:rPr>
          <w:rFonts w:hint="eastAsia"/>
          <w:sz w:val="20"/>
        </w:rPr>
        <w:t xml:space="preserve">. </w:t>
      </w:r>
      <w:r w:rsidR="00DE43AA">
        <w:rPr>
          <w:sz w:val="20"/>
        </w:rPr>
        <w:t>T</w:t>
      </w:r>
      <w:r w:rsidR="00DE43AA">
        <w:rPr>
          <w:rFonts w:hint="eastAsia"/>
          <w:sz w:val="20"/>
        </w:rPr>
        <w:t xml:space="preserve">he issues </w:t>
      </w:r>
      <w:r w:rsidR="007828DD">
        <w:rPr>
          <w:rFonts w:hint="eastAsia"/>
          <w:sz w:val="20"/>
        </w:rPr>
        <w:t xml:space="preserve">were </w:t>
      </w:r>
      <w:r w:rsidR="00DE43AA">
        <w:rPr>
          <w:rFonts w:hint="eastAsia"/>
          <w:sz w:val="20"/>
        </w:rPr>
        <w:t xml:space="preserve">discussed and </w:t>
      </w:r>
      <w:r w:rsidR="007828DD">
        <w:rPr>
          <w:rFonts w:hint="eastAsia"/>
          <w:sz w:val="20"/>
        </w:rPr>
        <w:t xml:space="preserve">the </w:t>
      </w:r>
      <w:r w:rsidR="00DE43AA">
        <w:rPr>
          <w:rFonts w:hint="eastAsia"/>
          <w:sz w:val="20"/>
        </w:rPr>
        <w:t xml:space="preserve">current states have been summarized in it. </w:t>
      </w:r>
    </w:p>
    <w:p w:rsidR="00281D4A" w:rsidRPr="00566CA4" w:rsidRDefault="00281D4A" w:rsidP="00375653">
      <w:pPr>
        <w:spacing w:before="0" w:after="120"/>
        <w:jc w:val="left"/>
        <w:rPr>
          <w:sz w:val="20"/>
        </w:rPr>
      </w:pPr>
      <w:r>
        <w:rPr>
          <w:sz w:val="20"/>
        </w:rPr>
        <w:t>T</w:t>
      </w:r>
      <w:r>
        <w:rPr>
          <w:rFonts w:hint="eastAsia"/>
          <w:sz w:val="20"/>
        </w:rPr>
        <w:t xml:space="preserve">his document will further discuss these issues </w:t>
      </w:r>
      <w:r w:rsidR="00DE43AA">
        <w:rPr>
          <w:rFonts w:hint="eastAsia"/>
          <w:sz w:val="20"/>
        </w:rPr>
        <w:t xml:space="preserve">for general aspects for ATG RRM requirements </w:t>
      </w:r>
      <w:r>
        <w:rPr>
          <w:rFonts w:hint="eastAsia"/>
          <w:sz w:val="20"/>
        </w:rPr>
        <w:t>and present our understandings and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 xml:space="preserve">he following issues </w:t>
      </w:r>
      <w:r w:rsidR="00DE43AA">
        <w:rPr>
          <w:rFonts w:hint="eastAsia"/>
          <w:sz w:val="20"/>
        </w:rPr>
        <w:t xml:space="preserve">for general aspects are </w:t>
      </w:r>
      <w:r>
        <w:rPr>
          <w:rFonts w:hint="eastAsia"/>
          <w:sz w:val="20"/>
        </w:rPr>
        <w:t>discussed</w:t>
      </w:r>
      <w:r w:rsidR="00DE43AA">
        <w:rPr>
          <w:rFonts w:hint="eastAsia"/>
          <w:sz w:val="20"/>
        </w:rPr>
        <w:t>:</w:t>
      </w:r>
    </w:p>
    <w:p w:rsidR="00DE43AA" w:rsidRPr="00DE43AA" w:rsidRDefault="00DE43AA" w:rsidP="00DE43AA">
      <w:pPr>
        <w:snapToGrid w:val="0"/>
        <w:spacing w:beforeLines="20" w:before="48" w:afterLines="20" w:after="48"/>
        <w:rPr>
          <w:sz w:val="20"/>
          <w:u w:val="single"/>
          <w:lang w:eastAsia="ko-KR"/>
        </w:rPr>
      </w:pPr>
      <w:bookmarkStart w:id="4" w:name="_Hlk70326378"/>
      <w:r w:rsidRPr="00DE43AA">
        <w:rPr>
          <w:b/>
          <w:sz w:val="20"/>
          <w:u w:val="single"/>
          <w:lang w:eastAsia="ko-KR"/>
        </w:rPr>
        <w:t>Issue 1-1:</w:t>
      </w:r>
      <w:r w:rsidRPr="00DE43AA">
        <w:rPr>
          <w:sz w:val="20"/>
          <w:u w:val="single"/>
          <w:lang w:eastAsia="ko-KR"/>
        </w:rPr>
        <w:t xml:space="preserve"> ISD assumption</w:t>
      </w:r>
    </w:p>
    <w:p w:rsidR="00DE43AA" w:rsidRPr="003A6E27" w:rsidRDefault="00DE43AA" w:rsidP="003A6E27">
      <w:pPr>
        <w:widowControl w:val="0"/>
        <w:overflowPunct/>
        <w:autoSpaceDE/>
        <w:autoSpaceDN/>
        <w:adjustRightInd/>
        <w:spacing w:before="0" w:after="0"/>
        <w:ind w:firstLine="284"/>
        <w:textAlignment w:val="auto"/>
        <w:rPr>
          <w:bCs/>
          <w:kern w:val="2"/>
          <w:sz w:val="20"/>
          <w:szCs w:val="20"/>
          <w:u w:val="single"/>
          <w:lang w:val="en-US" w:eastAsia="ja-JP"/>
        </w:rPr>
      </w:pPr>
      <w:r w:rsidRPr="003A6E27">
        <w:rPr>
          <w:bCs/>
          <w:kern w:val="2"/>
          <w:sz w:val="20"/>
          <w:szCs w:val="20"/>
          <w:u w:val="single"/>
          <w:lang w:val="en-US" w:eastAsia="ja-JP"/>
        </w:rPr>
        <w:t>Agreement in GTW session:</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First study ATG RRM requirements with ISD assumption of 100-200km. If RF session comes to other conclusions beyond the assumption range, RRM can come back for more study on ISD related requirements.</w:t>
      </w:r>
    </w:p>
    <w:p w:rsidR="003A6E27" w:rsidRDefault="003A6E27" w:rsidP="003A6E27">
      <w:pPr>
        <w:spacing w:beforeLines="50" w:before="120" w:after="120"/>
        <w:jc w:val="left"/>
        <w:rPr>
          <w:sz w:val="20"/>
        </w:rPr>
      </w:pPr>
      <w:r>
        <w:rPr>
          <w:sz w:val="20"/>
        </w:rPr>
        <w:t>I</w:t>
      </w:r>
      <w:r>
        <w:rPr>
          <w:rFonts w:hint="eastAsia"/>
          <w:sz w:val="20"/>
        </w:rPr>
        <w:t>n last RAN4 meeting, a WF</w:t>
      </w:r>
      <w:r w:rsidRPr="003A6E27">
        <w:t xml:space="preserve"> </w:t>
      </w:r>
      <w:r w:rsidRPr="003A6E27">
        <w:rPr>
          <w:sz w:val="20"/>
        </w:rPr>
        <w:t>on FR1 co-existence evaluation for ATG</w:t>
      </w:r>
      <w:r>
        <w:rPr>
          <w:rFonts w:hint="eastAsia"/>
          <w:sz w:val="20"/>
        </w:rPr>
        <w:t xml:space="preserve"> was approved in RF session [2]. </w:t>
      </w:r>
      <w:r>
        <w:rPr>
          <w:sz w:val="20"/>
        </w:rPr>
        <w:t>F</w:t>
      </w:r>
      <w:r>
        <w:rPr>
          <w:rFonts w:hint="eastAsia"/>
          <w:sz w:val="20"/>
        </w:rPr>
        <w:t xml:space="preserve">or </w:t>
      </w:r>
      <w:r w:rsidR="00013DA5">
        <w:rPr>
          <w:rFonts w:hint="eastAsia"/>
          <w:sz w:val="20"/>
        </w:rPr>
        <w:t>i</w:t>
      </w:r>
      <w:r w:rsidRPr="003A6E27">
        <w:rPr>
          <w:sz w:val="20"/>
        </w:rPr>
        <w:t xml:space="preserve">ssue 2-1-3: </w:t>
      </w:r>
      <w:r w:rsidR="00570B87">
        <w:rPr>
          <w:rFonts w:hint="eastAsia"/>
          <w:sz w:val="20"/>
        </w:rPr>
        <w:t>(</w:t>
      </w:r>
      <w:r w:rsidRPr="003A6E27">
        <w:rPr>
          <w:sz w:val="20"/>
        </w:rPr>
        <w:t>What’s the assumption of ATG BS ISD (cell radius)?</w:t>
      </w:r>
      <w:r w:rsidR="00570B87">
        <w:rPr>
          <w:rFonts w:hint="eastAsia"/>
          <w:sz w:val="20"/>
        </w:rPr>
        <w:t>), following agreements are achieved:</w:t>
      </w:r>
    </w:p>
    <w:p w:rsidR="00570B87" w:rsidRPr="00570B87" w:rsidRDefault="00570B87" w:rsidP="00570B87">
      <w:pPr>
        <w:spacing w:before="0" w:after="0"/>
        <w:ind w:leftChars="100" w:left="210"/>
        <w:jc w:val="left"/>
        <w:rPr>
          <w:sz w:val="20"/>
          <w:u w:val="single"/>
        </w:rPr>
      </w:pPr>
      <w:r w:rsidRPr="00570B87">
        <w:rPr>
          <w:sz w:val="20"/>
          <w:u w:val="single"/>
        </w:rPr>
        <w:t>Agreement:</w:t>
      </w:r>
    </w:p>
    <w:p w:rsidR="00570B87" w:rsidRPr="00570B87" w:rsidRDefault="00570B87" w:rsidP="00570B8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570B87">
        <w:rPr>
          <w:rFonts w:eastAsia="Calibri"/>
          <w:kern w:val="0"/>
          <w:sz w:val="20"/>
          <w:szCs w:val="20"/>
          <w:lang w:val="x-none" w:eastAsia="ja-JP"/>
        </w:rPr>
        <w:t>Assumption of ATG BS ISD</w:t>
      </w:r>
    </w:p>
    <w:p w:rsidR="00570B87" w:rsidRPr="00570B87" w:rsidRDefault="00570B87" w:rsidP="00570B8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570B87">
        <w:rPr>
          <w:rFonts w:eastAsia="Calibri"/>
          <w:kern w:val="0"/>
          <w:sz w:val="20"/>
          <w:szCs w:val="20"/>
          <w:lang w:val="x-none"/>
        </w:rPr>
        <w:t>For co-existence simulation, one BS is assumed</w:t>
      </w:r>
    </w:p>
    <w:p w:rsidR="00570B87" w:rsidRPr="00570B87" w:rsidRDefault="00570B87" w:rsidP="00570B8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570B87">
        <w:rPr>
          <w:rFonts w:eastAsia="Calibri"/>
          <w:kern w:val="0"/>
          <w:sz w:val="20"/>
          <w:szCs w:val="20"/>
          <w:lang w:val="x-none"/>
        </w:rPr>
        <w:t>For RRM and evaluating link budget, assume the range of ISD from [14]km to 200km</w:t>
      </w:r>
    </w:p>
    <w:p w:rsidR="003A6E27" w:rsidRDefault="009D2C80" w:rsidP="00570B87">
      <w:pPr>
        <w:spacing w:beforeLines="50" w:before="120" w:after="120"/>
        <w:jc w:val="left"/>
        <w:rPr>
          <w:sz w:val="20"/>
        </w:rPr>
      </w:pPr>
      <w:r>
        <w:rPr>
          <w:rFonts w:hint="eastAsia"/>
          <w:sz w:val="20"/>
        </w:rPr>
        <w:t>So</w:t>
      </w:r>
      <w:r w:rsidR="00013DA5">
        <w:rPr>
          <w:rFonts w:hint="eastAsia"/>
          <w:sz w:val="20"/>
        </w:rPr>
        <w:t>,</w:t>
      </w:r>
      <w:r>
        <w:rPr>
          <w:rFonts w:hint="eastAsia"/>
          <w:sz w:val="20"/>
        </w:rPr>
        <w:t xml:space="preserve"> based on agreements achieved </w:t>
      </w:r>
      <w:r w:rsidR="00013DA5">
        <w:rPr>
          <w:rFonts w:hint="eastAsia"/>
          <w:sz w:val="20"/>
        </w:rPr>
        <w:t>in</w:t>
      </w:r>
      <w:r>
        <w:rPr>
          <w:rFonts w:hint="eastAsia"/>
          <w:sz w:val="20"/>
        </w:rPr>
        <w:t xml:space="preserve"> RF session and RRM session, the max ISD </w:t>
      </w:r>
      <w:r w:rsidR="00013DA5">
        <w:rPr>
          <w:rFonts w:hint="eastAsia"/>
          <w:sz w:val="20"/>
        </w:rPr>
        <w:t xml:space="preserve">for this release </w:t>
      </w:r>
      <w:r w:rsidR="00013DA5">
        <w:rPr>
          <w:rFonts w:hint="eastAsia"/>
          <w:sz w:val="20"/>
        </w:rPr>
        <w:t xml:space="preserve">that ATG should base </w:t>
      </w:r>
      <w:r>
        <w:rPr>
          <w:rFonts w:hint="eastAsia"/>
          <w:sz w:val="20"/>
        </w:rPr>
        <w:t xml:space="preserve">on </w:t>
      </w:r>
      <w:r w:rsidR="00013DA5">
        <w:rPr>
          <w:rFonts w:hint="eastAsia"/>
          <w:sz w:val="20"/>
        </w:rPr>
        <w:t xml:space="preserve">is </w:t>
      </w:r>
      <w:r>
        <w:rPr>
          <w:rFonts w:hint="eastAsia"/>
          <w:sz w:val="20"/>
        </w:rPr>
        <w:t>200km</w:t>
      </w:r>
      <w:r w:rsidR="00013DA5">
        <w:rPr>
          <w:rFonts w:hint="eastAsia"/>
          <w:sz w:val="20"/>
        </w:rPr>
        <w:t xml:space="preserve">. </w:t>
      </w:r>
      <w:r w:rsidR="007073DE" w:rsidRPr="007073DE">
        <w:rPr>
          <w:sz w:val="20"/>
        </w:rPr>
        <w:t xml:space="preserve">It can be concluded that the coverage distance of ATG cells </w:t>
      </w:r>
      <w:r w:rsidR="007073DE">
        <w:rPr>
          <w:rFonts w:hint="eastAsia"/>
          <w:sz w:val="20"/>
        </w:rPr>
        <w:t>shall</w:t>
      </w:r>
      <w:r w:rsidR="007073DE" w:rsidRPr="007073DE">
        <w:rPr>
          <w:sz w:val="20"/>
        </w:rPr>
        <w:t xml:space="preserve"> not </w:t>
      </w:r>
      <w:r w:rsidR="007073DE">
        <w:rPr>
          <w:rFonts w:hint="eastAsia"/>
          <w:sz w:val="20"/>
        </w:rPr>
        <w:t>larger</w:t>
      </w:r>
      <w:r w:rsidR="007073DE" w:rsidRPr="007073DE">
        <w:rPr>
          <w:sz w:val="20"/>
        </w:rPr>
        <w:t xml:space="preserve"> than 100km.</w:t>
      </w:r>
      <w:r w:rsidR="007073DE" w:rsidRPr="007073DE">
        <w:rPr>
          <w:rFonts w:hint="eastAsia"/>
          <w:sz w:val="20"/>
        </w:rPr>
        <w:t xml:space="preserve"> </w:t>
      </w:r>
      <w:r>
        <w:rPr>
          <w:rFonts w:hint="eastAsia"/>
          <w:sz w:val="20"/>
        </w:rPr>
        <w:t xml:space="preserve">This is </w:t>
      </w:r>
      <w:r w:rsidRPr="009D2C80">
        <w:rPr>
          <w:sz w:val="20"/>
        </w:rPr>
        <w:t>fundamental</w:t>
      </w:r>
      <w:r>
        <w:rPr>
          <w:rFonts w:hint="eastAsia"/>
          <w:sz w:val="20"/>
        </w:rPr>
        <w:t xml:space="preserve"> issue for ATG. </w:t>
      </w:r>
      <w:r>
        <w:rPr>
          <w:sz w:val="20"/>
        </w:rPr>
        <w:t xml:space="preserve">If </w:t>
      </w:r>
      <w:r w:rsidR="00013DA5">
        <w:rPr>
          <w:rFonts w:hint="eastAsia"/>
          <w:sz w:val="20"/>
        </w:rPr>
        <w:t xml:space="preserve">the </w:t>
      </w:r>
      <w:r>
        <w:rPr>
          <w:rFonts w:hint="eastAsia"/>
          <w:sz w:val="20"/>
        </w:rPr>
        <w:t xml:space="preserve">coverage </w:t>
      </w:r>
      <w:r w:rsidR="00013DA5">
        <w:rPr>
          <w:rFonts w:hint="eastAsia"/>
          <w:sz w:val="20"/>
        </w:rPr>
        <w:t xml:space="preserve">is </w:t>
      </w:r>
      <w:r>
        <w:rPr>
          <w:rFonts w:hint="eastAsia"/>
          <w:sz w:val="20"/>
        </w:rPr>
        <w:t xml:space="preserve">not large than 100km, TN requirement may be reused, otherwise, most </w:t>
      </w:r>
      <w:r w:rsidR="00013DA5">
        <w:rPr>
          <w:rFonts w:hint="eastAsia"/>
          <w:sz w:val="20"/>
        </w:rPr>
        <w:t xml:space="preserve">of </w:t>
      </w:r>
      <w:r w:rsidRPr="009D2C80">
        <w:rPr>
          <w:sz w:val="20"/>
        </w:rPr>
        <w:t>mechanism</w:t>
      </w:r>
      <w:r w:rsidR="00013DA5">
        <w:rPr>
          <w:rFonts w:hint="eastAsia"/>
          <w:sz w:val="20"/>
        </w:rPr>
        <w:t>s</w:t>
      </w:r>
      <w:r>
        <w:rPr>
          <w:rFonts w:hint="eastAsia"/>
          <w:sz w:val="20"/>
        </w:rPr>
        <w:t xml:space="preserve"> for NTN should be </w:t>
      </w:r>
      <w:r w:rsidR="00013DA5">
        <w:rPr>
          <w:rFonts w:hint="eastAsia"/>
          <w:sz w:val="20"/>
        </w:rPr>
        <w:t>re</w:t>
      </w:r>
      <w:r>
        <w:rPr>
          <w:rFonts w:hint="eastAsia"/>
          <w:sz w:val="20"/>
        </w:rPr>
        <w:t>used.</w:t>
      </w:r>
    </w:p>
    <w:p w:rsidR="006314FB" w:rsidRPr="006314FB" w:rsidRDefault="006314FB" w:rsidP="006314FB">
      <w:pPr>
        <w:spacing w:before="0" w:after="120"/>
        <w:jc w:val="left"/>
        <w:rPr>
          <w:b/>
          <w:sz w:val="20"/>
        </w:rPr>
      </w:pPr>
      <w:r w:rsidRPr="006314FB">
        <w:rPr>
          <w:rFonts w:hint="eastAsia"/>
          <w:b/>
          <w:sz w:val="20"/>
        </w:rPr>
        <w:t xml:space="preserve">Proposal 1: It should be concluded </w:t>
      </w:r>
      <w:r w:rsidR="00013DA5">
        <w:rPr>
          <w:rFonts w:hint="eastAsia"/>
          <w:b/>
          <w:sz w:val="20"/>
        </w:rPr>
        <w:t>that whether ATG c</w:t>
      </w:r>
      <w:r w:rsidRPr="006314FB">
        <w:rPr>
          <w:rFonts w:hint="eastAsia"/>
          <w:b/>
          <w:sz w:val="20"/>
        </w:rPr>
        <w:t>el</w:t>
      </w:r>
      <w:r w:rsidR="007073DE">
        <w:rPr>
          <w:rFonts w:hint="eastAsia"/>
          <w:b/>
          <w:sz w:val="20"/>
        </w:rPr>
        <w:t>l coverage distance shall not</w:t>
      </w:r>
      <w:r w:rsidRPr="006314FB">
        <w:rPr>
          <w:rFonts w:hint="eastAsia"/>
          <w:b/>
          <w:sz w:val="20"/>
        </w:rPr>
        <w:t xml:space="preserve"> larger than 100km.</w:t>
      </w:r>
      <w:r w:rsidR="007073DE" w:rsidRPr="007073DE">
        <w:t xml:space="preserve"> </w:t>
      </w:r>
    </w:p>
    <w:p w:rsidR="00570B87" w:rsidRPr="007073DE" w:rsidRDefault="00570B87" w:rsidP="003A6E27">
      <w:pPr>
        <w:spacing w:before="0" w:after="120"/>
        <w:jc w:val="left"/>
        <w:rPr>
          <w:sz w:val="20"/>
        </w:rPr>
      </w:pPr>
    </w:p>
    <w:p w:rsidR="00DE43AA" w:rsidRPr="00DE43AA" w:rsidRDefault="00DE43AA" w:rsidP="00DE43AA">
      <w:pPr>
        <w:snapToGrid w:val="0"/>
        <w:spacing w:beforeLines="20" w:before="48" w:afterLines="20" w:after="48"/>
        <w:rPr>
          <w:sz w:val="20"/>
          <w:u w:val="single"/>
          <w:lang w:eastAsia="ko-KR"/>
        </w:rPr>
      </w:pPr>
      <w:r w:rsidRPr="00DE43AA">
        <w:rPr>
          <w:b/>
          <w:sz w:val="20"/>
          <w:u w:val="single"/>
          <w:lang w:eastAsia="ko-KR"/>
        </w:rPr>
        <w:t>Issue 1-2:</w:t>
      </w:r>
      <w:r w:rsidRPr="00DE43AA">
        <w:rPr>
          <w:sz w:val="20"/>
          <w:u w:val="single"/>
          <w:lang w:eastAsia="ko-KR"/>
        </w:rPr>
        <w:t xml:space="preserve"> Duplex mode and SCS</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Option 1: Consider FDD 15kHz SCS and TDD 30kHz SCS as the basic assumption for ATG RRM study. (CMCC, CATT, LGE)</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 xml:space="preserve">Option 2: </w:t>
      </w:r>
      <w:r w:rsidRPr="003A6E27">
        <w:rPr>
          <w:rFonts w:eastAsia="Calibri" w:hint="eastAsia"/>
          <w:kern w:val="0"/>
          <w:sz w:val="20"/>
          <w:szCs w:val="20"/>
          <w:lang w:val="x-none" w:eastAsia="ja-JP"/>
        </w:rPr>
        <w:t>D</w:t>
      </w:r>
      <w:r w:rsidRPr="003A6E27">
        <w:rPr>
          <w:rFonts w:eastAsia="Calibri"/>
          <w:kern w:val="0"/>
          <w:sz w:val="20"/>
          <w:szCs w:val="20"/>
          <w:lang w:val="x-none" w:eastAsia="ja-JP"/>
        </w:rPr>
        <w:t>iscuss the Duplex mode and SCS in perf stage (HW, QC, CMCC, Ericsson)</w:t>
      </w:r>
    </w:p>
    <w:p w:rsidR="006314FB" w:rsidRDefault="006314FB" w:rsidP="006314FB">
      <w:pPr>
        <w:spacing w:beforeLines="50" w:before="120" w:after="120"/>
        <w:jc w:val="left"/>
        <w:rPr>
          <w:sz w:val="20"/>
        </w:rPr>
      </w:pPr>
      <w:r>
        <w:rPr>
          <w:sz w:val="20"/>
        </w:rPr>
        <w:t xml:space="preserve">We </w:t>
      </w:r>
      <w:r>
        <w:rPr>
          <w:rFonts w:hint="eastAsia"/>
          <w:sz w:val="20"/>
        </w:rPr>
        <w:t xml:space="preserve">think these options are not </w:t>
      </w:r>
      <w:r w:rsidRPr="006314FB">
        <w:rPr>
          <w:sz w:val="20"/>
        </w:rPr>
        <w:t>inconsistent</w:t>
      </w:r>
      <w:r>
        <w:rPr>
          <w:rFonts w:hint="eastAsia"/>
          <w:sz w:val="20"/>
        </w:rPr>
        <w:t xml:space="preserve">. </w:t>
      </w:r>
      <w:r>
        <w:rPr>
          <w:sz w:val="20"/>
        </w:rPr>
        <w:t>I</w:t>
      </w:r>
      <w:r>
        <w:rPr>
          <w:rFonts w:hint="eastAsia"/>
          <w:sz w:val="20"/>
        </w:rPr>
        <w:t xml:space="preserve">t can be </w:t>
      </w:r>
      <w:r>
        <w:rPr>
          <w:sz w:val="20"/>
        </w:rPr>
        <w:t>agree</w:t>
      </w:r>
      <w:r>
        <w:rPr>
          <w:rFonts w:hint="eastAsia"/>
          <w:sz w:val="20"/>
        </w:rPr>
        <w:t>d</w:t>
      </w:r>
      <w:r>
        <w:rPr>
          <w:sz w:val="20"/>
        </w:rPr>
        <w:t xml:space="preserve"> </w:t>
      </w:r>
      <w:r>
        <w:rPr>
          <w:rFonts w:hint="eastAsia"/>
          <w:sz w:val="20"/>
        </w:rPr>
        <w:t>c</w:t>
      </w:r>
      <w:r w:rsidRPr="006314FB">
        <w:rPr>
          <w:sz w:val="20"/>
        </w:rPr>
        <w:t xml:space="preserve">onsider FDD </w:t>
      </w:r>
      <w:proofErr w:type="gramStart"/>
      <w:r w:rsidRPr="006314FB">
        <w:rPr>
          <w:sz w:val="20"/>
        </w:rPr>
        <w:t>15kHz</w:t>
      </w:r>
      <w:proofErr w:type="gramEnd"/>
      <w:r w:rsidRPr="006314FB">
        <w:rPr>
          <w:sz w:val="20"/>
        </w:rPr>
        <w:t xml:space="preserve"> SCS and TDD 30kHz SCS as the basic assumption for ATG RRM study</w:t>
      </w:r>
      <w:r>
        <w:rPr>
          <w:rFonts w:hint="eastAsia"/>
          <w:sz w:val="20"/>
        </w:rPr>
        <w:t xml:space="preserve">, but should not excluding FDD 30kHz SCS and TDD 15kHz SCS for specifying the RRM requirement for ATG. </w:t>
      </w:r>
      <w:r>
        <w:rPr>
          <w:sz w:val="20"/>
        </w:rPr>
        <w:t>T</w:t>
      </w:r>
      <w:r>
        <w:rPr>
          <w:rFonts w:hint="eastAsia"/>
          <w:sz w:val="20"/>
        </w:rPr>
        <w:t xml:space="preserve">he duplex mode and SCS will be discussed </w:t>
      </w:r>
      <w:r w:rsidR="00646066">
        <w:rPr>
          <w:rFonts w:hint="eastAsia"/>
          <w:sz w:val="20"/>
        </w:rPr>
        <w:t>in performance stage.</w:t>
      </w:r>
    </w:p>
    <w:p w:rsidR="00646066" w:rsidRPr="006314FB" w:rsidRDefault="00646066" w:rsidP="00646066">
      <w:pPr>
        <w:spacing w:before="0" w:after="120"/>
        <w:jc w:val="left"/>
        <w:rPr>
          <w:b/>
          <w:sz w:val="20"/>
        </w:rPr>
      </w:pPr>
      <w:r w:rsidRPr="006314FB">
        <w:rPr>
          <w:rFonts w:hint="eastAsia"/>
          <w:b/>
          <w:sz w:val="20"/>
        </w:rPr>
        <w:t xml:space="preserve">Proposal </w:t>
      </w:r>
      <w:r>
        <w:rPr>
          <w:rFonts w:hint="eastAsia"/>
          <w:b/>
          <w:sz w:val="20"/>
        </w:rPr>
        <w:t>2</w:t>
      </w:r>
      <w:r w:rsidRPr="006314FB">
        <w:rPr>
          <w:rFonts w:hint="eastAsia"/>
          <w:b/>
          <w:sz w:val="20"/>
        </w:rPr>
        <w:t xml:space="preserve">: </w:t>
      </w:r>
      <w:r>
        <w:rPr>
          <w:rFonts w:hint="eastAsia"/>
          <w:b/>
          <w:sz w:val="20"/>
        </w:rPr>
        <w:t xml:space="preserve">No need </w:t>
      </w:r>
      <w:r w:rsidR="00013DA5">
        <w:rPr>
          <w:rFonts w:hint="eastAsia"/>
          <w:b/>
          <w:sz w:val="20"/>
        </w:rPr>
        <w:t>to further discuss</w:t>
      </w:r>
      <w:r>
        <w:rPr>
          <w:rFonts w:hint="eastAsia"/>
          <w:b/>
          <w:sz w:val="20"/>
        </w:rPr>
        <w:t xml:space="preserve"> </w:t>
      </w:r>
      <w:r w:rsidR="005E7A61">
        <w:rPr>
          <w:rFonts w:hint="eastAsia"/>
          <w:b/>
          <w:sz w:val="20"/>
        </w:rPr>
        <w:t xml:space="preserve">duplex mode and SCS </w:t>
      </w:r>
      <w:r w:rsidR="00013DA5">
        <w:rPr>
          <w:rFonts w:hint="eastAsia"/>
          <w:b/>
          <w:sz w:val="20"/>
        </w:rPr>
        <w:t xml:space="preserve">in the </w:t>
      </w:r>
      <w:r w:rsidR="00013DA5">
        <w:rPr>
          <w:rFonts w:hint="eastAsia"/>
          <w:b/>
          <w:sz w:val="20"/>
        </w:rPr>
        <w:t>stage</w:t>
      </w:r>
      <w:r w:rsidR="00013DA5">
        <w:rPr>
          <w:rFonts w:hint="eastAsia"/>
          <w:b/>
          <w:sz w:val="20"/>
        </w:rPr>
        <w:t xml:space="preserve"> of</w:t>
      </w:r>
      <w:r w:rsidR="005E7A61">
        <w:rPr>
          <w:rFonts w:hint="eastAsia"/>
          <w:b/>
          <w:sz w:val="20"/>
        </w:rPr>
        <w:t xml:space="preserve"> core requirements.</w:t>
      </w:r>
    </w:p>
    <w:p w:rsidR="006314FB" w:rsidRPr="00646066" w:rsidRDefault="006314FB" w:rsidP="006314FB">
      <w:pPr>
        <w:spacing w:before="0" w:after="120"/>
        <w:jc w:val="left"/>
        <w:rPr>
          <w:sz w:val="20"/>
        </w:rPr>
      </w:pPr>
    </w:p>
    <w:p w:rsidR="00DE43AA" w:rsidRPr="00DE43AA" w:rsidRDefault="00DE43AA" w:rsidP="00DE43AA">
      <w:pPr>
        <w:snapToGrid w:val="0"/>
        <w:spacing w:beforeLines="20" w:before="48" w:afterLines="20" w:after="48"/>
        <w:rPr>
          <w:sz w:val="20"/>
          <w:u w:val="single"/>
          <w:lang w:eastAsia="ko-KR"/>
        </w:rPr>
      </w:pPr>
      <w:r w:rsidRPr="00DE43AA">
        <w:rPr>
          <w:b/>
          <w:sz w:val="20"/>
          <w:u w:val="single"/>
          <w:lang w:eastAsia="ko-KR"/>
        </w:rPr>
        <w:t>Issue 1-3:</w:t>
      </w:r>
      <w:r w:rsidRPr="00DE43AA">
        <w:rPr>
          <w:sz w:val="20"/>
          <w:u w:val="single"/>
          <w:lang w:eastAsia="ko-KR"/>
        </w:rPr>
        <w:t xml:space="preserve"> TDD pattern</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Option 1: An ATG system needs a full slot or even several slots of GP, however the large ISD and beamforming might mitigate any issues with regards to GP for TDD.  (Ericsson)</w:t>
      </w:r>
    </w:p>
    <w:p w:rsidR="00DE43AA" w:rsidRPr="003A6E27" w:rsidRDefault="00DE43AA" w:rsidP="003A6E2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3A6E27">
        <w:rPr>
          <w:rFonts w:eastAsia="Calibri"/>
          <w:kern w:val="0"/>
          <w:sz w:val="20"/>
          <w:szCs w:val="20"/>
          <w:lang w:val="x-none"/>
        </w:rPr>
        <w:t xml:space="preserve">The guard period for BS to BS interference, for the DL to UL switch is mainly dimensioned by the Tprop_BS2BS, if and when there is unacceptable interference between BS. </w:t>
      </w:r>
    </w:p>
    <w:p w:rsidR="00DE43AA" w:rsidRPr="003A6E27" w:rsidRDefault="00DE43AA" w:rsidP="003A6E2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3A6E27">
        <w:rPr>
          <w:rFonts w:eastAsia="Calibri"/>
          <w:kern w:val="0"/>
          <w:sz w:val="20"/>
          <w:szCs w:val="20"/>
          <w:lang w:val="x-none"/>
        </w:rPr>
        <w:lastRenderedPageBreak/>
        <w:t>The guard period for UE to UE interference, for the DL to UL switch is mainly dimensioned by the 2*</w:t>
      </w:r>
      <w:proofErr w:type="spellStart"/>
      <w:r w:rsidRPr="003A6E27">
        <w:rPr>
          <w:rFonts w:eastAsia="Calibri"/>
          <w:kern w:val="0"/>
          <w:sz w:val="20"/>
          <w:szCs w:val="20"/>
          <w:lang w:val="x-none"/>
        </w:rPr>
        <w:t>Tprop_cell</w:t>
      </w:r>
      <w:proofErr w:type="spellEnd"/>
      <w:r w:rsidRPr="003A6E27">
        <w:rPr>
          <w:rFonts w:eastAsia="Calibri"/>
          <w:kern w:val="0"/>
          <w:sz w:val="20"/>
          <w:szCs w:val="20"/>
          <w:lang w:val="x-none"/>
        </w:rPr>
        <w:t xml:space="preserve"> edge, if and when there is unacceptable interference between nearby UE.</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hint="eastAsia"/>
          <w:kern w:val="0"/>
          <w:sz w:val="20"/>
          <w:szCs w:val="20"/>
          <w:lang w:val="x-none" w:eastAsia="ja-JP"/>
        </w:rPr>
        <w:t>O</w:t>
      </w:r>
      <w:r w:rsidRPr="003A6E27">
        <w:rPr>
          <w:rFonts w:eastAsia="Calibri"/>
          <w:kern w:val="0"/>
          <w:sz w:val="20"/>
          <w:szCs w:val="20"/>
          <w:lang w:val="x-none" w:eastAsia="ja-JP"/>
        </w:rPr>
        <w:t>ption 2: The TDD pattern is up to NW configuration. No impaction on core requirements is observed, can be further discussed in Perf stage (HW, QC, CMCC, LGE, Ericsson, ZTE, CATT)</w:t>
      </w:r>
    </w:p>
    <w:p w:rsidR="00646066" w:rsidRDefault="00646066" w:rsidP="00646066">
      <w:pPr>
        <w:spacing w:beforeLines="50" w:before="120" w:after="120"/>
        <w:jc w:val="left"/>
        <w:rPr>
          <w:sz w:val="20"/>
        </w:rPr>
      </w:pPr>
      <w:r>
        <w:rPr>
          <w:sz w:val="20"/>
        </w:rPr>
        <w:t>T</w:t>
      </w:r>
      <w:r>
        <w:rPr>
          <w:rFonts w:hint="eastAsia"/>
          <w:sz w:val="20"/>
        </w:rPr>
        <w:t xml:space="preserve">he NR network can support different </w:t>
      </w:r>
      <w:r w:rsidRPr="00646066">
        <w:rPr>
          <w:sz w:val="20"/>
        </w:rPr>
        <w:t xml:space="preserve">TDD pattern </w:t>
      </w:r>
      <w:r>
        <w:rPr>
          <w:rFonts w:hint="eastAsia"/>
          <w:sz w:val="20"/>
        </w:rPr>
        <w:t xml:space="preserve">configuration. </w:t>
      </w:r>
      <w:r>
        <w:rPr>
          <w:sz w:val="20"/>
        </w:rPr>
        <w:t>I</w:t>
      </w:r>
      <w:r>
        <w:rPr>
          <w:rFonts w:hint="eastAsia"/>
          <w:sz w:val="20"/>
        </w:rPr>
        <w:t xml:space="preserve">t should be decided by network, and can further </w:t>
      </w:r>
      <w:proofErr w:type="gramStart"/>
      <w:r>
        <w:rPr>
          <w:rFonts w:hint="eastAsia"/>
          <w:sz w:val="20"/>
        </w:rPr>
        <w:t>discussed</w:t>
      </w:r>
      <w:proofErr w:type="gramEnd"/>
      <w:r>
        <w:rPr>
          <w:rFonts w:hint="eastAsia"/>
          <w:sz w:val="20"/>
        </w:rPr>
        <w:t xml:space="preserve"> in performance stage. </w:t>
      </w:r>
      <w:r>
        <w:rPr>
          <w:sz w:val="20"/>
        </w:rPr>
        <w:t>W</w:t>
      </w:r>
      <w:r>
        <w:rPr>
          <w:rFonts w:hint="eastAsia"/>
          <w:sz w:val="20"/>
        </w:rPr>
        <w:t>e prefer option 2.</w:t>
      </w:r>
    </w:p>
    <w:p w:rsidR="00646066" w:rsidRDefault="00646066" w:rsidP="00646066">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 xml:space="preserve">: </w:t>
      </w:r>
      <w:r>
        <w:rPr>
          <w:rFonts w:hint="eastAsia"/>
          <w:b/>
          <w:sz w:val="20"/>
        </w:rPr>
        <w:t>Support option 2, i.e. t</w:t>
      </w:r>
      <w:r w:rsidRPr="00646066">
        <w:rPr>
          <w:b/>
          <w:sz w:val="20"/>
        </w:rPr>
        <w:t xml:space="preserve">he TDD pattern is up to NW configuration. No impaction on core requirements is observed, </w:t>
      </w:r>
      <w:r>
        <w:rPr>
          <w:rFonts w:hint="eastAsia"/>
          <w:b/>
          <w:sz w:val="20"/>
        </w:rPr>
        <w:t xml:space="preserve">and </w:t>
      </w:r>
      <w:r w:rsidR="007073DE">
        <w:rPr>
          <w:rFonts w:hint="eastAsia"/>
          <w:b/>
          <w:sz w:val="20"/>
        </w:rPr>
        <w:t xml:space="preserve">it </w:t>
      </w:r>
      <w:r w:rsidRPr="00646066">
        <w:rPr>
          <w:b/>
          <w:sz w:val="20"/>
        </w:rPr>
        <w:t xml:space="preserve">can be further discussed in </w:t>
      </w:r>
      <w:r w:rsidR="007073DE">
        <w:rPr>
          <w:rFonts w:hint="eastAsia"/>
          <w:b/>
          <w:sz w:val="20"/>
        </w:rPr>
        <w:t>the stage of p</w:t>
      </w:r>
      <w:r w:rsidRPr="00646066">
        <w:rPr>
          <w:b/>
          <w:sz w:val="20"/>
        </w:rPr>
        <w:t>erf</w:t>
      </w:r>
      <w:r>
        <w:rPr>
          <w:rFonts w:hint="eastAsia"/>
          <w:b/>
          <w:sz w:val="20"/>
        </w:rPr>
        <w:t>ormance.</w:t>
      </w:r>
    </w:p>
    <w:p w:rsidR="00646066" w:rsidRPr="00646066" w:rsidRDefault="00646066" w:rsidP="00646066">
      <w:pPr>
        <w:spacing w:before="0" w:after="120"/>
        <w:jc w:val="left"/>
        <w:rPr>
          <w:sz w:val="20"/>
        </w:rPr>
      </w:pPr>
    </w:p>
    <w:p w:rsidR="00DE43AA" w:rsidRPr="00DE43AA" w:rsidRDefault="00DE43AA" w:rsidP="00DE43AA">
      <w:pPr>
        <w:snapToGrid w:val="0"/>
        <w:spacing w:beforeLines="20" w:before="48" w:afterLines="20" w:after="48"/>
        <w:rPr>
          <w:sz w:val="20"/>
          <w:u w:val="single"/>
          <w:lang w:eastAsia="ko-KR"/>
        </w:rPr>
      </w:pPr>
      <w:r w:rsidRPr="00DE43AA">
        <w:rPr>
          <w:b/>
          <w:sz w:val="20"/>
          <w:u w:val="single"/>
          <w:lang w:eastAsia="ko-KR"/>
        </w:rPr>
        <w:t>Issue 1-4-1:</w:t>
      </w:r>
      <w:r w:rsidRPr="00DE43AA">
        <w:rPr>
          <w:sz w:val="20"/>
          <w:u w:val="single"/>
          <w:lang w:eastAsia="ko-KR"/>
        </w:rPr>
        <w:t xml:space="preserve"> UE Assistance information (UE detecting and informing the NW)</w:t>
      </w:r>
    </w:p>
    <w:p w:rsidR="00DE43AA" w:rsidRPr="00DE43AA" w:rsidRDefault="00DE43AA" w:rsidP="00DE43AA">
      <w:pPr>
        <w:snapToGrid w:val="0"/>
        <w:spacing w:beforeLines="20" w:before="48" w:afterLines="20" w:after="48"/>
        <w:rPr>
          <w:sz w:val="20"/>
          <w:u w:val="single"/>
          <w:lang w:eastAsia="ko-KR"/>
        </w:rPr>
      </w:pPr>
      <w:r w:rsidRPr="00DE43AA">
        <w:rPr>
          <w:b/>
          <w:sz w:val="20"/>
          <w:u w:val="single"/>
          <w:lang w:eastAsia="ko-KR"/>
        </w:rPr>
        <w:t xml:space="preserve">Issue </w:t>
      </w:r>
      <w:r w:rsidRPr="003A6E27">
        <w:rPr>
          <w:sz w:val="20"/>
          <w:u w:val="single"/>
          <w:lang w:eastAsia="ko-KR"/>
        </w:rPr>
        <w:t xml:space="preserve">1-4-1-1: </w:t>
      </w:r>
      <w:r w:rsidRPr="00DE43AA">
        <w:rPr>
          <w:sz w:val="20"/>
          <w:u w:val="single"/>
          <w:lang w:eastAsia="ko-KR"/>
        </w:rPr>
        <w:t>whether new UAI reporting method could be introduced</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hint="eastAsia"/>
          <w:kern w:val="0"/>
          <w:sz w:val="20"/>
          <w:szCs w:val="20"/>
          <w:lang w:val="x-none" w:eastAsia="ja-JP"/>
        </w:rPr>
        <w:t>O</w:t>
      </w:r>
      <w:r w:rsidRPr="003A6E27">
        <w:rPr>
          <w:rFonts w:eastAsia="Calibri"/>
          <w:kern w:val="0"/>
          <w:sz w:val="20"/>
          <w:szCs w:val="20"/>
          <w:lang w:val="x-none" w:eastAsia="ja-JP"/>
        </w:rPr>
        <w:t>ption 1: ATG WI should avoid to introduce new UAI reporting method. (CMCC</w:t>
      </w:r>
      <w:r w:rsidRPr="003A6E27">
        <w:rPr>
          <w:rFonts w:eastAsia="Calibri" w:hint="eastAsia"/>
          <w:kern w:val="0"/>
          <w:sz w:val="20"/>
          <w:szCs w:val="20"/>
          <w:lang w:val="x-none" w:eastAsia="ja-JP"/>
        </w:rPr>
        <w:t>, CATT</w:t>
      </w:r>
      <w:r w:rsidRPr="003A6E27">
        <w:rPr>
          <w:rFonts w:eastAsia="Calibri"/>
          <w:kern w:val="0"/>
          <w:sz w:val="20"/>
          <w:szCs w:val="20"/>
          <w:lang w:val="x-none" w:eastAsia="ja-JP"/>
        </w:rPr>
        <w:t>, ZTE)</w:t>
      </w:r>
    </w:p>
    <w:p w:rsidR="00DE43AA" w:rsidRPr="003A6E27" w:rsidRDefault="00DE43AA" w:rsidP="003A6E2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hint="eastAsia"/>
          <w:kern w:val="0"/>
          <w:sz w:val="20"/>
          <w:szCs w:val="20"/>
          <w:lang w:val="x-none" w:eastAsia="ja-JP"/>
        </w:rPr>
        <w:t>O</w:t>
      </w:r>
      <w:r w:rsidRPr="003A6E27">
        <w:rPr>
          <w:rFonts w:eastAsia="Calibri"/>
          <w:kern w:val="0"/>
          <w:sz w:val="20"/>
          <w:szCs w:val="20"/>
          <w:lang w:val="x-none" w:eastAsia="ja-JP"/>
        </w:rPr>
        <w:t>ption 2: New UAI reporting method can be discussed and considered to resolve RRM issues in ATG network deployed with large cell coverage. (LGE, Ericsson, QC)</w:t>
      </w:r>
    </w:p>
    <w:p w:rsidR="00D869BE" w:rsidRPr="003A6E27" w:rsidRDefault="00D869BE" w:rsidP="00D869BE">
      <w:pPr>
        <w:snapToGrid w:val="0"/>
        <w:spacing w:beforeLines="20" w:before="48" w:afterLines="20" w:after="48"/>
        <w:rPr>
          <w:sz w:val="20"/>
          <w:u w:val="single"/>
          <w:lang w:eastAsia="ko-KR"/>
        </w:rPr>
      </w:pPr>
      <w:r w:rsidRPr="00DE43AA">
        <w:rPr>
          <w:b/>
          <w:sz w:val="20"/>
          <w:u w:val="single"/>
          <w:lang w:eastAsia="ko-KR"/>
        </w:rPr>
        <w:t xml:space="preserve">Issue </w:t>
      </w:r>
      <w:r w:rsidRPr="003A6E27">
        <w:rPr>
          <w:sz w:val="20"/>
          <w:u w:val="single"/>
          <w:lang w:eastAsia="ko-KR"/>
        </w:rPr>
        <w:t>1-4-1-2: Specific UAI</w:t>
      </w:r>
    </w:p>
    <w:p w:rsidR="00D869BE" w:rsidRPr="003A6E27" w:rsidRDefault="00D869BE" w:rsidP="00D869BE">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Further discuss the necessity and feasibility of UAI together with specific RRM requirement</w:t>
      </w:r>
    </w:p>
    <w:p w:rsidR="00D869BE" w:rsidRPr="00DE43AA" w:rsidRDefault="00D869BE" w:rsidP="00D869BE">
      <w:pPr>
        <w:snapToGrid w:val="0"/>
        <w:spacing w:beforeLines="20" w:before="48" w:afterLines="20" w:after="48"/>
        <w:rPr>
          <w:sz w:val="20"/>
          <w:u w:val="single"/>
          <w:lang w:eastAsia="ko-KR"/>
        </w:rPr>
      </w:pPr>
      <w:r w:rsidRPr="00DE43AA">
        <w:rPr>
          <w:b/>
          <w:sz w:val="20"/>
          <w:u w:val="single"/>
          <w:lang w:eastAsia="ko-KR"/>
        </w:rPr>
        <w:t>Issue 1-4-2:</w:t>
      </w:r>
      <w:r w:rsidRPr="00DE43AA">
        <w:rPr>
          <w:sz w:val="20"/>
          <w:u w:val="single"/>
          <w:lang w:eastAsia="ko-KR"/>
        </w:rPr>
        <w:t xml:space="preserve"> Network Assistance information (NW informing the UE)</w:t>
      </w:r>
    </w:p>
    <w:p w:rsidR="00D869BE" w:rsidRPr="003A6E27" w:rsidRDefault="00D869BE" w:rsidP="00D869BE">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A6E27">
        <w:rPr>
          <w:rFonts w:eastAsia="Calibri"/>
          <w:kern w:val="0"/>
          <w:sz w:val="20"/>
          <w:szCs w:val="20"/>
          <w:lang w:val="x-none" w:eastAsia="ja-JP"/>
        </w:rPr>
        <w:t>Further discuss the necessity and feasibility of UAI together with specific RRM requirement</w:t>
      </w:r>
    </w:p>
    <w:p w:rsidR="00646066" w:rsidRDefault="00B534BF" w:rsidP="00646066">
      <w:pPr>
        <w:spacing w:beforeLines="50" w:before="120" w:after="120"/>
        <w:jc w:val="left"/>
        <w:rPr>
          <w:sz w:val="20"/>
        </w:rPr>
      </w:pPr>
      <w:r>
        <w:rPr>
          <w:rFonts w:hint="eastAsia"/>
          <w:sz w:val="20"/>
        </w:rPr>
        <w:t xml:space="preserve">The work item as </w:t>
      </w:r>
      <w:r>
        <w:rPr>
          <w:sz w:val="20"/>
        </w:rPr>
        <w:t>described</w:t>
      </w:r>
      <w:r>
        <w:rPr>
          <w:rFonts w:hint="eastAsia"/>
          <w:sz w:val="20"/>
        </w:rPr>
        <w:t xml:space="preserve"> in WID [3] includes only RAN4 work. </w:t>
      </w:r>
      <w:r w:rsidR="00D869BE">
        <w:rPr>
          <w:sz w:val="20"/>
        </w:rPr>
        <w:t>T</w:t>
      </w:r>
      <w:r w:rsidR="00D869BE">
        <w:rPr>
          <w:rFonts w:hint="eastAsia"/>
          <w:sz w:val="20"/>
        </w:rPr>
        <w:t xml:space="preserve">he cell coverage will not be larger than 100km as agreement in RF session. </w:t>
      </w:r>
      <w:r w:rsidR="00D869BE">
        <w:rPr>
          <w:sz w:val="20"/>
        </w:rPr>
        <w:t>S</w:t>
      </w:r>
      <w:r w:rsidR="00D869BE">
        <w:rPr>
          <w:rFonts w:hint="eastAsia"/>
          <w:sz w:val="20"/>
        </w:rPr>
        <w:t>o we think it is unnecessary introduce new UAI reporting method, and support option 1.</w:t>
      </w:r>
    </w:p>
    <w:p w:rsidR="00646066" w:rsidRDefault="00646066" w:rsidP="00646066">
      <w:pPr>
        <w:spacing w:before="0" w:after="120"/>
        <w:jc w:val="left"/>
        <w:rPr>
          <w:b/>
          <w:sz w:val="20"/>
        </w:rPr>
      </w:pPr>
      <w:r w:rsidRPr="006314FB">
        <w:rPr>
          <w:rFonts w:hint="eastAsia"/>
          <w:b/>
          <w:sz w:val="20"/>
        </w:rPr>
        <w:t xml:space="preserve">Proposal </w:t>
      </w:r>
      <w:r w:rsidR="00D869BE">
        <w:rPr>
          <w:rFonts w:hint="eastAsia"/>
          <w:b/>
          <w:sz w:val="20"/>
        </w:rPr>
        <w:t>4</w:t>
      </w:r>
      <w:r w:rsidRPr="006314FB">
        <w:rPr>
          <w:rFonts w:hint="eastAsia"/>
          <w:b/>
          <w:sz w:val="20"/>
        </w:rPr>
        <w:t xml:space="preserve">: </w:t>
      </w:r>
      <w:r w:rsidR="00D869BE" w:rsidRPr="00D869BE">
        <w:rPr>
          <w:b/>
          <w:sz w:val="20"/>
        </w:rPr>
        <w:t xml:space="preserve">ATG WI </w:t>
      </w:r>
      <w:r w:rsidR="00D869BE">
        <w:rPr>
          <w:rFonts w:hint="eastAsia"/>
          <w:b/>
          <w:sz w:val="20"/>
        </w:rPr>
        <w:t>doesn</w:t>
      </w:r>
      <w:r w:rsidR="00D869BE">
        <w:rPr>
          <w:b/>
          <w:sz w:val="20"/>
        </w:rPr>
        <w:t>’</w:t>
      </w:r>
      <w:r w:rsidR="00D869BE">
        <w:rPr>
          <w:rFonts w:hint="eastAsia"/>
          <w:b/>
          <w:sz w:val="20"/>
        </w:rPr>
        <w:t>t</w:t>
      </w:r>
      <w:r w:rsidR="00D869BE" w:rsidRPr="00D869BE">
        <w:rPr>
          <w:b/>
          <w:sz w:val="20"/>
        </w:rPr>
        <w:t xml:space="preserve"> introduce new UAI reporting method.</w:t>
      </w:r>
    </w:p>
    <w:bookmarkEnd w:id="4"/>
    <w:p w:rsidR="007C0541" w:rsidRPr="006301DB" w:rsidRDefault="007C0541" w:rsidP="001606B6">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5" w:name="_GoBack"/>
      <w:bookmarkEnd w:id="2"/>
      <w:bookmarkEnd w:id="3"/>
      <w:bookmarkEnd w:id="5"/>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D869BE">
        <w:rPr>
          <w:rFonts w:hint="eastAsia"/>
          <w:sz w:val="20"/>
        </w:rPr>
        <w:t>issues for general aspects for ATG RRM requirements</w:t>
      </w:r>
      <w:r>
        <w:rPr>
          <w:rFonts w:hint="eastAsia"/>
          <w:sz w:val="20"/>
        </w:rPr>
        <w:t xml:space="preserve"> and presented </w:t>
      </w:r>
      <w:r w:rsidR="00787CF4">
        <w:rPr>
          <w:rFonts w:hint="eastAsia"/>
          <w:sz w:val="20"/>
        </w:rPr>
        <w:t xml:space="preserve">the </w:t>
      </w:r>
      <w:r>
        <w:rPr>
          <w:rFonts w:hint="eastAsia"/>
          <w:sz w:val="20"/>
        </w:rPr>
        <w:t>following proposals:</w:t>
      </w:r>
    </w:p>
    <w:p w:rsidR="007073DE" w:rsidRPr="006314FB" w:rsidRDefault="007073DE" w:rsidP="007073DE">
      <w:pPr>
        <w:spacing w:before="0" w:after="120"/>
        <w:jc w:val="left"/>
        <w:rPr>
          <w:b/>
          <w:sz w:val="20"/>
        </w:rPr>
      </w:pPr>
      <w:r w:rsidRPr="006314FB">
        <w:rPr>
          <w:rFonts w:hint="eastAsia"/>
          <w:b/>
          <w:sz w:val="20"/>
        </w:rPr>
        <w:t xml:space="preserve">Proposal 1: It should be concluded </w:t>
      </w:r>
      <w:r>
        <w:rPr>
          <w:rFonts w:hint="eastAsia"/>
          <w:b/>
          <w:sz w:val="20"/>
        </w:rPr>
        <w:t>that whether ATG c</w:t>
      </w:r>
      <w:r w:rsidRPr="006314FB">
        <w:rPr>
          <w:rFonts w:hint="eastAsia"/>
          <w:b/>
          <w:sz w:val="20"/>
        </w:rPr>
        <w:t>el</w:t>
      </w:r>
      <w:r>
        <w:rPr>
          <w:rFonts w:hint="eastAsia"/>
          <w:b/>
          <w:sz w:val="20"/>
        </w:rPr>
        <w:t>l coverage distance shall not</w:t>
      </w:r>
      <w:r w:rsidRPr="006314FB">
        <w:rPr>
          <w:rFonts w:hint="eastAsia"/>
          <w:b/>
          <w:sz w:val="20"/>
        </w:rPr>
        <w:t xml:space="preserve"> larger than 100km.</w:t>
      </w:r>
      <w:r w:rsidRPr="007073DE">
        <w:t xml:space="preserve"> </w:t>
      </w:r>
    </w:p>
    <w:p w:rsidR="00013DA5" w:rsidRPr="006314FB" w:rsidRDefault="00013DA5" w:rsidP="00013DA5">
      <w:pPr>
        <w:spacing w:before="0" w:after="120"/>
        <w:jc w:val="left"/>
        <w:rPr>
          <w:b/>
          <w:sz w:val="20"/>
        </w:rPr>
      </w:pPr>
      <w:r w:rsidRPr="006314FB">
        <w:rPr>
          <w:rFonts w:hint="eastAsia"/>
          <w:b/>
          <w:sz w:val="20"/>
        </w:rPr>
        <w:t xml:space="preserve">Proposal </w:t>
      </w:r>
      <w:r>
        <w:rPr>
          <w:rFonts w:hint="eastAsia"/>
          <w:b/>
          <w:sz w:val="20"/>
        </w:rPr>
        <w:t>2</w:t>
      </w:r>
      <w:r w:rsidRPr="006314FB">
        <w:rPr>
          <w:rFonts w:hint="eastAsia"/>
          <w:b/>
          <w:sz w:val="20"/>
        </w:rPr>
        <w:t xml:space="preserve">: </w:t>
      </w:r>
      <w:r>
        <w:rPr>
          <w:rFonts w:hint="eastAsia"/>
          <w:b/>
          <w:sz w:val="20"/>
        </w:rPr>
        <w:t>No need to further discuss duplex mode and SCS in the stage of core requirements.</w:t>
      </w:r>
    </w:p>
    <w:p w:rsidR="007073DE" w:rsidRDefault="007073DE" w:rsidP="007073DE">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 xml:space="preserve">: </w:t>
      </w:r>
      <w:r>
        <w:rPr>
          <w:rFonts w:hint="eastAsia"/>
          <w:b/>
          <w:sz w:val="20"/>
        </w:rPr>
        <w:t>Support option 2, i.e. t</w:t>
      </w:r>
      <w:r w:rsidRPr="00646066">
        <w:rPr>
          <w:b/>
          <w:sz w:val="20"/>
        </w:rPr>
        <w:t xml:space="preserve">he TDD pattern is up to NW configuration. No impaction on core requirements is observed, </w:t>
      </w:r>
      <w:r>
        <w:rPr>
          <w:rFonts w:hint="eastAsia"/>
          <w:b/>
          <w:sz w:val="20"/>
        </w:rPr>
        <w:t xml:space="preserve">and it </w:t>
      </w:r>
      <w:r w:rsidRPr="00646066">
        <w:rPr>
          <w:b/>
          <w:sz w:val="20"/>
        </w:rPr>
        <w:t xml:space="preserve">can be further discussed in </w:t>
      </w:r>
      <w:r>
        <w:rPr>
          <w:rFonts w:hint="eastAsia"/>
          <w:b/>
          <w:sz w:val="20"/>
        </w:rPr>
        <w:t>the stage of p</w:t>
      </w:r>
      <w:r w:rsidRPr="00646066">
        <w:rPr>
          <w:b/>
          <w:sz w:val="20"/>
        </w:rPr>
        <w:t>erf</w:t>
      </w:r>
      <w:r>
        <w:rPr>
          <w:rFonts w:hint="eastAsia"/>
          <w:b/>
          <w:sz w:val="20"/>
        </w:rPr>
        <w:t>ormance.</w:t>
      </w:r>
    </w:p>
    <w:p w:rsidR="00FD062D" w:rsidRPr="00013DA5" w:rsidRDefault="005E7A61" w:rsidP="008758CC">
      <w:pPr>
        <w:spacing w:before="0" w:after="120"/>
        <w:jc w:val="left"/>
        <w:rPr>
          <w:b/>
          <w:sz w:val="20"/>
        </w:rPr>
      </w:pPr>
      <w:r w:rsidRPr="006314FB">
        <w:rPr>
          <w:rFonts w:hint="eastAsia"/>
          <w:b/>
          <w:sz w:val="20"/>
        </w:rPr>
        <w:t xml:space="preserve">Proposal </w:t>
      </w:r>
      <w:r>
        <w:rPr>
          <w:rFonts w:hint="eastAsia"/>
          <w:b/>
          <w:sz w:val="20"/>
        </w:rPr>
        <w:t>4</w:t>
      </w:r>
      <w:r w:rsidRPr="006314FB">
        <w:rPr>
          <w:rFonts w:hint="eastAsia"/>
          <w:b/>
          <w:sz w:val="20"/>
        </w:rPr>
        <w:t xml:space="preserve">: </w:t>
      </w:r>
      <w:r w:rsidRPr="00D869BE">
        <w:rPr>
          <w:b/>
          <w:sz w:val="20"/>
        </w:rPr>
        <w:t xml:space="preserve">ATG WI </w:t>
      </w:r>
      <w:r>
        <w:rPr>
          <w:rFonts w:hint="eastAsia"/>
          <w:b/>
          <w:sz w:val="20"/>
        </w:rPr>
        <w:t>doesn</w:t>
      </w:r>
      <w:r>
        <w:rPr>
          <w:b/>
          <w:sz w:val="20"/>
        </w:rPr>
        <w:t>’</w:t>
      </w:r>
      <w:r>
        <w:rPr>
          <w:rFonts w:hint="eastAsia"/>
          <w:b/>
          <w:sz w:val="20"/>
        </w:rPr>
        <w:t>t</w:t>
      </w:r>
      <w:r w:rsidRPr="00D869BE">
        <w:rPr>
          <w:b/>
          <w:sz w:val="20"/>
        </w:rPr>
        <w:t xml:space="preserve"> introduce new UAI reporting method.</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DE43AA" w:rsidRPr="00DE43AA">
        <w:rPr>
          <w:sz w:val="20"/>
        </w:rPr>
        <w:t>R4-2217256</w:t>
      </w:r>
      <w:r w:rsidR="00246DF8">
        <w:rPr>
          <w:rFonts w:hint="eastAsia"/>
          <w:sz w:val="20"/>
        </w:rPr>
        <w:t xml:space="preserve">, </w:t>
      </w:r>
      <w:r w:rsidR="00DE43AA" w:rsidRPr="00DE43AA">
        <w:rPr>
          <w:sz w:val="20"/>
        </w:rPr>
        <w:t>WF on NR ATG RRM core requirements</w:t>
      </w:r>
      <w:r w:rsidR="00246DF8">
        <w:rPr>
          <w:rFonts w:hint="eastAsia"/>
          <w:sz w:val="20"/>
        </w:rPr>
        <w:t>,</w:t>
      </w:r>
      <w:r w:rsidR="00246DF8" w:rsidRPr="00246DF8">
        <w:rPr>
          <w:sz w:val="20"/>
        </w:rPr>
        <w:tab/>
      </w:r>
      <w:r w:rsidR="00DE43AA">
        <w:rPr>
          <w:rFonts w:hint="eastAsia"/>
          <w:sz w:val="20"/>
        </w:rPr>
        <w:t xml:space="preserve"> </w:t>
      </w:r>
      <w:r w:rsidR="00246DF8" w:rsidRPr="00246DF8">
        <w:rPr>
          <w:sz w:val="20"/>
        </w:rPr>
        <w:t>C</w:t>
      </w:r>
      <w:r w:rsidR="00DE43AA">
        <w:rPr>
          <w:rFonts w:hint="eastAsia"/>
          <w:sz w:val="20"/>
        </w:rPr>
        <w:t>MCC</w:t>
      </w:r>
    </w:p>
    <w:p w:rsidR="00C67841" w:rsidRDefault="003A6E27" w:rsidP="009973FC">
      <w:pPr>
        <w:pStyle w:val="ab"/>
        <w:ind w:left="540" w:hangingChars="270" w:hanging="540"/>
        <w:rPr>
          <w:sz w:val="20"/>
        </w:rPr>
      </w:pPr>
      <w:r>
        <w:rPr>
          <w:rFonts w:hint="eastAsia"/>
          <w:sz w:val="20"/>
        </w:rPr>
        <w:t>[2]</w:t>
      </w:r>
      <w:r>
        <w:rPr>
          <w:rFonts w:hint="eastAsia"/>
          <w:sz w:val="20"/>
        </w:rPr>
        <w:tab/>
      </w:r>
      <w:r w:rsidRPr="003A6E27">
        <w:rPr>
          <w:sz w:val="20"/>
        </w:rPr>
        <w:t>R4-2217736, WF on FR1 co-existence evaluation for ATG, CMCC</w:t>
      </w:r>
    </w:p>
    <w:p w:rsidR="00B534BF" w:rsidRDefault="00B534BF" w:rsidP="00B534BF">
      <w:pPr>
        <w:pStyle w:val="ab"/>
        <w:ind w:left="540" w:hangingChars="270" w:hanging="540"/>
        <w:rPr>
          <w:sz w:val="20"/>
        </w:rPr>
      </w:pPr>
      <w:r>
        <w:rPr>
          <w:rFonts w:hint="eastAsia"/>
          <w:sz w:val="20"/>
        </w:rPr>
        <w:t>[3]</w:t>
      </w:r>
      <w:r>
        <w:rPr>
          <w:rFonts w:hint="eastAsia"/>
          <w:sz w:val="20"/>
        </w:rPr>
        <w:tab/>
      </w:r>
      <w:r w:rsidRPr="00465CB2">
        <w:rPr>
          <w:sz w:val="20"/>
        </w:rPr>
        <w:t>RP-221369, Revised WID on Air-to-ground network for NR, CMCC</w:t>
      </w:r>
    </w:p>
    <w:p w:rsidR="00B534BF" w:rsidRPr="00B534BF" w:rsidRDefault="00B534BF" w:rsidP="009973FC">
      <w:pPr>
        <w:pStyle w:val="ab"/>
        <w:ind w:left="540" w:hangingChars="270" w:hanging="540"/>
        <w:rPr>
          <w:sz w:val="20"/>
        </w:rPr>
      </w:pPr>
    </w:p>
    <w:sectPr w:rsidR="00B534BF" w:rsidRPr="00B534B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001" w:rsidRDefault="00551001" w:rsidP="0095591C">
      <w:pPr>
        <w:spacing w:after="60"/>
        <w:ind w:left="210"/>
      </w:pPr>
      <w:r>
        <w:separator/>
      </w:r>
    </w:p>
    <w:p w:rsidR="00551001" w:rsidRDefault="00551001"/>
  </w:endnote>
  <w:endnote w:type="continuationSeparator" w:id="0">
    <w:p w:rsidR="00551001" w:rsidRDefault="00551001" w:rsidP="0095591C">
      <w:pPr>
        <w:spacing w:after="60"/>
        <w:ind w:left="210"/>
      </w:pPr>
      <w:r>
        <w:continuationSeparator/>
      </w:r>
    </w:p>
    <w:p w:rsidR="00551001" w:rsidRDefault="0055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073DE">
      <w:t>2</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001" w:rsidRDefault="00551001" w:rsidP="0095591C">
      <w:pPr>
        <w:spacing w:after="60"/>
        <w:ind w:left="210"/>
      </w:pPr>
      <w:r>
        <w:separator/>
      </w:r>
    </w:p>
    <w:p w:rsidR="00551001" w:rsidRDefault="00551001"/>
  </w:footnote>
  <w:footnote w:type="continuationSeparator" w:id="0">
    <w:p w:rsidR="00551001" w:rsidRDefault="00551001" w:rsidP="0095591C">
      <w:pPr>
        <w:spacing w:after="60"/>
        <w:ind w:left="210"/>
      </w:pPr>
      <w:r>
        <w:continuationSeparator/>
      </w:r>
    </w:p>
    <w:p w:rsidR="00551001" w:rsidRDefault="005510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8"/>
  </w:num>
  <w:num w:numId="2">
    <w:abstractNumId w:val="11"/>
  </w:num>
  <w:num w:numId="3">
    <w:abstractNumId w:val="3"/>
  </w:num>
  <w:num w:numId="4">
    <w:abstractNumId w:val="24"/>
  </w:num>
  <w:num w:numId="5">
    <w:abstractNumId w:val="14"/>
  </w:num>
  <w:num w:numId="6">
    <w:abstractNumId w:val="40"/>
  </w:num>
  <w:num w:numId="7">
    <w:abstractNumId w:val="7"/>
  </w:num>
  <w:num w:numId="8">
    <w:abstractNumId w:val="27"/>
  </w:num>
  <w:num w:numId="9">
    <w:abstractNumId w:val="17"/>
  </w:num>
  <w:num w:numId="10">
    <w:abstractNumId w:val="37"/>
  </w:num>
  <w:num w:numId="11">
    <w:abstractNumId w:val="41"/>
  </w:num>
  <w:num w:numId="12">
    <w:abstractNumId w:val="42"/>
  </w:num>
  <w:num w:numId="13">
    <w:abstractNumId w:val="18"/>
  </w:num>
  <w:num w:numId="14">
    <w:abstractNumId w:val="22"/>
  </w:num>
  <w:num w:numId="15">
    <w:abstractNumId w:val="16"/>
  </w:num>
  <w:num w:numId="16">
    <w:abstractNumId w:val="36"/>
  </w:num>
  <w:num w:numId="17">
    <w:abstractNumId w:val="0"/>
  </w:num>
  <w:num w:numId="18">
    <w:abstractNumId w:val="25"/>
  </w:num>
  <w:num w:numId="19">
    <w:abstractNumId w:val="32"/>
  </w:num>
  <w:num w:numId="20">
    <w:abstractNumId w:val="35"/>
  </w:num>
  <w:num w:numId="21">
    <w:abstractNumId w:val="33"/>
  </w:num>
  <w:num w:numId="22">
    <w:abstractNumId w:val="20"/>
  </w:num>
  <w:num w:numId="23">
    <w:abstractNumId w:val="4"/>
  </w:num>
  <w:num w:numId="24">
    <w:abstractNumId w:val="43"/>
  </w:num>
  <w:num w:numId="25">
    <w:abstractNumId w:val="39"/>
  </w:num>
  <w:num w:numId="26">
    <w:abstractNumId w:val="13"/>
  </w:num>
  <w:num w:numId="27">
    <w:abstractNumId w:val="23"/>
  </w:num>
  <w:num w:numId="28">
    <w:abstractNumId w:val="26"/>
  </w:num>
  <w:num w:numId="29">
    <w:abstractNumId w:val="15"/>
  </w:num>
  <w:num w:numId="30">
    <w:abstractNumId w:val="9"/>
  </w:num>
  <w:num w:numId="31">
    <w:abstractNumId w:val="8"/>
  </w:num>
  <w:num w:numId="32">
    <w:abstractNumId w:val="1"/>
  </w:num>
  <w:num w:numId="33">
    <w:abstractNumId w:val="21"/>
  </w:num>
  <w:num w:numId="34">
    <w:abstractNumId w:val="34"/>
  </w:num>
  <w:num w:numId="35">
    <w:abstractNumId w:val="6"/>
  </w:num>
  <w:num w:numId="36">
    <w:abstractNumId w:val="38"/>
  </w:num>
  <w:num w:numId="37">
    <w:abstractNumId w:val="12"/>
  </w:num>
  <w:num w:numId="38">
    <w:abstractNumId w:val="31"/>
  </w:num>
  <w:num w:numId="39">
    <w:abstractNumId w:val="30"/>
  </w:num>
  <w:num w:numId="40">
    <w:abstractNumId w:val="2"/>
  </w:num>
  <w:num w:numId="41">
    <w:abstractNumId w:val="19"/>
  </w:num>
  <w:num w:numId="42">
    <w:abstractNumId w:val="5"/>
  </w:num>
  <w:num w:numId="43">
    <w:abstractNumId w:val="29"/>
  </w:num>
  <w:num w:numId="4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A5"/>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74"/>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5FB"/>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001"/>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6CA4"/>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3DE"/>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8DD"/>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5A"/>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9EAA2-5DDE-4E0F-B0E2-919FE82F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2</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 CATT</cp:lastModifiedBy>
  <cp:revision>77</cp:revision>
  <cp:lastPrinted>2007-04-24T00:59:00Z</cp:lastPrinted>
  <dcterms:created xsi:type="dcterms:W3CDTF">2022-08-09T16:43:00Z</dcterms:created>
  <dcterms:modified xsi:type="dcterms:W3CDTF">2022-11-07T11:11:00Z</dcterms:modified>
</cp:coreProperties>
</file>