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17D" w14:textId="27A8E95A" w:rsidR="00803510" w:rsidRPr="00EE2C74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3GPP TSG-RAN WG4 Meeting # </w:t>
      </w:r>
      <w:r w:rsidR="002E1F6A">
        <w:rPr>
          <w:lang w:val="en-US"/>
        </w:rPr>
        <w:t>10</w:t>
      </w:r>
      <w:r w:rsidR="00DC1B92">
        <w:rPr>
          <w:lang w:val="en-US"/>
        </w:rPr>
        <w:t>5</w:t>
      </w:r>
      <w:r w:rsidR="00803510" w:rsidRPr="00EE2C74">
        <w:rPr>
          <w:lang w:val="en-US"/>
        </w:rPr>
        <w:tab/>
      </w:r>
      <w:r w:rsidR="00760927" w:rsidRPr="00760927">
        <w:rPr>
          <w:lang w:val="en-US"/>
        </w:rPr>
        <w:t>R4-2218295</w:t>
      </w:r>
    </w:p>
    <w:p w14:paraId="26F858F2" w14:textId="698C559D" w:rsidR="0043450E" w:rsidRPr="00803510" w:rsidRDefault="00DC1B92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bookmarkStart w:id="0" w:name="_Hlk118102863"/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14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18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  <w:bookmarkEnd w:id="0"/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E39CAA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37D62">
        <w:rPr>
          <w:sz w:val="22"/>
        </w:rPr>
        <w:t>C</w:t>
      </w:r>
      <w:r w:rsidR="00037D62" w:rsidRPr="00037D62">
        <w:rPr>
          <w:sz w:val="22"/>
        </w:rPr>
        <w:t xml:space="preserve">larification of </w:t>
      </w:r>
      <w:r w:rsidR="00DC1B92" w:rsidRPr="00DC1B92">
        <w:rPr>
          <w:sz w:val="22"/>
        </w:rPr>
        <w:t>ue-PowerClassPerBandPerBC-r17</w:t>
      </w:r>
    </w:p>
    <w:p w14:paraId="23226DA5" w14:textId="348CD46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60927">
        <w:rPr>
          <w:bCs/>
          <w:sz w:val="22"/>
        </w:rPr>
        <w:t>10.2.3</w:t>
      </w:r>
    </w:p>
    <w:p w14:paraId="7AD518C5" w14:textId="7A7BC868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0592C">
        <w:rPr>
          <w:sz w:val="22"/>
        </w:rPr>
        <w:t>Discussion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15DE3220" w14:textId="58335252" w:rsidR="008B71FF" w:rsidRDefault="00037D62" w:rsidP="001C3C45">
      <w:r>
        <w:t xml:space="preserve">This contribution addresses </w:t>
      </w:r>
      <w:r w:rsidR="00DC1B92">
        <w:t xml:space="preserve">following questions in </w:t>
      </w:r>
      <w:r>
        <w:t>an LS [1] from RAN2.</w:t>
      </w:r>
    </w:p>
    <w:p w14:paraId="6DBF1D61" w14:textId="54161DBE" w:rsidR="00DC1B92" w:rsidRPr="002A31E8" w:rsidRDefault="00DC1B92" w:rsidP="00DC1B92">
      <w:pPr>
        <w:jc w:val="center"/>
      </w:pPr>
      <w:r>
        <w:rPr>
          <w:noProof/>
        </w:rPr>
        <w:drawing>
          <wp:inline distT="0" distB="0" distL="0" distR="0" wp14:anchorId="2022E9E9" wp14:editId="0309B778">
            <wp:extent cx="5541444" cy="872662"/>
            <wp:effectExtent l="19050" t="19050" r="21590" b="22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246" cy="87656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3BDEED4" w14:textId="2C5E42F2" w:rsidR="00E014E2" w:rsidRDefault="00E014E2" w:rsidP="005E7C59">
      <w:pPr>
        <w:pStyle w:val="Heading1"/>
        <w:ind w:left="709" w:hanging="709"/>
      </w:pPr>
      <w:r>
        <w:t>2</w:t>
      </w:r>
      <w:r>
        <w:tab/>
      </w:r>
      <w:r w:rsidR="000E2C46">
        <w:t>Discussion</w:t>
      </w:r>
    </w:p>
    <w:p w14:paraId="373AFC08" w14:textId="1BD86F14" w:rsidR="002F66F4" w:rsidRPr="002F66F4" w:rsidRDefault="002F66F4" w:rsidP="002F66F4">
      <w:pPr>
        <w:pStyle w:val="Heading2"/>
        <w:ind w:left="709" w:hanging="709"/>
      </w:pPr>
      <w:r>
        <w:t>2.1</w:t>
      </w:r>
      <w:r>
        <w:tab/>
      </w:r>
      <w:r w:rsidR="00037D62">
        <w:t>Question 1</w:t>
      </w:r>
    </w:p>
    <w:p w14:paraId="5D5F849A" w14:textId="29787EB7" w:rsidR="00037D62" w:rsidRDefault="00DC1B92" w:rsidP="00DC1B92">
      <w:r>
        <w:t>The question is “</w:t>
      </w:r>
      <w:r w:rsidRPr="00DC1B92">
        <w:t>Whether R4 16-8 is applicable to only inter-band CA?</w:t>
      </w:r>
      <w:r>
        <w:t>”.</w:t>
      </w:r>
      <w:r w:rsidR="000566C0">
        <w:t xml:space="preserve"> Our understanding is that the answer must be </w:t>
      </w:r>
      <w:proofErr w:type="gramStart"/>
      <w:r w:rsidR="000566C0">
        <w:t>YES</w:t>
      </w:r>
      <w:proofErr w:type="gramEnd"/>
      <w:r w:rsidR="000566C0">
        <w:t xml:space="preserve"> since MR-DC case is covered by </w:t>
      </w:r>
      <w:r w:rsidR="000566C0" w:rsidRPr="000566C0">
        <w:rPr>
          <w:i/>
          <w:iCs/>
        </w:rPr>
        <w:t>powerClassNRPart-r16</w:t>
      </w:r>
      <w:r w:rsidR="000566C0">
        <w:t>.</w:t>
      </w:r>
    </w:p>
    <w:p w14:paraId="26C87F56" w14:textId="2BF418F9" w:rsidR="004D2B45" w:rsidRDefault="00EE283A" w:rsidP="0042089A">
      <w:r w:rsidRPr="00EE283A">
        <w:rPr>
          <w:b/>
          <w:bCs/>
        </w:rPr>
        <w:t>Observation 1:</w:t>
      </w:r>
      <w:r>
        <w:t xml:space="preserve"> </w:t>
      </w:r>
      <w:r w:rsidRPr="00FE3350">
        <w:rPr>
          <w:i/>
          <w:iCs/>
        </w:rPr>
        <w:t>ue-PowerClassPerBandPerBC-r17</w:t>
      </w:r>
      <w:r>
        <w:t xml:space="preserve"> is </w:t>
      </w:r>
      <w:r w:rsidR="00D73FD0">
        <w:t xml:space="preserve">only </w:t>
      </w:r>
      <w:r>
        <w:t>applicable to inter-band CA.</w:t>
      </w:r>
    </w:p>
    <w:p w14:paraId="379F74B1" w14:textId="70DB4EE0" w:rsidR="000566C0" w:rsidRPr="002F66F4" w:rsidRDefault="000566C0" w:rsidP="000566C0">
      <w:pPr>
        <w:pStyle w:val="Heading2"/>
        <w:ind w:left="709" w:hanging="709"/>
      </w:pPr>
      <w:r>
        <w:t>2.2</w:t>
      </w:r>
      <w:r>
        <w:tab/>
        <w:t>Question 2</w:t>
      </w:r>
    </w:p>
    <w:p w14:paraId="45A41C44" w14:textId="77777777" w:rsidR="000566C0" w:rsidRPr="000566C0" w:rsidRDefault="000566C0" w:rsidP="000566C0">
      <w:pPr>
        <w:rPr>
          <w:i/>
          <w:iCs/>
          <w:u w:val="single"/>
        </w:rPr>
      </w:pPr>
      <w:r w:rsidRPr="000566C0">
        <w:rPr>
          <w:i/>
          <w:iCs/>
          <w:u w:val="single"/>
        </w:rPr>
        <w:t>powerClassNRPart-r16</w:t>
      </w:r>
    </w:p>
    <w:p w14:paraId="02B51217" w14:textId="1FF5A0F3" w:rsidR="00E939F0" w:rsidRDefault="00437C56" w:rsidP="00E939F0">
      <w:r>
        <w:t>T</w:t>
      </w:r>
      <w:r w:rsidR="000566C0">
        <w:t xml:space="preserve">he current spec </w:t>
      </w:r>
      <w:r w:rsidR="00E939F0">
        <w:t xml:space="preserve">UL inter band </w:t>
      </w:r>
      <w:r w:rsidR="000566C0">
        <w:t xml:space="preserve">CA or MR-DC contains up to two different bands within FR1, </w:t>
      </w:r>
      <w:r>
        <w:t xml:space="preserve">so </w:t>
      </w:r>
      <w:r w:rsidR="000566C0">
        <w:t xml:space="preserve">there </w:t>
      </w:r>
      <w:r>
        <w:t>are</w:t>
      </w:r>
      <w:r w:rsidR="000566C0">
        <w:t xml:space="preserve"> no cases </w:t>
      </w:r>
      <w:r>
        <w:t>where</w:t>
      </w:r>
      <w:r w:rsidR="000566C0">
        <w:t xml:space="preserve"> MR-DC includ</w:t>
      </w:r>
      <w:r>
        <w:t>es</w:t>
      </w:r>
      <w:r w:rsidR="000566C0">
        <w:t xml:space="preserve"> UL </w:t>
      </w:r>
      <w:proofErr w:type="spellStart"/>
      <w:r w:rsidR="000566C0">
        <w:t>interband</w:t>
      </w:r>
      <w:proofErr w:type="spellEnd"/>
      <w:r w:rsidR="000566C0">
        <w:t xml:space="preserve"> CA</w:t>
      </w:r>
      <w:r>
        <w:t>,</w:t>
      </w:r>
      <w:r w:rsidR="000566C0">
        <w:t xml:space="preserve"> since </w:t>
      </w:r>
      <w:r>
        <w:t xml:space="preserve">that would </w:t>
      </w:r>
      <w:r w:rsidR="000566C0">
        <w:t xml:space="preserve">require </w:t>
      </w:r>
      <w:r>
        <w:t xml:space="preserve">UL </w:t>
      </w:r>
      <w:r w:rsidR="000566C0">
        <w:t>transmission with three different bands (</w:t>
      </w:r>
      <w:proofErr w:type="gramStart"/>
      <w:r>
        <w:t>i.e.</w:t>
      </w:r>
      <w:proofErr w:type="gramEnd"/>
      <w:r>
        <w:t xml:space="preserve"> </w:t>
      </w:r>
      <w:r w:rsidR="000566C0">
        <w:t xml:space="preserve">one </w:t>
      </w:r>
      <w:r>
        <w:t xml:space="preserve">UL carrier on </w:t>
      </w:r>
      <w:r w:rsidR="000566C0">
        <w:t xml:space="preserve">LTE band and two </w:t>
      </w:r>
      <w:r>
        <w:t xml:space="preserve">UL carriers on </w:t>
      </w:r>
      <w:r w:rsidR="000566C0">
        <w:t xml:space="preserve">NR bands). Hence, </w:t>
      </w:r>
      <w:r>
        <w:t xml:space="preserve">the UE capabilities </w:t>
      </w:r>
      <w:r w:rsidR="00FE3350" w:rsidRPr="00FE3350">
        <w:rPr>
          <w:i/>
          <w:iCs/>
        </w:rPr>
        <w:t>powerClassNRPart-r16</w:t>
      </w:r>
      <w:r w:rsidR="00FE3350">
        <w:t xml:space="preserve"> and </w:t>
      </w:r>
      <w:r w:rsidR="00FE3350" w:rsidRPr="00FE3350">
        <w:rPr>
          <w:i/>
          <w:iCs/>
        </w:rPr>
        <w:t>ue-PowerClassPerBandPerBC-r17</w:t>
      </w:r>
      <w:r w:rsidR="00FE3350">
        <w:t xml:space="preserve"> are </w:t>
      </w:r>
      <w:r>
        <w:t xml:space="preserve">mutually </w:t>
      </w:r>
      <w:r w:rsidR="00FE3350">
        <w:t>exclusive.</w:t>
      </w:r>
    </w:p>
    <w:p w14:paraId="60A71ACF" w14:textId="13DD66BF" w:rsidR="00EE283A" w:rsidRDefault="00EE283A" w:rsidP="00EE283A">
      <w:r w:rsidRPr="00EE283A">
        <w:rPr>
          <w:b/>
          <w:bCs/>
        </w:rPr>
        <w:t xml:space="preserve">Observation </w:t>
      </w:r>
      <w:r>
        <w:rPr>
          <w:b/>
          <w:bCs/>
        </w:rPr>
        <w:t>2</w:t>
      </w:r>
      <w:r w:rsidRPr="00EE283A">
        <w:rPr>
          <w:b/>
          <w:bCs/>
        </w:rPr>
        <w:t>:</w:t>
      </w:r>
      <w:r>
        <w:t xml:space="preserve"> </w:t>
      </w:r>
      <w:r w:rsidR="00437C56">
        <w:t xml:space="preserve">The UE capabilities </w:t>
      </w:r>
      <w:r w:rsidRPr="00FE3350">
        <w:rPr>
          <w:i/>
          <w:iCs/>
        </w:rPr>
        <w:t>ue-PowerClassPerBandPerBC-r17</w:t>
      </w:r>
      <w:r>
        <w:t xml:space="preserve"> and</w:t>
      </w:r>
      <w:r w:rsidRPr="00EE283A">
        <w:rPr>
          <w:i/>
          <w:iCs/>
        </w:rPr>
        <w:t xml:space="preserve"> </w:t>
      </w:r>
      <w:r w:rsidRPr="00FE3350">
        <w:rPr>
          <w:i/>
          <w:iCs/>
        </w:rPr>
        <w:t>powerClassNRPart-r16</w:t>
      </w:r>
      <w:r>
        <w:t xml:space="preserve"> are </w:t>
      </w:r>
      <w:r w:rsidR="00437C56">
        <w:t xml:space="preserve">mutually </w:t>
      </w:r>
      <w:r>
        <w:t>exclusive</w:t>
      </w:r>
      <w:r w:rsidR="00437C56">
        <w:t xml:space="preserve"> (</w:t>
      </w:r>
      <w:proofErr w:type="gramStart"/>
      <w:r w:rsidR="00437C56">
        <w:t>i.e.</w:t>
      </w:r>
      <w:proofErr w:type="gramEnd"/>
      <w:r w:rsidR="00437C56">
        <w:t xml:space="preserve"> they are never used in the same band combination)</w:t>
      </w:r>
      <w:r>
        <w:t>.</w:t>
      </w:r>
    </w:p>
    <w:p w14:paraId="5C004CA4" w14:textId="5C19DCC0" w:rsidR="00E939F0" w:rsidRDefault="00FE3350" w:rsidP="00E939F0">
      <w:pPr>
        <w:rPr>
          <w:i/>
          <w:iCs/>
          <w:u w:val="single"/>
        </w:rPr>
      </w:pPr>
      <w:proofErr w:type="spellStart"/>
      <w:r w:rsidRPr="00FE3350">
        <w:rPr>
          <w:i/>
          <w:iCs/>
          <w:u w:val="single"/>
        </w:rPr>
        <w:t>ue-PowerClass</w:t>
      </w:r>
      <w:proofErr w:type="spellEnd"/>
      <w:r w:rsidRPr="00FE3350">
        <w:rPr>
          <w:i/>
          <w:iCs/>
          <w:u w:val="single"/>
        </w:rPr>
        <w:t>, ue-PowerClass-v1610, ue-PowerClass-v1700</w:t>
      </w:r>
      <w:r w:rsidR="00E939F0">
        <w:rPr>
          <w:i/>
          <w:iCs/>
          <w:u w:val="single"/>
        </w:rPr>
        <w:t xml:space="preserve">, </w:t>
      </w:r>
      <w:r w:rsidR="00E939F0" w:rsidRPr="008D1045">
        <w:rPr>
          <w:i/>
          <w:iCs/>
          <w:u w:val="single"/>
        </w:rPr>
        <w:t>powerClass-v1530</w:t>
      </w:r>
      <w:r w:rsidR="00E939F0">
        <w:rPr>
          <w:i/>
          <w:iCs/>
          <w:u w:val="single"/>
        </w:rPr>
        <w:t xml:space="preserve"> and </w:t>
      </w:r>
      <w:r w:rsidR="00E939F0" w:rsidRPr="00E939F0">
        <w:rPr>
          <w:i/>
          <w:iCs/>
          <w:u w:val="single"/>
        </w:rPr>
        <w:t>powerClass-v1610</w:t>
      </w:r>
    </w:p>
    <w:p w14:paraId="673692B5" w14:textId="3BD4EA7E" w:rsidR="00437C56" w:rsidRPr="00760927" w:rsidRDefault="00437C56" w:rsidP="00E939F0">
      <w:pPr>
        <w:rPr>
          <w:u w:val="single"/>
        </w:rPr>
      </w:pPr>
      <w:r>
        <w:rPr>
          <w:u w:val="single"/>
        </w:rPr>
        <w:t>The Figure 1 below illustrates the relations between the other power class parameters for the example case of intra-band UL CA_n3-n78.</w:t>
      </w:r>
    </w:p>
    <w:p w14:paraId="09877D25" w14:textId="60257837" w:rsidR="00E939F0" w:rsidRDefault="00BA5C7E" w:rsidP="00442A04">
      <w:pPr>
        <w:spacing w:before="120" w:after="0"/>
        <w:contextualSpacing/>
        <w:jc w:val="center"/>
      </w:pPr>
      <w:r>
        <w:rPr>
          <w:noProof/>
        </w:rPr>
        <w:drawing>
          <wp:inline distT="0" distB="0" distL="0" distR="0" wp14:anchorId="4280CDB5" wp14:editId="4B6E43A2">
            <wp:extent cx="6112510" cy="101219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18F83" w14:textId="2D2C3DAE" w:rsidR="00442A04" w:rsidRPr="00EE283A" w:rsidRDefault="00442A04" w:rsidP="00442A04">
      <w:pPr>
        <w:spacing w:before="240" w:after="120"/>
        <w:contextualSpacing/>
        <w:jc w:val="center"/>
        <w:rPr>
          <w:sz w:val="18"/>
          <w:szCs w:val="18"/>
        </w:rPr>
      </w:pPr>
      <w:r w:rsidRPr="00EE283A">
        <w:rPr>
          <w:rFonts w:ascii="Arial" w:hAnsi="Arial" w:cs="Arial"/>
          <w:sz w:val="18"/>
          <w:szCs w:val="18"/>
        </w:rPr>
        <w:t xml:space="preserve">Figure 1: </w:t>
      </w:r>
      <w:r w:rsidR="00EE283A" w:rsidRPr="00EE283A">
        <w:rPr>
          <w:rFonts w:ascii="Arial" w:hAnsi="Arial" w:cs="Arial"/>
          <w:sz w:val="18"/>
          <w:szCs w:val="18"/>
        </w:rPr>
        <w:t>R</w:t>
      </w:r>
      <w:r w:rsidRPr="00EE283A">
        <w:rPr>
          <w:rFonts w:ascii="Arial" w:hAnsi="Arial" w:cs="Arial"/>
          <w:sz w:val="18"/>
          <w:szCs w:val="18"/>
        </w:rPr>
        <w:t xml:space="preserve">elation between PCs outside and inside </w:t>
      </w:r>
      <w:r w:rsidR="00EE283A">
        <w:rPr>
          <w:rFonts w:ascii="Arial" w:hAnsi="Arial" w:cs="Arial"/>
          <w:i/>
          <w:iCs/>
          <w:sz w:val="18"/>
          <w:szCs w:val="18"/>
        </w:rPr>
        <w:t xml:space="preserve">R4 16-8 </w:t>
      </w:r>
      <w:r w:rsidR="00EE283A" w:rsidRPr="00760927">
        <w:rPr>
          <w:rFonts w:ascii="Arial" w:hAnsi="Arial" w:cs="Arial"/>
          <w:sz w:val="18"/>
          <w:szCs w:val="18"/>
        </w:rPr>
        <w:t xml:space="preserve">for CA_n3-n78 where n3 </w:t>
      </w:r>
      <w:r w:rsidR="00437C56">
        <w:rPr>
          <w:rFonts w:ascii="Arial" w:hAnsi="Arial" w:cs="Arial"/>
          <w:sz w:val="18"/>
          <w:szCs w:val="18"/>
        </w:rPr>
        <w:t xml:space="preserve">always uses </w:t>
      </w:r>
      <w:r w:rsidR="00EE283A" w:rsidRPr="00760927">
        <w:rPr>
          <w:rFonts w:ascii="Arial" w:hAnsi="Arial" w:cs="Arial"/>
          <w:sz w:val="18"/>
          <w:szCs w:val="18"/>
        </w:rPr>
        <w:t>PC</w:t>
      </w:r>
      <w:r w:rsidR="00437C56">
        <w:rPr>
          <w:rFonts w:ascii="Arial" w:hAnsi="Arial" w:cs="Arial"/>
          <w:sz w:val="18"/>
          <w:szCs w:val="18"/>
        </w:rPr>
        <w:t>3</w:t>
      </w:r>
      <w:r w:rsidR="00EE283A" w:rsidRPr="00EE283A">
        <w:rPr>
          <w:rFonts w:ascii="Arial" w:hAnsi="Arial" w:cs="Arial"/>
          <w:i/>
          <w:iCs/>
          <w:sz w:val="18"/>
          <w:szCs w:val="18"/>
        </w:rPr>
        <w:t>.</w:t>
      </w:r>
    </w:p>
    <w:p w14:paraId="7B9EDF03" w14:textId="192228B5" w:rsidR="00BA5C7E" w:rsidRDefault="00442A04" w:rsidP="00442A04">
      <w:pPr>
        <w:spacing w:before="240" w:after="120"/>
        <w:contextualSpacing/>
      </w:pPr>
      <w:r>
        <w:br/>
      </w:r>
      <w:r w:rsidR="00BA5C7E">
        <w:t xml:space="preserve">Regarding example 1 and 2, both </w:t>
      </w:r>
      <w:r w:rsidR="00437C56">
        <w:t xml:space="preserve">UE </w:t>
      </w:r>
      <w:r w:rsidR="00BA5C7E">
        <w:t>power classes for non-CA and Intra</w:t>
      </w:r>
      <w:r w:rsidR="00437C56">
        <w:t>-band</w:t>
      </w:r>
      <w:r w:rsidR="00BA5C7E">
        <w:t xml:space="preserve"> UL CA change from 1.5</w:t>
      </w:r>
      <w:r>
        <w:t xml:space="preserve"> or 3</w:t>
      </w:r>
      <w:r w:rsidR="00BA5C7E">
        <w:t xml:space="preserve"> to 2</w:t>
      </w:r>
      <w:r>
        <w:t xml:space="preserve"> or 3</w:t>
      </w:r>
      <w:r w:rsidR="00BA5C7E">
        <w:t>,</w:t>
      </w:r>
      <w:r>
        <w:t xml:space="preserve"> respectively. If this rule applies to all the patterns, then, we just follow a </w:t>
      </w:r>
      <w:r w:rsidRPr="00442A04">
        <w:t xml:space="preserve">way </w:t>
      </w:r>
      <w:r w:rsidRPr="00442A04">
        <w:rPr>
          <w:i/>
          <w:iCs/>
        </w:rPr>
        <w:t>powerClassNRPart-r16</w:t>
      </w:r>
      <w:r w:rsidRPr="00442A04">
        <w:t>, i.e.,</w:t>
      </w:r>
      <w:r>
        <w:t xml:space="preserve"> a common power class across non-</w:t>
      </w:r>
      <w:proofErr w:type="gramStart"/>
      <w:r>
        <w:t>CA</w:t>
      </w:r>
      <w:r w:rsidR="00213E7C">
        <w:t>(</w:t>
      </w:r>
      <w:proofErr w:type="gramEnd"/>
      <w:r w:rsidR="00213E7C">
        <w:t>single carrier per single band)</w:t>
      </w:r>
      <w:r>
        <w:t xml:space="preserve"> and intra UL CA inside</w:t>
      </w:r>
      <w:r w:rsidRPr="00442A04">
        <w:rPr>
          <w:i/>
          <w:iCs/>
        </w:rPr>
        <w:t xml:space="preserve"> powerClassNRPart-r16</w:t>
      </w:r>
      <w:r w:rsidR="00EE283A">
        <w:rPr>
          <w:i/>
          <w:iCs/>
        </w:rPr>
        <w:t xml:space="preserve"> </w:t>
      </w:r>
      <w:r w:rsidR="00EE283A">
        <w:t>as show in Figure 2.</w:t>
      </w:r>
    </w:p>
    <w:p w14:paraId="40D26D7D" w14:textId="0F32E05C" w:rsidR="00EE283A" w:rsidRDefault="00EE283A" w:rsidP="00442A04">
      <w:pPr>
        <w:spacing w:before="240" w:after="120"/>
        <w:contextualSpacing/>
      </w:pPr>
      <w:r>
        <w:rPr>
          <w:noProof/>
        </w:rPr>
        <w:lastRenderedPageBreak/>
        <w:drawing>
          <wp:inline distT="0" distB="0" distL="0" distR="0" wp14:anchorId="2DD5D149" wp14:editId="7ECAA945">
            <wp:extent cx="6116955" cy="923925"/>
            <wp:effectExtent l="19050" t="19050" r="17145" b="285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923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318A05" w14:textId="05C80A62" w:rsidR="00EE283A" w:rsidRPr="00EE283A" w:rsidRDefault="00EE283A" w:rsidP="00EE283A">
      <w:pPr>
        <w:spacing w:before="240" w:after="120"/>
        <w:contextualSpacing/>
        <w:jc w:val="center"/>
        <w:rPr>
          <w:rFonts w:ascii="Arial" w:hAnsi="Arial" w:cs="Arial"/>
        </w:rPr>
      </w:pPr>
      <w:r w:rsidRPr="00EE283A">
        <w:rPr>
          <w:rFonts w:ascii="Arial" w:hAnsi="Arial" w:cs="Arial"/>
        </w:rPr>
        <w:t xml:space="preserve">Figure 2: Extract of </w:t>
      </w:r>
      <w:r w:rsidRPr="00EE283A">
        <w:rPr>
          <w:rFonts w:ascii="Arial" w:hAnsi="Arial" w:cs="Arial"/>
          <w:i/>
          <w:iCs/>
        </w:rPr>
        <w:t xml:space="preserve">powerClassNRPart-r16 </w:t>
      </w:r>
      <w:r w:rsidRPr="00EE283A">
        <w:rPr>
          <w:rFonts w:ascii="Arial" w:hAnsi="Arial" w:cs="Arial"/>
        </w:rPr>
        <w:t>in 38.331</w:t>
      </w:r>
    </w:p>
    <w:p w14:paraId="2680BE85" w14:textId="7CB77E88" w:rsidR="00442A04" w:rsidRDefault="00BA5C7E" w:rsidP="00E939F0">
      <w:pPr>
        <w:spacing w:before="240" w:after="120"/>
        <w:contextualSpacing/>
      </w:pPr>
      <w:r>
        <w:t xml:space="preserve">With respect to example </w:t>
      </w:r>
      <w:r w:rsidR="00442A04">
        <w:t>3 and 4</w:t>
      </w:r>
      <w:r>
        <w:t xml:space="preserve">, </w:t>
      </w:r>
      <w:r w:rsidR="00442A04">
        <w:t>theoretically, it is possible for UE vendors to implement different power classes for non-CA and intra</w:t>
      </w:r>
      <w:r w:rsidR="007A4AF0">
        <w:t>-band</w:t>
      </w:r>
      <w:r w:rsidR="00442A04">
        <w:t xml:space="preserve"> UL CA inside </w:t>
      </w:r>
      <w:r w:rsidR="00442A04" w:rsidRPr="00FE3350">
        <w:rPr>
          <w:i/>
          <w:iCs/>
        </w:rPr>
        <w:t>ue-PowerClassPerBandPerBC-r17</w:t>
      </w:r>
      <w:r w:rsidR="00442A04">
        <w:t xml:space="preserve"> while it would be less likely and it requires more complicated signalling meaning that the signalling structure must allow different power classes for non-CA and intra</w:t>
      </w:r>
      <w:r w:rsidR="007A4AF0">
        <w:t>-band</w:t>
      </w:r>
      <w:r w:rsidR="00442A04">
        <w:t xml:space="preserve"> UL CA, respectively inside </w:t>
      </w:r>
      <w:r w:rsidR="00442A04" w:rsidRPr="00FE3350">
        <w:rPr>
          <w:i/>
          <w:iCs/>
        </w:rPr>
        <w:t>ue-PowerClassPerBandPerBC-r17</w:t>
      </w:r>
      <w:r w:rsidR="00442A04">
        <w:t>.</w:t>
      </w:r>
    </w:p>
    <w:p w14:paraId="6C1A8412" w14:textId="1F92300F" w:rsidR="00EE283A" w:rsidRDefault="00EE283A" w:rsidP="00EE283A">
      <w:r>
        <w:t xml:space="preserve">Overall, the signalling structure of </w:t>
      </w:r>
      <w:r w:rsidRPr="00FE3350">
        <w:rPr>
          <w:i/>
          <w:iCs/>
        </w:rPr>
        <w:t>ue-PowerClassPerBandPerBC-r17</w:t>
      </w:r>
      <w:r>
        <w:rPr>
          <w:i/>
          <w:iCs/>
        </w:rPr>
        <w:t xml:space="preserve"> </w:t>
      </w:r>
      <w:r w:rsidRPr="00EE283A">
        <w:t xml:space="preserve">must be the same as that of </w:t>
      </w:r>
      <w:r w:rsidRPr="00442A04">
        <w:rPr>
          <w:i/>
          <w:iCs/>
        </w:rPr>
        <w:t>powerClassNRPart-r16</w:t>
      </w:r>
      <w:r>
        <w:t xml:space="preserve"> as </w:t>
      </w:r>
      <w:r w:rsidR="000D4BA0">
        <w:t xml:space="preserve">the power class of one of the UL inter band CA changes outside and inside </w:t>
      </w:r>
      <w:r w:rsidR="000D4BA0" w:rsidRPr="00FE3350">
        <w:rPr>
          <w:i/>
          <w:iCs/>
        </w:rPr>
        <w:t>ue-PowerClassPerBandPerBC-r17</w:t>
      </w:r>
      <w:r w:rsidR="000D4BA0" w:rsidRPr="000D4BA0">
        <w:t>.</w:t>
      </w:r>
    </w:p>
    <w:p w14:paraId="58718450" w14:textId="19D5433F" w:rsidR="00EE283A" w:rsidRDefault="00EE283A" w:rsidP="00EE283A">
      <w:r w:rsidRPr="00EE283A">
        <w:rPr>
          <w:b/>
          <w:bCs/>
        </w:rPr>
        <w:t xml:space="preserve">Observation </w:t>
      </w:r>
      <w:r>
        <w:rPr>
          <w:b/>
          <w:bCs/>
        </w:rPr>
        <w:t>3</w:t>
      </w:r>
      <w:r w:rsidRPr="00EE283A">
        <w:rPr>
          <w:b/>
          <w:bCs/>
        </w:rPr>
        <w:t>:</w:t>
      </w:r>
      <w:r>
        <w:t xml:space="preserve"> A signalling structure </w:t>
      </w:r>
      <w:r w:rsidRPr="00FE3350">
        <w:rPr>
          <w:i/>
          <w:iCs/>
        </w:rPr>
        <w:t>ue-PowerClassPerBandPerBC-r17</w:t>
      </w:r>
      <w:r>
        <w:t xml:space="preserve"> </w:t>
      </w:r>
      <w:r w:rsidR="000D4BA0">
        <w:t>should be</w:t>
      </w:r>
      <w:r>
        <w:t xml:space="preserve"> the same as that of </w:t>
      </w:r>
      <w:r w:rsidRPr="00FE3350">
        <w:rPr>
          <w:i/>
          <w:iCs/>
        </w:rPr>
        <w:t>powerClassNRPart-r16</w:t>
      </w:r>
      <w:r w:rsidR="00437C56">
        <w:t>,</w:t>
      </w:r>
      <w:r>
        <w:t xml:space="preserve"> meaning that the power class non-CA and</w:t>
      </w:r>
      <w:r w:rsidR="000D4BA0">
        <w:t xml:space="preserve"> intra</w:t>
      </w:r>
      <w:r w:rsidR="00437C56">
        <w:t>-band</w:t>
      </w:r>
      <w:r w:rsidR="000D4BA0">
        <w:t xml:space="preserve"> UL CA are the same</w:t>
      </w:r>
      <w:r w:rsidR="000D4BA0" w:rsidRPr="000D4BA0">
        <w:t xml:space="preserve"> </w:t>
      </w:r>
      <w:r w:rsidR="000D4BA0">
        <w:t xml:space="preserve">inside </w:t>
      </w:r>
      <w:r w:rsidR="000D4BA0" w:rsidRPr="00FE3350">
        <w:rPr>
          <w:i/>
          <w:iCs/>
        </w:rPr>
        <w:t>ue-PowerClassPerBandPerBC-r17</w:t>
      </w:r>
      <w:r w:rsidR="000D4BA0" w:rsidRPr="000D4BA0">
        <w:t>.</w:t>
      </w:r>
    </w:p>
    <w:p w14:paraId="2D08301A" w14:textId="784A88E4" w:rsidR="003F5D2D" w:rsidRDefault="009B1ED6" w:rsidP="000D4BA0">
      <w:r>
        <w:t>Finally, there are cases</w:t>
      </w:r>
      <w:r w:rsidR="003F5D2D">
        <w:t xml:space="preserve"> that power classes for different bands outside </w:t>
      </w:r>
      <w:r w:rsidR="003F5D2D" w:rsidRPr="00FE3350">
        <w:rPr>
          <w:i/>
          <w:iCs/>
        </w:rPr>
        <w:t>ue-PowerClassPerBandPerBC-r17</w:t>
      </w:r>
      <w:r w:rsidR="003F5D2D">
        <w:rPr>
          <w:i/>
          <w:iCs/>
        </w:rPr>
        <w:t xml:space="preserve"> can change when </w:t>
      </w:r>
      <w:r w:rsidR="000D4BA0">
        <w:t>inter</w:t>
      </w:r>
      <w:r w:rsidR="00437C56">
        <w:t>-</w:t>
      </w:r>
      <w:r w:rsidR="000D4BA0">
        <w:t>band UL CA</w:t>
      </w:r>
      <w:r w:rsidR="003F5D2D">
        <w:t xml:space="preserve"> are configured with the UE.</w:t>
      </w:r>
    </w:p>
    <w:p w14:paraId="50A44E5A" w14:textId="77777777" w:rsidR="003F5D2D" w:rsidRDefault="003F5D2D" w:rsidP="003F5D2D">
      <w:pPr>
        <w:jc w:val="center"/>
      </w:pPr>
      <w:r>
        <w:rPr>
          <w:noProof/>
        </w:rPr>
        <w:drawing>
          <wp:inline distT="0" distB="0" distL="0" distR="0" wp14:anchorId="2E5A21D0" wp14:editId="10F22B0E">
            <wp:extent cx="6108700" cy="685800"/>
            <wp:effectExtent l="19050" t="19050" r="2540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85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9BE457" w14:textId="64010159" w:rsidR="003F5D2D" w:rsidRPr="00EE283A" w:rsidRDefault="003F5D2D" w:rsidP="003F5D2D">
      <w:pPr>
        <w:spacing w:before="240" w:after="120"/>
        <w:contextualSpacing/>
        <w:jc w:val="center"/>
        <w:rPr>
          <w:sz w:val="18"/>
          <w:szCs w:val="18"/>
        </w:rPr>
      </w:pPr>
      <w:r w:rsidRPr="00EE283A">
        <w:rPr>
          <w:rFonts w:ascii="Arial" w:hAnsi="Arial" w:cs="Arial"/>
          <w:sz w:val="18"/>
          <w:szCs w:val="18"/>
        </w:rPr>
        <w:t xml:space="preserve">Figure </w:t>
      </w:r>
      <w:r>
        <w:rPr>
          <w:rFonts w:ascii="Arial" w:hAnsi="Arial" w:cs="Arial"/>
          <w:sz w:val="18"/>
          <w:szCs w:val="18"/>
        </w:rPr>
        <w:t>3</w:t>
      </w:r>
      <w:r w:rsidRPr="00EE283A">
        <w:rPr>
          <w:rFonts w:ascii="Arial" w:hAnsi="Arial" w:cs="Arial"/>
          <w:sz w:val="18"/>
          <w:szCs w:val="18"/>
        </w:rPr>
        <w:t xml:space="preserve">: Relation between PCs outside and inside </w:t>
      </w:r>
      <w:r>
        <w:rPr>
          <w:rFonts w:ascii="Arial" w:hAnsi="Arial" w:cs="Arial"/>
          <w:i/>
          <w:iCs/>
          <w:sz w:val="18"/>
          <w:szCs w:val="18"/>
        </w:rPr>
        <w:t xml:space="preserve">R4 16-8 </w:t>
      </w:r>
      <w:r w:rsidRPr="0072572D">
        <w:rPr>
          <w:rFonts w:ascii="Arial" w:hAnsi="Arial" w:cs="Arial"/>
          <w:sz w:val="18"/>
          <w:szCs w:val="18"/>
        </w:rPr>
        <w:t>for CA_n</w:t>
      </w:r>
      <w:r>
        <w:rPr>
          <w:rFonts w:ascii="Arial" w:hAnsi="Arial" w:cs="Arial"/>
          <w:sz w:val="18"/>
          <w:szCs w:val="18"/>
        </w:rPr>
        <w:t>41</w:t>
      </w:r>
      <w:r w:rsidRPr="0072572D">
        <w:rPr>
          <w:rFonts w:ascii="Arial" w:hAnsi="Arial" w:cs="Arial"/>
          <w:sz w:val="18"/>
          <w:szCs w:val="18"/>
        </w:rPr>
        <w:t>-n78</w:t>
      </w:r>
    </w:p>
    <w:p w14:paraId="06A1E006" w14:textId="636C505C" w:rsidR="000D4BA0" w:rsidRPr="003F5D2D" w:rsidRDefault="003F5D2D" w:rsidP="003F5D2D">
      <w:r>
        <w:t xml:space="preserve">In this example 5, </w:t>
      </w:r>
      <w:r w:rsidR="000D4BA0">
        <w:t>it is expected that both bands support 2Tx chains</w:t>
      </w:r>
      <w:r>
        <w:t xml:space="preserve"> due to </w:t>
      </w:r>
      <w:proofErr w:type="spellStart"/>
      <w:r>
        <w:t>TxD</w:t>
      </w:r>
      <w:proofErr w:type="spellEnd"/>
      <w:r>
        <w:t xml:space="preserve"> support</w:t>
      </w:r>
      <w:r w:rsidR="000D4BA0">
        <w:t xml:space="preserve">, respectively. Assume that a UE supports n41 PC2 and n78 PC1.5 for non-CA and each of the bands supports </w:t>
      </w:r>
      <w:proofErr w:type="spellStart"/>
      <w:r w:rsidR="000D4BA0">
        <w:t>TxD</w:t>
      </w:r>
      <w:proofErr w:type="spellEnd"/>
      <w:r w:rsidR="000D4BA0">
        <w:t>. When UL inter band UL CA is used, each of the power classes can be PC3 and PC2, respectively.</w:t>
      </w:r>
      <w:r w:rsidR="00B32A96">
        <w:t xml:space="preserve"> In this case, the UE shall have a way to signal the respective power classes for n41 and n78 inside </w:t>
      </w:r>
      <w:r w:rsidR="00B32A96" w:rsidRPr="00FE3350">
        <w:rPr>
          <w:i/>
          <w:iCs/>
        </w:rPr>
        <w:t>ue-PowerClassPerBandPerBC-r17</w:t>
      </w:r>
      <w:r w:rsidR="00B32A96">
        <w:t>.</w:t>
      </w:r>
      <w:r>
        <w:t xml:space="preserve"> Though this is not covered by </w:t>
      </w:r>
      <w:r w:rsidRPr="00760927">
        <w:rPr>
          <w:i/>
          <w:iCs/>
        </w:rPr>
        <w:t>powerClassNRPart-r16</w:t>
      </w:r>
      <w:r w:rsidRPr="00760927">
        <w:t xml:space="preserve">, </w:t>
      </w:r>
      <w:r>
        <w:t xml:space="preserve">unlike </w:t>
      </w:r>
      <w:r w:rsidRPr="0072572D">
        <w:rPr>
          <w:i/>
          <w:iCs/>
        </w:rPr>
        <w:t>powerClassNRPart-r16</w:t>
      </w:r>
      <w:r w:rsidRPr="00760927">
        <w:t xml:space="preserve"> defined per BC, </w:t>
      </w:r>
      <w:r w:rsidRPr="00FE3350">
        <w:rPr>
          <w:i/>
          <w:iCs/>
        </w:rPr>
        <w:t>ue-PowerClassPerBandPerBC-r17</w:t>
      </w:r>
      <w:r>
        <w:rPr>
          <w:i/>
          <w:iCs/>
        </w:rPr>
        <w:t xml:space="preserve"> </w:t>
      </w:r>
      <w:r>
        <w:t>is defined per FS so that it can be already covered.</w:t>
      </w:r>
    </w:p>
    <w:p w14:paraId="03CCF40E" w14:textId="353636C3" w:rsidR="00733FCB" w:rsidRDefault="000D4BA0" w:rsidP="001B0CBF">
      <w:r w:rsidRPr="00EE283A">
        <w:rPr>
          <w:b/>
          <w:bCs/>
        </w:rPr>
        <w:t xml:space="preserve">Observation </w:t>
      </w:r>
      <w:r>
        <w:rPr>
          <w:b/>
          <w:bCs/>
        </w:rPr>
        <w:t>4</w:t>
      </w:r>
      <w:r w:rsidRPr="00EE283A">
        <w:rPr>
          <w:b/>
          <w:bCs/>
        </w:rPr>
        <w:t>:</w:t>
      </w:r>
      <w:r>
        <w:t xml:space="preserve"> There is a possibility that power classes for both bands may change before and after inter band UL CA configuration. This is not covered by </w:t>
      </w:r>
      <w:r w:rsidRPr="00442A04">
        <w:rPr>
          <w:i/>
          <w:iCs/>
        </w:rPr>
        <w:t>powerClassNRPart-r16</w:t>
      </w:r>
      <w:r w:rsidR="003F5D2D">
        <w:rPr>
          <w:i/>
          <w:iCs/>
        </w:rPr>
        <w:t xml:space="preserve"> </w:t>
      </w:r>
      <w:r w:rsidR="003F5D2D" w:rsidRPr="00760927">
        <w:t>defined per BC while it is covered by</w:t>
      </w:r>
      <w:r w:rsidR="003F5D2D">
        <w:rPr>
          <w:i/>
          <w:iCs/>
        </w:rPr>
        <w:t xml:space="preserve"> </w:t>
      </w:r>
      <w:r w:rsidR="003F5D2D" w:rsidRPr="00FE3350">
        <w:rPr>
          <w:i/>
          <w:iCs/>
        </w:rPr>
        <w:t>ue-PowerClassPerBandPerBC-r17</w:t>
      </w:r>
      <w:r w:rsidR="003F5D2D">
        <w:rPr>
          <w:i/>
          <w:iCs/>
        </w:rPr>
        <w:t xml:space="preserve"> </w:t>
      </w:r>
      <w:r w:rsidR="003F5D2D" w:rsidRPr="00760927">
        <w:t>defined per FS</w:t>
      </w:r>
      <w:r w:rsidRPr="003F5D2D">
        <w:t>.</w:t>
      </w:r>
    </w:p>
    <w:p w14:paraId="4063B845" w14:textId="11BCCC32" w:rsidR="00276F69" w:rsidRDefault="001B0CBF" w:rsidP="00276F69">
      <w:pPr>
        <w:pStyle w:val="Heading1"/>
      </w:pPr>
      <w:r>
        <w:t>3</w:t>
      </w:r>
      <w:r w:rsidR="00276F69">
        <w:tab/>
        <w:t>Conclusion</w:t>
      </w:r>
    </w:p>
    <w:p w14:paraId="2CC3EB03" w14:textId="05B9D0FE" w:rsidR="00213E7C" w:rsidRDefault="00213E7C" w:rsidP="00213E7C">
      <w:r w:rsidRPr="00EE283A">
        <w:rPr>
          <w:b/>
          <w:bCs/>
        </w:rPr>
        <w:t>Observation 1:</w:t>
      </w:r>
      <w:r>
        <w:t xml:space="preserve"> </w:t>
      </w:r>
      <w:r w:rsidRPr="00FE3350">
        <w:rPr>
          <w:i/>
          <w:iCs/>
        </w:rPr>
        <w:t>ue-PowerClassPerBandPerBC-r17</w:t>
      </w:r>
      <w:r>
        <w:t xml:space="preserve"> is only applicable to inter-band CA.</w:t>
      </w:r>
    </w:p>
    <w:p w14:paraId="63D574DA" w14:textId="77777777" w:rsidR="00213E7C" w:rsidRDefault="00213E7C" w:rsidP="00213E7C">
      <w:r w:rsidRPr="00EE283A">
        <w:rPr>
          <w:b/>
          <w:bCs/>
        </w:rPr>
        <w:t xml:space="preserve">Observation </w:t>
      </w:r>
      <w:r>
        <w:rPr>
          <w:b/>
          <w:bCs/>
        </w:rPr>
        <w:t>2</w:t>
      </w:r>
      <w:r w:rsidRPr="00EE283A">
        <w:rPr>
          <w:b/>
          <w:bCs/>
        </w:rPr>
        <w:t>:</w:t>
      </w:r>
      <w:r>
        <w:t xml:space="preserve"> The UE capabilities </w:t>
      </w:r>
      <w:r w:rsidRPr="00FE3350">
        <w:rPr>
          <w:i/>
          <w:iCs/>
        </w:rPr>
        <w:t>ue-PowerClassPerBandPerBC-r17</w:t>
      </w:r>
      <w:r>
        <w:t xml:space="preserve"> and</w:t>
      </w:r>
      <w:r w:rsidRPr="00EE283A">
        <w:rPr>
          <w:i/>
          <w:iCs/>
        </w:rPr>
        <w:t xml:space="preserve"> </w:t>
      </w:r>
      <w:r w:rsidRPr="00FE3350">
        <w:rPr>
          <w:i/>
          <w:iCs/>
        </w:rPr>
        <w:t>powerClassNRPart-r16</w:t>
      </w:r>
      <w:r>
        <w:t xml:space="preserve"> are mutually exclusive (</w:t>
      </w:r>
      <w:proofErr w:type="gramStart"/>
      <w:r>
        <w:t>i.e.</w:t>
      </w:r>
      <w:proofErr w:type="gramEnd"/>
      <w:r>
        <w:t xml:space="preserve"> they are never used in the same band combination).</w:t>
      </w:r>
    </w:p>
    <w:p w14:paraId="2DE81038" w14:textId="77777777" w:rsidR="00213E7C" w:rsidRDefault="00213E7C" w:rsidP="00213E7C">
      <w:r w:rsidRPr="00EE283A">
        <w:rPr>
          <w:b/>
          <w:bCs/>
        </w:rPr>
        <w:t xml:space="preserve">Observation </w:t>
      </w:r>
      <w:r>
        <w:rPr>
          <w:b/>
          <w:bCs/>
        </w:rPr>
        <w:t>3</w:t>
      </w:r>
      <w:r w:rsidRPr="00EE283A">
        <w:rPr>
          <w:b/>
          <w:bCs/>
        </w:rPr>
        <w:t>:</w:t>
      </w:r>
      <w:r>
        <w:t xml:space="preserve"> A signalling structure </w:t>
      </w:r>
      <w:r w:rsidRPr="00FE3350">
        <w:rPr>
          <w:i/>
          <w:iCs/>
        </w:rPr>
        <w:t>ue-PowerClassPerBandPerBC-r17</w:t>
      </w:r>
      <w:r>
        <w:t xml:space="preserve"> should be the same as that of </w:t>
      </w:r>
      <w:r w:rsidRPr="00FE3350">
        <w:rPr>
          <w:i/>
          <w:iCs/>
        </w:rPr>
        <w:t>powerClassNRPart-r16</w:t>
      </w:r>
      <w:r>
        <w:t>, meaning that the power class non-CA and intra-band UL CA are the same</w:t>
      </w:r>
      <w:r w:rsidRPr="000D4BA0">
        <w:t xml:space="preserve"> </w:t>
      </w:r>
      <w:r>
        <w:t xml:space="preserve">inside </w:t>
      </w:r>
      <w:r w:rsidRPr="00FE3350">
        <w:rPr>
          <w:i/>
          <w:iCs/>
        </w:rPr>
        <w:t>ue-PowerClassPerBandPerBC-r17</w:t>
      </w:r>
      <w:r w:rsidRPr="000D4BA0">
        <w:t>.</w:t>
      </w:r>
    </w:p>
    <w:p w14:paraId="4493594B" w14:textId="5E14AA81" w:rsidR="00213E7C" w:rsidRDefault="00213E7C" w:rsidP="00213E7C">
      <w:r w:rsidRPr="00EE283A">
        <w:rPr>
          <w:b/>
          <w:bCs/>
        </w:rPr>
        <w:t xml:space="preserve">Observation </w:t>
      </w:r>
      <w:r>
        <w:rPr>
          <w:b/>
          <w:bCs/>
        </w:rPr>
        <w:t>4</w:t>
      </w:r>
      <w:r w:rsidRPr="00EE283A">
        <w:rPr>
          <w:b/>
          <w:bCs/>
        </w:rPr>
        <w:t>:</w:t>
      </w:r>
      <w:r>
        <w:t xml:space="preserve"> There is a possibility that power classes for both bands may change before and after inter band UL CA configuration. This is not covered by </w:t>
      </w:r>
      <w:r w:rsidRPr="00442A04">
        <w:rPr>
          <w:i/>
          <w:iCs/>
        </w:rPr>
        <w:t>powerClassNRPart-r16</w:t>
      </w:r>
      <w:r>
        <w:rPr>
          <w:i/>
          <w:iCs/>
        </w:rPr>
        <w:t xml:space="preserve"> </w:t>
      </w:r>
      <w:r w:rsidRPr="00760927">
        <w:t>defined per BC while it is covered by</w:t>
      </w:r>
      <w:r>
        <w:rPr>
          <w:i/>
          <w:iCs/>
        </w:rPr>
        <w:t xml:space="preserve"> </w:t>
      </w:r>
      <w:r w:rsidRPr="00FE3350">
        <w:rPr>
          <w:i/>
          <w:iCs/>
        </w:rPr>
        <w:t>ue-PowerClassPerBandPerBC-r17</w:t>
      </w:r>
      <w:r>
        <w:rPr>
          <w:i/>
          <w:iCs/>
        </w:rPr>
        <w:t xml:space="preserve"> </w:t>
      </w:r>
      <w:r w:rsidRPr="00760927">
        <w:t>defined per FS</w:t>
      </w:r>
      <w:r w:rsidRPr="003F5D2D">
        <w:t>.</w:t>
      </w:r>
    </w:p>
    <w:p w14:paraId="08E8FE59" w14:textId="74A1FDDC" w:rsidR="00F62561" w:rsidRDefault="001B0CBF" w:rsidP="00F62561">
      <w:pPr>
        <w:pStyle w:val="Heading1"/>
      </w:pPr>
      <w:r>
        <w:t>4</w:t>
      </w:r>
      <w:r w:rsidR="00F62561">
        <w:tab/>
        <w:t>References</w:t>
      </w:r>
    </w:p>
    <w:p w14:paraId="478614F1" w14:textId="3191195E" w:rsidR="0063374B" w:rsidRPr="000A1E92" w:rsidRDefault="00DC1B92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DC1B92">
        <w:rPr>
          <w:rFonts w:eastAsia="DengXian"/>
        </w:rPr>
        <w:t>R2-2211023</w:t>
      </w:r>
      <w:r w:rsidR="007E113D" w:rsidRPr="000A1E92">
        <w:rPr>
          <w:rFonts w:eastAsia="DengXian"/>
        </w:rPr>
        <w:t xml:space="preserve">, </w:t>
      </w:r>
      <w:r w:rsidRPr="00DC1B92">
        <w:rPr>
          <w:rFonts w:eastAsia="DengXian"/>
        </w:rPr>
        <w:t>LS on the ue-PowerClassPerBandPerBC-r17(R4 16-8)</w:t>
      </w:r>
      <w:r w:rsidR="007E113D" w:rsidRPr="000A1E92">
        <w:rPr>
          <w:rFonts w:eastAsia="DengXian"/>
        </w:rPr>
        <w:t xml:space="preserve">, </w:t>
      </w:r>
      <w:r>
        <w:rPr>
          <w:rFonts w:eastAsia="DengXian"/>
        </w:rPr>
        <w:t>RAN2</w:t>
      </w:r>
      <w:r w:rsidR="007E113D" w:rsidRPr="000A1E92">
        <w:rPr>
          <w:rFonts w:eastAsia="DengXian"/>
        </w:rPr>
        <w:t>, RAN</w:t>
      </w:r>
      <w:r w:rsidR="00037D62" w:rsidRPr="000A1E92">
        <w:rPr>
          <w:rFonts w:eastAsia="DengXian"/>
        </w:rPr>
        <w:t>2</w:t>
      </w:r>
      <w:r w:rsidR="007E113D" w:rsidRPr="000A1E92">
        <w:rPr>
          <w:rFonts w:eastAsia="DengXian"/>
        </w:rPr>
        <w:t>#1</w:t>
      </w:r>
      <w:r w:rsidR="00037D62" w:rsidRPr="000A1E92">
        <w:rPr>
          <w:rFonts w:eastAsia="DengXian"/>
        </w:rPr>
        <w:t>1</w:t>
      </w:r>
      <w:r>
        <w:rPr>
          <w:rFonts w:eastAsia="DengXian"/>
        </w:rPr>
        <w:t>9-bis</w:t>
      </w:r>
      <w:r w:rsidR="007E113D" w:rsidRPr="000A1E92">
        <w:rPr>
          <w:rFonts w:eastAsia="DengXian"/>
        </w:rPr>
        <w:t>-e</w:t>
      </w:r>
    </w:p>
    <w:sectPr w:rsidR="0063374B" w:rsidRPr="000A1E92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9CDCE" w14:textId="77777777" w:rsidR="004C6605" w:rsidRDefault="004C6605" w:rsidP="002B3503">
      <w:pPr>
        <w:spacing w:after="0"/>
      </w:pPr>
      <w:r>
        <w:separator/>
      </w:r>
    </w:p>
  </w:endnote>
  <w:endnote w:type="continuationSeparator" w:id="0">
    <w:p w14:paraId="240894B8" w14:textId="77777777" w:rsidR="004C6605" w:rsidRDefault="004C660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6C7B" w14:textId="77777777" w:rsidR="004C6605" w:rsidRDefault="004C6605" w:rsidP="002B3503">
      <w:pPr>
        <w:spacing w:after="0"/>
      </w:pPr>
      <w:r>
        <w:separator/>
      </w:r>
    </w:p>
  </w:footnote>
  <w:footnote w:type="continuationSeparator" w:id="0">
    <w:p w14:paraId="0B9DA03F" w14:textId="77777777" w:rsidR="004C6605" w:rsidRDefault="004C660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0E2C46" w:rsidRDefault="000E2C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EA198C"/>
    <w:multiLevelType w:val="hybridMultilevel"/>
    <w:tmpl w:val="F9C6E2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397433"/>
    <w:multiLevelType w:val="hybridMultilevel"/>
    <w:tmpl w:val="82D6B7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70201"/>
    <w:multiLevelType w:val="hybridMultilevel"/>
    <w:tmpl w:val="46F6ACDE"/>
    <w:lvl w:ilvl="0" w:tplc="5C62B8F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10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</w:abstractNum>
  <w:abstractNum w:abstractNumId="21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45715"/>
    <w:multiLevelType w:val="hybridMultilevel"/>
    <w:tmpl w:val="12D60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E73A90"/>
    <w:multiLevelType w:val="hybridMultilevel"/>
    <w:tmpl w:val="5C50FF88"/>
    <w:lvl w:ilvl="0" w:tplc="715E7D3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3"/>
  </w:num>
  <w:num w:numId="4">
    <w:abstractNumId w:val="23"/>
  </w:num>
  <w:num w:numId="5">
    <w:abstractNumId w:val="6"/>
  </w:num>
  <w:num w:numId="6">
    <w:abstractNumId w:val="22"/>
  </w:num>
  <w:num w:numId="7">
    <w:abstractNumId w:val="1"/>
  </w:num>
  <w:num w:numId="8">
    <w:abstractNumId w:val="24"/>
  </w:num>
  <w:num w:numId="9">
    <w:abstractNumId w:val="8"/>
  </w:num>
  <w:num w:numId="10">
    <w:abstractNumId w:val="2"/>
  </w:num>
  <w:num w:numId="11">
    <w:abstractNumId w:val="14"/>
  </w:num>
  <w:num w:numId="12">
    <w:abstractNumId w:val="27"/>
  </w:num>
  <w:num w:numId="13">
    <w:abstractNumId w:val="21"/>
  </w:num>
  <w:num w:numId="14">
    <w:abstractNumId w:val="5"/>
  </w:num>
  <w:num w:numId="15">
    <w:abstractNumId w:val="11"/>
  </w:num>
  <w:num w:numId="16">
    <w:abstractNumId w:val="15"/>
  </w:num>
  <w:num w:numId="17">
    <w:abstractNumId w:val="30"/>
  </w:num>
  <w:num w:numId="18">
    <w:abstractNumId w:val="0"/>
  </w:num>
  <w:num w:numId="19">
    <w:abstractNumId w:val="26"/>
  </w:num>
  <w:num w:numId="20">
    <w:abstractNumId w:val="7"/>
  </w:num>
  <w:num w:numId="21">
    <w:abstractNumId w:val="18"/>
  </w:num>
  <w:num w:numId="22">
    <w:abstractNumId w:val="12"/>
  </w:num>
  <w:num w:numId="23">
    <w:abstractNumId w:val="28"/>
  </w:num>
  <w:num w:numId="24">
    <w:abstractNumId w:val="20"/>
  </w:num>
  <w:num w:numId="25">
    <w:abstractNumId w:val="17"/>
  </w:num>
  <w:num w:numId="26">
    <w:abstractNumId w:val="32"/>
  </w:num>
  <w:num w:numId="27">
    <w:abstractNumId w:val="4"/>
  </w:num>
  <w:num w:numId="28">
    <w:abstractNumId w:val="19"/>
  </w:num>
  <w:num w:numId="29">
    <w:abstractNumId w:val="10"/>
  </w:num>
  <w:num w:numId="30">
    <w:abstractNumId w:val="16"/>
  </w:num>
  <w:num w:numId="31">
    <w:abstractNumId w:val="31"/>
  </w:num>
  <w:num w:numId="32">
    <w:abstractNumId w:val="2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014"/>
    <w:rsid w:val="0000592C"/>
    <w:rsid w:val="000138FC"/>
    <w:rsid w:val="00023AC5"/>
    <w:rsid w:val="00033B55"/>
    <w:rsid w:val="00037D62"/>
    <w:rsid w:val="000566C0"/>
    <w:rsid w:val="00057D24"/>
    <w:rsid w:val="00060CBC"/>
    <w:rsid w:val="00060D78"/>
    <w:rsid w:val="000628D7"/>
    <w:rsid w:val="0007321B"/>
    <w:rsid w:val="00091F0B"/>
    <w:rsid w:val="00094D3A"/>
    <w:rsid w:val="00097429"/>
    <w:rsid w:val="000A1E92"/>
    <w:rsid w:val="000A6473"/>
    <w:rsid w:val="000A754F"/>
    <w:rsid w:val="000B1EEE"/>
    <w:rsid w:val="000B4E56"/>
    <w:rsid w:val="000B5E8E"/>
    <w:rsid w:val="000D4BA0"/>
    <w:rsid w:val="000E2C46"/>
    <w:rsid w:val="000F2546"/>
    <w:rsid w:val="000F50EC"/>
    <w:rsid w:val="000F5252"/>
    <w:rsid w:val="00101626"/>
    <w:rsid w:val="00101957"/>
    <w:rsid w:val="0011369F"/>
    <w:rsid w:val="00116718"/>
    <w:rsid w:val="00121080"/>
    <w:rsid w:val="00126055"/>
    <w:rsid w:val="00130402"/>
    <w:rsid w:val="00136328"/>
    <w:rsid w:val="001364A1"/>
    <w:rsid w:val="001413C7"/>
    <w:rsid w:val="00142124"/>
    <w:rsid w:val="0015000E"/>
    <w:rsid w:val="00154D1C"/>
    <w:rsid w:val="0016131F"/>
    <w:rsid w:val="00177EFF"/>
    <w:rsid w:val="00190D7B"/>
    <w:rsid w:val="001953B8"/>
    <w:rsid w:val="001A3935"/>
    <w:rsid w:val="001A4FAE"/>
    <w:rsid w:val="001A61F0"/>
    <w:rsid w:val="001B0CBF"/>
    <w:rsid w:val="001C3C45"/>
    <w:rsid w:val="001E0AE8"/>
    <w:rsid w:val="001F746E"/>
    <w:rsid w:val="002036DA"/>
    <w:rsid w:val="002059EA"/>
    <w:rsid w:val="00205A61"/>
    <w:rsid w:val="002127E2"/>
    <w:rsid w:val="00212E3A"/>
    <w:rsid w:val="00213E7C"/>
    <w:rsid w:val="00214C87"/>
    <w:rsid w:val="00215035"/>
    <w:rsid w:val="00215E52"/>
    <w:rsid w:val="002226E8"/>
    <w:rsid w:val="00233B46"/>
    <w:rsid w:val="00242B76"/>
    <w:rsid w:val="002523CC"/>
    <w:rsid w:val="00272473"/>
    <w:rsid w:val="0027631F"/>
    <w:rsid w:val="00276F69"/>
    <w:rsid w:val="00291DDD"/>
    <w:rsid w:val="002A066E"/>
    <w:rsid w:val="002A31E8"/>
    <w:rsid w:val="002A7181"/>
    <w:rsid w:val="002B3503"/>
    <w:rsid w:val="002D1B45"/>
    <w:rsid w:val="002E1F6A"/>
    <w:rsid w:val="002F66F4"/>
    <w:rsid w:val="002F6A38"/>
    <w:rsid w:val="002F7998"/>
    <w:rsid w:val="003029F0"/>
    <w:rsid w:val="003103A7"/>
    <w:rsid w:val="0031458C"/>
    <w:rsid w:val="003156E4"/>
    <w:rsid w:val="00316FC7"/>
    <w:rsid w:val="00317400"/>
    <w:rsid w:val="00347DEA"/>
    <w:rsid w:val="00356FB1"/>
    <w:rsid w:val="003777FE"/>
    <w:rsid w:val="00387C78"/>
    <w:rsid w:val="003B3990"/>
    <w:rsid w:val="003D26B4"/>
    <w:rsid w:val="003E237A"/>
    <w:rsid w:val="003E422D"/>
    <w:rsid w:val="003E44AA"/>
    <w:rsid w:val="003F5CC5"/>
    <w:rsid w:val="003F5D2D"/>
    <w:rsid w:val="0041441A"/>
    <w:rsid w:val="00417963"/>
    <w:rsid w:val="0042089A"/>
    <w:rsid w:val="0042109F"/>
    <w:rsid w:val="00422ABC"/>
    <w:rsid w:val="00426A90"/>
    <w:rsid w:val="00430A73"/>
    <w:rsid w:val="0043196F"/>
    <w:rsid w:val="0043450E"/>
    <w:rsid w:val="00437C56"/>
    <w:rsid w:val="00442A04"/>
    <w:rsid w:val="00442D5E"/>
    <w:rsid w:val="00446BB1"/>
    <w:rsid w:val="00453BA5"/>
    <w:rsid w:val="00454E53"/>
    <w:rsid w:val="00473FFD"/>
    <w:rsid w:val="00474C79"/>
    <w:rsid w:val="00481EFB"/>
    <w:rsid w:val="00482477"/>
    <w:rsid w:val="00484078"/>
    <w:rsid w:val="00486AEE"/>
    <w:rsid w:val="00491386"/>
    <w:rsid w:val="00494F18"/>
    <w:rsid w:val="004974FD"/>
    <w:rsid w:val="004A41DA"/>
    <w:rsid w:val="004B77B7"/>
    <w:rsid w:val="004C0103"/>
    <w:rsid w:val="004C58F9"/>
    <w:rsid w:val="004C6605"/>
    <w:rsid w:val="004D017E"/>
    <w:rsid w:val="004D0C67"/>
    <w:rsid w:val="004D2B45"/>
    <w:rsid w:val="004D3D81"/>
    <w:rsid w:val="004F517D"/>
    <w:rsid w:val="005155DE"/>
    <w:rsid w:val="00517050"/>
    <w:rsid w:val="005207B6"/>
    <w:rsid w:val="00525C0B"/>
    <w:rsid w:val="0053656E"/>
    <w:rsid w:val="00553D2D"/>
    <w:rsid w:val="00560A63"/>
    <w:rsid w:val="005647F5"/>
    <w:rsid w:val="00564B2E"/>
    <w:rsid w:val="00570B14"/>
    <w:rsid w:val="005735CF"/>
    <w:rsid w:val="005908EA"/>
    <w:rsid w:val="00593353"/>
    <w:rsid w:val="00595369"/>
    <w:rsid w:val="00597A81"/>
    <w:rsid w:val="005B2640"/>
    <w:rsid w:val="005C69C2"/>
    <w:rsid w:val="005D18A4"/>
    <w:rsid w:val="005D784D"/>
    <w:rsid w:val="005E5382"/>
    <w:rsid w:val="005E7C59"/>
    <w:rsid w:val="005F31A5"/>
    <w:rsid w:val="005F4052"/>
    <w:rsid w:val="005F6CE3"/>
    <w:rsid w:val="006026F2"/>
    <w:rsid w:val="00602EB6"/>
    <w:rsid w:val="00603768"/>
    <w:rsid w:val="0060711C"/>
    <w:rsid w:val="00613AB3"/>
    <w:rsid w:val="0063374B"/>
    <w:rsid w:val="00640343"/>
    <w:rsid w:val="00641C2E"/>
    <w:rsid w:val="00641E1F"/>
    <w:rsid w:val="00653C1B"/>
    <w:rsid w:val="006566F1"/>
    <w:rsid w:val="00657D0F"/>
    <w:rsid w:val="00664AE9"/>
    <w:rsid w:val="00664DF6"/>
    <w:rsid w:val="00681F39"/>
    <w:rsid w:val="00687537"/>
    <w:rsid w:val="006919C7"/>
    <w:rsid w:val="00693CCF"/>
    <w:rsid w:val="006A3BE1"/>
    <w:rsid w:val="006B0708"/>
    <w:rsid w:val="006B59DB"/>
    <w:rsid w:val="006B6CB6"/>
    <w:rsid w:val="006C3660"/>
    <w:rsid w:val="006C3E2E"/>
    <w:rsid w:val="006C44A0"/>
    <w:rsid w:val="006C4854"/>
    <w:rsid w:val="006C6840"/>
    <w:rsid w:val="006D43D1"/>
    <w:rsid w:val="006D63C8"/>
    <w:rsid w:val="006D701F"/>
    <w:rsid w:val="006F122C"/>
    <w:rsid w:val="00702ED2"/>
    <w:rsid w:val="00703602"/>
    <w:rsid w:val="00713010"/>
    <w:rsid w:val="00713482"/>
    <w:rsid w:val="00720CF4"/>
    <w:rsid w:val="00726265"/>
    <w:rsid w:val="00733FCB"/>
    <w:rsid w:val="00734EBD"/>
    <w:rsid w:val="0074778D"/>
    <w:rsid w:val="00747F44"/>
    <w:rsid w:val="00754924"/>
    <w:rsid w:val="00757284"/>
    <w:rsid w:val="0076068D"/>
    <w:rsid w:val="00760927"/>
    <w:rsid w:val="0077527C"/>
    <w:rsid w:val="00785AE5"/>
    <w:rsid w:val="007A4AF0"/>
    <w:rsid w:val="007A74DE"/>
    <w:rsid w:val="007B0619"/>
    <w:rsid w:val="007B38E4"/>
    <w:rsid w:val="007C0095"/>
    <w:rsid w:val="007C3D2F"/>
    <w:rsid w:val="007C7E14"/>
    <w:rsid w:val="007D1C54"/>
    <w:rsid w:val="007D20DF"/>
    <w:rsid w:val="007E0C29"/>
    <w:rsid w:val="007E113D"/>
    <w:rsid w:val="007E2155"/>
    <w:rsid w:val="007E752F"/>
    <w:rsid w:val="007F4442"/>
    <w:rsid w:val="00800B5D"/>
    <w:rsid w:val="00803510"/>
    <w:rsid w:val="00813258"/>
    <w:rsid w:val="008236E4"/>
    <w:rsid w:val="00846F0E"/>
    <w:rsid w:val="00850296"/>
    <w:rsid w:val="008669B0"/>
    <w:rsid w:val="00871B4D"/>
    <w:rsid w:val="0089084A"/>
    <w:rsid w:val="00891F14"/>
    <w:rsid w:val="008926AE"/>
    <w:rsid w:val="00894D32"/>
    <w:rsid w:val="00895E24"/>
    <w:rsid w:val="00896EDD"/>
    <w:rsid w:val="008A4493"/>
    <w:rsid w:val="008A635A"/>
    <w:rsid w:val="008B2128"/>
    <w:rsid w:val="008B5F4A"/>
    <w:rsid w:val="008B71FF"/>
    <w:rsid w:val="008B72EE"/>
    <w:rsid w:val="008C3489"/>
    <w:rsid w:val="008D1045"/>
    <w:rsid w:val="008D12E4"/>
    <w:rsid w:val="008F1A10"/>
    <w:rsid w:val="009022F6"/>
    <w:rsid w:val="00911E21"/>
    <w:rsid w:val="0091383D"/>
    <w:rsid w:val="00915129"/>
    <w:rsid w:val="00915BF3"/>
    <w:rsid w:val="0091764B"/>
    <w:rsid w:val="00936086"/>
    <w:rsid w:val="00940559"/>
    <w:rsid w:val="00966126"/>
    <w:rsid w:val="00991EE8"/>
    <w:rsid w:val="00996062"/>
    <w:rsid w:val="009A1B59"/>
    <w:rsid w:val="009B1E68"/>
    <w:rsid w:val="009B1ED6"/>
    <w:rsid w:val="009B3DA9"/>
    <w:rsid w:val="009B6543"/>
    <w:rsid w:val="009B7F2A"/>
    <w:rsid w:val="00A01816"/>
    <w:rsid w:val="00A04E4A"/>
    <w:rsid w:val="00A07D06"/>
    <w:rsid w:val="00A16F72"/>
    <w:rsid w:val="00A23811"/>
    <w:rsid w:val="00A451E8"/>
    <w:rsid w:val="00A552A4"/>
    <w:rsid w:val="00A554B9"/>
    <w:rsid w:val="00A6018C"/>
    <w:rsid w:val="00A83B5D"/>
    <w:rsid w:val="00A925DB"/>
    <w:rsid w:val="00AB3FAE"/>
    <w:rsid w:val="00AB5CEC"/>
    <w:rsid w:val="00AC1B35"/>
    <w:rsid w:val="00AC21A5"/>
    <w:rsid w:val="00AC5B44"/>
    <w:rsid w:val="00AD0CC8"/>
    <w:rsid w:val="00AD0F48"/>
    <w:rsid w:val="00AE1D3D"/>
    <w:rsid w:val="00AE52A5"/>
    <w:rsid w:val="00AE58B4"/>
    <w:rsid w:val="00AE6327"/>
    <w:rsid w:val="00AF47C0"/>
    <w:rsid w:val="00AF7CB0"/>
    <w:rsid w:val="00B15527"/>
    <w:rsid w:val="00B17FCA"/>
    <w:rsid w:val="00B25750"/>
    <w:rsid w:val="00B32A96"/>
    <w:rsid w:val="00B4220B"/>
    <w:rsid w:val="00B4385F"/>
    <w:rsid w:val="00B65B59"/>
    <w:rsid w:val="00B72408"/>
    <w:rsid w:val="00B77164"/>
    <w:rsid w:val="00BA5C7E"/>
    <w:rsid w:val="00BB7C85"/>
    <w:rsid w:val="00BC228C"/>
    <w:rsid w:val="00BC2924"/>
    <w:rsid w:val="00BC764C"/>
    <w:rsid w:val="00BC7CDD"/>
    <w:rsid w:val="00BF2C16"/>
    <w:rsid w:val="00BF3B1E"/>
    <w:rsid w:val="00BF4B17"/>
    <w:rsid w:val="00BF58B2"/>
    <w:rsid w:val="00BF72E0"/>
    <w:rsid w:val="00C0316B"/>
    <w:rsid w:val="00C0353F"/>
    <w:rsid w:val="00C04170"/>
    <w:rsid w:val="00C07A46"/>
    <w:rsid w:val="00C1035B"/>
    <w:rsid w:val="00C17B19"/>
    <w:rsid w:val="00C214CA"/>
    <w:rsid w:val="00C21554"/>
    <w:rsid w:val="00C3087E"/>
    <w:rsid w:val="00C30EBD"/>
    <w:rsid w:val="00C45DB3"/>
    <w:rsid w:val="00C47C9F"/>
    <w:rsid w:val="00C55F94"/>
    <w:rsid w:val="00C81190"/>
    <w:rsid w:val="00C83E86"/>
    <w:rsid w:val="00C91EE2"/>
    <w:rsid w:val="00CB607B"/>
    <w:rsid w:val="00CC2754"/>
    <w:rsid w:val="00CE241D"/>
    <w:rsid w:val="00D03FD8"/>
    <w:rsid w:val="00D07626"/>
    <w:rsid w:val="00D275CC"/>
    <w:rsid w:val="00D348C6"/>
    <w:rsid w:val="00D44EB4"/>
    <w:rsid w:val="00D470C2"/>
    <w:rsid w:val="00D546CC"/>
    <w:rsid w:val="00D57C62"/>
    <w:rsid w:val="00D73FD0"/>
    <w:rsid w:val="00D767C4"/>
    <w:rsid w:val="00D77CF5"/>
    <w:rsid w:val="00DA03D6"/>
    <w:rsid w:val="00DA4A61"/>
    <w:rsid w:val="00DA51D9"/>
    <w:rsid w:val="00DA7396"/>
    <w:rsid w:val="00DB5C3F"/>
    <w:rsid w:val="00DC1B92"/>
    <w:rsid w:val="00DF1DEC"/>
    <w:rsid w:val="00DF302A"/>
    <w:rsid w:val="00DF7635"/>
    <w:rsid w:val="00E014E2"/>
    <w:rsid w:val="00E21FB6"/>
    <w:rsid w:val="00E23971"/>
    <w:rsid w:val="00E332C0"/>
    <w:rsid w:val="00E33B68"/>
    <w:rsid w:val="00E35DD7"/>
    <w:rsid w:val="00E35E4C"/>
    <w:rsid w:val="00E36095"/>
    <w:rsid w:val="00E61521"/>
    <w:rsid w:val="00E62D76"/>
    <w:rsid w:val="00E65B5C"/>
    <w:rsid w:val="00E71101"/>
    <w:rsid w:val="00E71A82"/>
    <w:rsid w:val="00E82EF3"/>
    <w:rsid w:val="00E939F0"/>
    <w:rsid w:val="00E95C04"/>
    <w:rsid w:val="00E962C5"/>
    <w:rsid w:val="00EA3488"/>
    <w:rsid w:val="00EB05B3"/>
    <w:rsid w:val="00EB0D8A"/>
    <w:rsid w:val="00EB5F7D"/>
    <w:rsid w:val="00EC589F"/>
    <w:rsid w:val="00ED54F1"/>
    <w:rsid w:val="00EE0298"/>
    <w:rsid w:val="00EE283A"/>
    <w:rsid w:val="00EE5885"/>
    <w:rsid w:val="00EE6657"/>
    <w:rsid w:val="00F125F3"/>
    <w:rsid w:val="00F15922"/>
    <w:rsid w:val="00F4507F"/>
    <w:rsid w:val="00F46354"/>
    <w:rsid w:val="00F562CA"/>
    <w:rsid w:val="00F62561"/>
    <w:rsid w:val="00F646D5"/>
    <w:rsid w:val="00F648B5"/>
    <w:rsid w:val="00F700B1"/>
    <w:rsid w:val="00F84458"/>
    <w:rsid w:val="00F97D64"/>
    <w:rsid w:val="00FA3036"/>
    <w:rsid w:val="00FB6B55"/>
    <w:rsid w:val="00FD085A"/>
    <w:rsid w:val="00FD543C"/>
    <w:rsid w:val="00FE3350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9C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A0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0181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1Light-Accent1">
    <w:name w:val="Grid Table 1 Light Accent 1"/>
    <w:basedOn w:val="TableNormal"/>
    <w:uiPriority w:val="46"/>
    <w:rsid w:val="00A0181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E0EDA-CE3C-4FCA-9414-2019C86FA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2022-11-07T01:52:00Z</dcterms:created>
  <dcterms:modified xsi:type="dcterms:W3CDTF">2022-11-07T01:53:00Z</dcterms:modified>
</cp:coreProperties>
</file>