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2F2CC7" w14:textId="11A96878" w:rsidR="00E60F95" w:rsidRPr="00B0343F" w:rsidRDefault="00E60F95" w:rsidP="00E60F95">
      <w:pPr>
        <w:pStyle w:val="CH"/>
        <w:rPr>
          <w:rFonts w:eastAsia="MS Mincho"/>
          <w:sz w:val="24"/>
          <w:szCs w:val="24"/>
          <w:lang w:val="en-US"/>
        </w:rPr>
      </w:pPr>
      <w:bookmarkStart w:id="0" w:name="Title"/>
      <w:bookmarkStart w:id="1" w:name="DocumentFor"/>
      <w:bookmarkEnd w:id="0"/>
      <w:bookmarkEnd w:id="1"/>
      <w:r w:rsidRPr="00B0343F">
        <w:rPr>
          <w:rFonts w:eastAsia="MS Mincho"/>
          <w:sz w:val="24"/>
          <w:szCs w:val="24"/>
          <w:lang w:val="en-US"/>
        </w:rPr>
        <w:t>3GPP TSG-RAN WG4 Meeting # 105</w:t>
      </w:r>
      <w:r w:rsidRPr="00B0343F">
        <w:rPr>
          <w:rFonts w:eastAsia="MS Mincho"/>
          <w:sz w:val="24"/>
          <w:szCs w:val="24"/>
          <w:lang w:val="en-US"/>
        </w:rPr>
        <w:tab/>
      </w:r>
      <w:r w:rsidRPr="00B0343F">
        <w:rPr>
          <w:rFonts w:eastAsia="MS Mincho"/>
          <w:sz w:val="24"/>
          <w:szCs w:val="24"/>
          <w:lang w:val="en-US"/>
        </w:rPr>
        <w:tab/>
      </w:r>
      <w:r w:rsidR="00741E9B" w:rsidRPr="00741E9B">
        <w:rPr>
          <w:rFonts w:eastAsia="MS Mincho"/>
          <w:sz w:val="24"/>
          <w:szCs w:val="24"/>
          <w:lang w:val="en-US"/>
        </w:rPr>
        <w:t>R4-2218178</w:t>
      </w:r>
    </w:p>
    <w:p w14:paraId="1CD59208" w14:textId="77777777" w:rsidR="00E60F95" w:rsidRPr="00B0343F" w:rsidRDefault="00E60F95" w:rsidP="00E60F95">
      <w:pPr>
        <w:pStyle w:val="CH"/>
        <w:rPr>
          <w:rFonts w:eastAsia="MS Mincho"/>
          <w:sz w:val="24"/>
          <w:szCs w:val="24"/>
          <w:lang w:val="en-US"/>
        </w:rPr>
      </w:pPr>
      <w:r w:rsidRPr="00B0343F">
        <w:rPr>
          <w:rFonts w:eastAsia="MS Mincho"/>
          <w:sz w:val="24"/>
          <w:szCs w:val="24"/>
          <w:lang w:val="en-US"/>
        </w:rPr>
        <w:t>Toulouse, France, November 14 – November 18, 2022</w:t>
      </w:r>
    </w:p>
    <w:p w14:paraId="484FF82D" w14:textId="5E2C9BDD" w:rsidR="00E60F95" w:rsidRPr="00303915" w:rsidRDefault="00E60F95" w:rsidP="00E60F95">
      <w:pPr>
        <w:pStyle w:val="CH"/>
        <w:spacing w:before="240"/>
        <w:rPr>
          <w:sz w:val="24"/>
          <w:szCs w:val="24"/>
        </w:rPr>
      </w:pPr>
      <w:r w:rsidRPr="00303915">
        <w:rPr>
          <w:sz w:val="24"/>
          <w:szCs w:val="24"/>
        </w:rPr>
        <w:t>Agenda item:</w:t>
      </w:r>
      <w:r w:rsidRPr="00303915">
        <w:rPr>
          <w:sz w:val="24"/>
          <w:szCs w:val="24"/>
        </w:rPr>
        <w:tab/>
      </w:r>
      <w:r w:rsidRPr="00E60F95">
        <w:rPr>
          <w:sz w:val="24"/>
          <w:szCs w:val="24"/>
        </w:rPr>
        <w:t>6.2.6.3.1</w:t>
      </w:r>
    </w:p>
    <w:p w14:paraId="30D50B86" w14:textId="0C0F7048" w:rsidR="009F52D7" w:rsidRPr="00303915" w:rsidRDefault="009F52D7" w:rsidP="009F52D7">
      <w:pPr>
        <w:pStyle w:val="CH"/>
        <w:rPr>
          <w:sz w:val="24"/>
          <w:szCs w:val="24"/>
        </w:rPr>
      </w:pPr>
      <w:r w:rsidRPr="00303915">
        <w:rPr>
          <w:sz w:val="24"/>
          <w:szCs w:val="24"/>
        </w:rPr>
        <w:t>Source:</w:t>
      </w:r>
      <w:r w:rsidRPr="00303915">
        <w:rPr>
          <w:sz w:val="24"/>
          <w:szCs w:val="24"/>
        </w:rPr>
        <w:tab/>
        <w:t>Apple</w:t>
      </w:r>
    </w:p>
    <w:p w14:paraId="7827D204" w14:textId="624A4CB9" w:rsidR="009F52D7" w:rsidRPr="00303915" w:rsidRDefault="009F52D7" w:rsidP="00C94AC7">
      <w:pPr>
        <w:pStyle w:val="CH"/>
        <w:ind w:left="2250" w:hanging="2250"/>
        <w:rPr>
          <w:sz w:val="24"/>
          <w:szCs w:val="24"/>
          <w:lang w:val="de-DE"/>
        </w:rPr>
      </w:pPr>
      <w:r w:rsidRPr="00303915">
        <w:rPr>
          <w:sz w:val="24"/>
          <w:szCs w:val="24"/>
        </w:rPr>
        <w:t>Title:</w:t>
      </w:r>
      <w:r w:rsidRPr="00303915">
        <w:rPr>
          <w:sz w:val="24"/>
          <w:szCs w:val="24"/>
        </w:rPr>
        <w:tab/>
      </w:r>
      <w:r w:rsidR="004E4716" w:rsidRPr="004E4716">
        <w:rPr>
          <w:sz w:val="24"/>
          <w:szCs w:val="24"/>
        </w:rPr>
        <w:t>Discussion on PDSCH demod requirements for NTN</w:t>
      </w:r>
    </w:p>
    <w:p w14:paraId="2AB0E874" w14:textId="531E0CC2" w:rsidR="009F52D7" w:rsidRPr="00303915" w:rsidRDefault="009F52D7" w:rsidP="009F52D7">
      <w:pPr>
        <w:pStyle w:val="CH"/>
        <w:rPr>
          <w:sz w:val="24"/>
          <w:szCs w:val="24"/>
        </w:rPr>
      </w:pPr>
      <w:r w:rsidRPr="00303915">
        <w:rPr>
          <w:sz w:val="24"/>
          <w:szCs w:val="24"/>
        </w:rPr>
        <w:t>Release:</w:t>
      </w:r>
      <w:r w:rsidRPr="00303915">
        <w:rPr>
          <w:sz w:val="24"/>
          <w:szCs w:val="24"/>
        </w:rPr>
        <w:tab/>
        <w:t>Rel-1</w:t>
      </w:r>
      <w:r w:rsidR="00626BDE">
        <w:rPr>
          <w:sz w:val="24"/>
          <w:szCs w:val="24"/>
        </w:rPr>
        <w:t>7</w:t>
      </w:r>
    </w:p>
    <w:p w14:paraId="5FD26D80" w14:textId="77777777" w:rsidR="009F52D7" w:rsidRPr="00303915" w:rsidRDefault="009F52D7" w:rsidP="009F52D7">
      <w:pPr>
        <w:pStyle w:val="CH"/>
        <w:rPr>
          <w:sz w:val="24"/>
          <w:szCs w:val="24"/>
        </w:rPr>
      </w:pPr>
      <w:r w:rsidRPr="00303915">
        <w:rPr>
          <w:sz w:val="24"/>
          <w:szCs w:val="24"/>
        </w:rPr>
        <w:t>Document for:</w:t>
      </w:r>
      <w:r w:rsidRPr="00303915">
        <w:rPr>
          <w:sz w:val="24"/>
          <w:szCs w:val="24"/>
        </w:rPr>
        <w:tab/>
        <w:t>Discussion</w:t>
      </w:r>
    </w:p>
    <w:p w14:paraId="26BFACA8" w14:textId="77777777" w:rsidR="009F52D7" w:rsidRPr="0008103A" w:rsidRDefault="009F52D7" w:rsidP="009F52D7">
      <w:pPr>
        <w:pStyle w:val="CH"/>
      </w:pPr>
    </w:p>
    <w:p w14:paraId="224F64C0" w14:textId="77777777" w:rsidR="009F52D7" w:rsidRPr="00303915" w:rsidRDefault="009F52D7" w:rsidP="009F52D7">
      <w:pPr>
        <w:pStyle w:val="Heading1"/>
      </w:pPr>
      <w:r w:rsidRPr="00303915">
        <w:t xml:space="preserve">1. Introduction </w:t>
      </w:r>
    </w:p>
    <w:p w14:paraId="2739081B" w14:textId="20AB4077" w:rsidR="00C94AC7" w:rsidRPr="00316E46" w:rsidRDefault="00C94AC7" w:rsidP="00C94AC7">
      <w:pPr>
        <w:spacing w:after="120"/>
        <w:rPr>
          <w:sz w:val="20"/>
          <w:szCs w:val="20"/>
        </w:rPr>
      </w:pPr>
      <w:r w:rsidRPr="00161735">
        <w:rPr>
          <w:sz w:val="20"/>
          <w:szCs w:val="20"/>
        </w:rPr>
        <w:t>In RAN4#10</w:t>
      </w:r>
      <w:r w:rsidR="00BF5D1B">
        <w:rPr>
          <w:sz w:val="20"/>
          <w:szCs w:val="20"/>
        </w:rPr>
        <w:t>4</w:t>
      </w:r>
      <w:r w:rsidR="00E60F95">
        <w:rPr>
          <w:sz w:val="20"/>
          <w:szCs w:val="20"/>
        </w:rPr>
        <w:t>-bis</w:t>
      </w:r>
      <w:r w:rsidR="00161735" w:rsidRPr="00161735">
        <w:rPr>
          <w:sz w:val="20"/>
          <w:szCs w:val="20"/>
        </w:rPr>
        <w:t>-</w:t>
      </w:r>
      <w:r w:rsidRPr="00161735">
        <w:rPr>
          <w:sz w:val="20"/>
          <w:szCs w:val="20"/>
        </w:rPr>
        <w:t xml:space="preserve">e </w:t>
      </w:r>
      <w:r w:rsidR="00161735" w:rsidRPr="00161735">
        <w:rPr>
          <w:sz w:val="20"/>
          <w:szCs w:val="20"/>
        </w:rPr>
        <w:t>UE</w:t>
      </w:r>
      <w:r w:rsidRPr="00161735">
        <w:rPr>
          <w:sz w:val="20"/>
          <w:szCs w:val="20"/>
        </w:rPr>
        <w:t xml:space="preserve"> demodulation requirements </w:t>
      </w:r>
      <w:r w:rsidR="00161735" w:rsidRPr="00161735">
        <w:rPr>
          <w:sz w:val="20"/>
          <w:szCs w:val="20"/>
        </w:rPr>
        <w:t>for NTN</w:t>
      </w:r>
      <w:r w:rsidRPr="00161735">
        <w:rPr>
          <w:sz w:val="20"/>
          <w:szCs w:val="20"/>
        </w:rPr>
        <w:t xml:space="preserve"> </w:t>
      </w:r>
      <w:r w:rsidR="00161735" w:rsidRPr="00161735">
        <w:rPr>
          <w:sz w:val="20"/>
          <w:szCs w:val="20"/>
        </w:rPr>
        <w:t>were</w:t>
      </w:r>
      <w:r w:rsidRPr="00161735">
        <w:rPr>
          <w:sz w:val="20"/>
          <w:szCs w:val="20"/>
        </w:rPr>
        <w:t xml:space="preserve"> discussed and way forward [1] was agreed. In this contribution we present our views </w:t>
      </w:r>
      <w:r w:rsidR="00E60F95">
        <w:rPr>
          <w:sz w:val="20"/>
          <w:szCs w:val="20"/>
        </w:rPr>
        <w:t xml:space="preserve">on the open issues </w:t>
      </w:r>
      <w:r w:rsidR="00161735" w:rsidRPr="00161735">
        <w:rPr>
          <w:sz w:val="20"/>
          <w:szCs w:val="20"/>
        </w:rPr>
        <w:t>and</w:t>
      </w:r>
      <w:r w:rsidRPr="00161735">
        <w:rPr>
          <w:sz w:val="20"/>
          <w:szCs w:val="20"/>
        </w:rPr>
        <w:t xml:space="preserve"> simulation </w:t>
      </w:r>
      <w:r w:rsidR="00BF5D1B">
        <w:rPr>
          <w:sz w:val="20"/>
          <w:szCs w:val="20"/>
        </w:rPr>
        <w:t>results</w:t>
      </w:r>
      <w:r w:rsidRPr="00161735">
        <w:rPr>
          <w:sz w:val="20"/>
          <w:szCs w:val="20"/>
        </w:rPr>
        <w:t xml:space="preserve"> for requirements.</w:t>
      </w:r>
      <w:r w:rsidRPr="00316E46">
        <w:rPr>
          <w:sz w:val="20"/>
          <w:szCs w:val="20"/>
        </w:rPr>
        <w:t xml:space="preserve">  </w:t>
      </w:r>
    </w:p>
    <w:p w14:paraId="4EAFA8EB" w14:textId="77777777" w:rsidR="009F52D7" w:rsidRDefault="009F52D7" w:rsidP="009F52D7">
      <w:pPr>
        <w:pStyle w:val="Heading1"/>
      </w:pPr>
      <w:r>
        <w:t>2. Discussion</w:t>
      </w:r>
    </w:p>
    <w:p w14:paraId="524BD562" w14:textId="40BFDB77" w:rsidR="000A1C95" w:rsidRDefault="000A1C95" w:rsidP="005B410D">
      <w:pPr>
        <w:spacing w:after="120"/>
        <w:rPr>
          <w:rFonts w:eastAsia="SimSun"/>
          <w:sz w:val="20"/>
          <w:szCs w:val="20"/>
          <w:lang w:val="en-GB" w:eastAsia="en-GB"/>
        </w:rPr>
      </w:pPr>
      <w:r>
        <w:rPr>
          <w:rFonts w:eastAsia="SimSun"/>
          <w:sz w:val="20"/>
          <w:szCs w:val="20"/>
          <w:lang w:val="en-GB" w:eastAsia="en-GB"/>
        </w:rPr>
        <w:t xml:space="preserve">In RAN4#104-e many open issues were </w:t>
      </w:r>
      <w:r w:rsidR="00E42A18">
        <w:rPr>
          <w:rFonts w:eastAsia="SimSun"/>
          <w:sz w:val="20"/>
          <w:szCs w:val="20"/>
          <w:lang w:val="en-GB" w:eastAsia="en-GB"/>
        </w:rPr>
        <w:t>resolved,</w:t>
      </w:r>
      <w:r>
        <w:rPr>
          <w:rFonts w:eastAsia="SimSun"/>
          <w:sz w:val="20"/>
          <w:szCs w:val="20"/>
          <w:lang w:val="en-GB" w:eastAsia="en-GB"/>
        </w:rPr>
        <w:t xml:space="preserve"> and agreements reached as captured in [1]:</w:t>
      </w:r>
    </w:p>
    <w:tbl>
      <w:tblPr>
        <w:tblStyle w:val="TableGrid"/>
        <w:tblW w:w="0" w:type="auto"/>
        <w:tblLook w:val="04A0" w:firstRow="1" w:lastRow="0" w:firstColumn="1" w:lastColumn="0" w:noHBand="0" w:noVBand="1"/>
      </w:tblPr>
      <w:tblGrid>
        <w:gridCol w:w="9350"/>
      </w:tblGrid>
      <w:tr w:rsidR="000A1C95" w14:paraId="36F65951" w14:textId="77777777" w:rsidTr="00036EC8">
        <w:tc>
          <w:tcPr>
            <w:tcW w:w="9350" w:type="dxa"/>
          </w:tcPr>
          <w:p w14:paraId="6419635B" w14:textId="204155AF" w:rsidR="00E42A18" w:rsidRDefault="00E42A18" w:rsidP="000A1C95">
            <w:pPr>
              <w:spacing w:after="120"/>
              <w:rPr>
                <w:rFonts w:eastAsia="SimSun"/>
                <w:b/>
                <w:sz w:val="20"/>
                <w:szCs w:val="20"/>
                <w:u w:val="single"/>
                <w:lang w:val="en-GB" w:eastAsia="en-GB"/>
              </w:rPr>
            </w:pPr>
            <w:r>
              <w:rPr>
                <w:rFonts w:eastAsia="SimSun"/>
                <w:b/>
                <w:sz w:val="20"/>
                <w:szCs w:val="20"/>
                <w:u w:val="single"/>
                <w:lang w:val="en-GB" w:eastAsia="en-GB"/>
              </w:rPr>
              <w:t>General Aspects</w:t>
            </w:r>
          </w:p>
          <w:p w14:paraId="3C6C4CD6" w14:textId="453570EC" w:rsidR="000A1C95" w:rsidRPr="000A1C95" w:rsidRDefault="000A1C95" w:rsidP="000A1C95">
            <w:pPr>
              <w:spacing w:after="120"/>
              <w:jc w:val="both"/>
              <w:rPr>
                <w:rFonts w:eastAsia="SimSun"/>
                <w:b/>
                <w:sz w:val="20"/>
                <w:szCs w:val="20"/>
                <w:u w:val="single"/>
                <w:lang w:val="en-GB" w:eastAsia="en-GB"/>
              </w:rPr>
            </w:pPr>
            <w:r w:rsidRPr="000A1C95">
              <w:rPr>
                <w:rFonts w:eastAsia="SimSun"/>
                <w:b/>
                <w:sz w:val="20"/>
                <w:szCs w:val="20"/>
                <w:u w:val="single"/>
                <w:lang w:val="en-GB" w:eastAsia="en-GB"/>
              </w:rPr>
              <w:t>Channel model for NTN-TDLC (LOS)</w:t>
            </w:r>
          </w:p>
          <w:p w14:paraId="6D80C4CB" w14:textId="6B45708A" w:rsidR="000A1C95" w:rsidRPr="00E60F95" w:rsidRDefault="00E60F95" w:rsidP="00E60F95">
            <w:pPr>
              <w:numPr>
                <w:ilvl w:val="0"/>
                <w:numId w:val="3"/>
              </w:numPr>
              <w:spacing w:after="120"/>
              <w:jc w:val="both"/>
              <w:rPr>
                <w:rFonts w:eastAsia="SimSun"/>
                <w:bCs/>
                <w:sz w:val="20"/>
                <w:szCs w:val="20"/>
                <w:lang w:val="en-GB" w:eastAsia="en-GB"/>
              </w:rPr>
            </w:pPr>
            <w:r w:rsidRPr="00E60F95">
              <w:rPr>
                <w:rFonts w:eastAsia="SimSun"/>
                <w:bCs/>
                <w:sz w:val="20"/>
                <w:szCs w:val="20"/>
                <w:lang w:val="en-GB" w:eastAsia="en-GB"/>
              </w:rPr>
              <w:t xml:space="preserve">DS=5ns, Doppler=200Hz. K-factor=8.05dB. </w:t>
            </w:r>
          </w:p>
          <w:p w14:paraId="60ED3392" w14:textId="13906140" w:rsidR="00E60F95" w:rsidRPr="00E60F95" w:rsidRDefault="00E60F95" w:rsidP="00E60F95">
            <w:pPr>
              <w:spacing w:after="120"/>
              <w:rPr>
                <w:rFonts w:eastAsia="SimSun"/>
                <w:b/>
                <w:sz w:val="20"/>
                <w:szCs w:val="20"/>
                <w:u w:val="single"/>
                <w:lang w:val="en-GB" w:eastAsia="en-GB"/>
              </w:rPr>
            </w:pPr>
            <w:r w:rsidRPr="00E60F95">
              <w:rPr>
                <w:rFonts w:eastAsia="SimSun"/>
                <w:b/>
                <w:sz w:val="20"/>
                <w:szCs w:val="20"/>
                <w:u w:val="single"/>
                <w:lang w:val="en-GB" w:eastAsia="en-GB"/>
              </w:rPr>
              <w:t>Delay resolution</w:t>
            </w:r>
          </w:p>
          <w:p w14:paraId="63F30A6B" w14:textId="681BF4EF" w:rsidR="00E60F95" w:rsidRPr="00E60F95" w:rsidRDefault="00E60F95" w:rsidP="00E60F95">
            <w:pPr>
              <w:numPr>
                <w:ilvl w:val="0"/>
                <w:numId w:val="3"/>
              </w:numPr>
              <w:spacing w:after="120"/>
              <w:rPr>
                <w:rFonts w:eastAsia="SimSun"/>
                <w:bCs/>
                <w:sz w:val="20"/>
                <w:szCs w:val="20"/>
                <w:lang w:val="en-GB" w:eastAsia="en-GB"/>
              </w:rPr>
            </w:pPr>
            <w:r w:rsidRPr="00E60F95">
              <w:rPr>
                <w:rFonts w:eastAsia="SimSun"/>
                <w:bCs/>
                <w:sz w:val="20"/>
                <w:szCs w:val="20"/>
                <w:lang w:val="en-GB" w:eastAsia="en-GB"/>
              </w:rPr>
              <w:t xml:space="preserve">Adopt 5 ns as the delay resolution </w:t>
            </w:r>
          </w:p>
          <w:p w14:paraId="1342673D" w14:textId="77777777" w:rsidR="00E60F95" w:rsidRPr="00E60F95" w:rsidRDefault="00E60F95" w:rsidP="00E60F95">
            <w:pPr>
              <w:rPr>
                <w:b/>
                <w:sz w:val="20"/>
                <w:szCs w:val="20"/>
                <w:u w:val="single"/>
                <w:lang w:eastAsia="ko-KR"/>
              </w:rPr>
            </w:pPr>
            <w:r w:rsidRPr="00E60F95">
              <w:rPr>
                <w:b/>
                <w:sz w:val="20"/>
                <w:szCs w:val="20"/>
                <w:u w:val="single"/>
                <w:lang w:eastAsia="ko-KR"/>
              </w:rPr>
              <w:t>Delay profile for NTN-TDLA</w:t>
            </w:r>
          </w:p>
          <w:p w14:paraId="16E78AF7" w14:textId="16D59C16" w:rsidR="00E60F95" w:rsidRDefault="00E60F95" w:rsidP="000A1C95">
            <w:pPr>
              <w:spacing w:after="120"/>
              <w:rPr>
                <w:rFonts w:eastAsia="SimSun"/>
                <w:b/>
                <w:sz w:val="20"/>
                <w:szCs w:val="20"/>
                <w:u w:val="single"/>
                <w:lang w:val="en-GB" w:eastAsia="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7"/>
              <w:gridCol w:w="1077"/>
              <w:gridCol w:w="1167"/>
              <w:gridCol w:w="1846"/>
            </w:tblGrid>
            <w:tr w:rsidR="00E60F95" w:rsidRPr="0025220E" w14:paraId="28060D56" w14:textId="77777777" w:rsidTr="009465DE">
              <w:trPr>
                <w:cantSplit/>
                <w:trHeight w:val="223"/>
                <w:jc w:val="center"/>
              </w:trPr>
              <w:tc>
                <w:tcPr>
                  <w:tcW w:w="0" w:type="auto"/>
                  <w:vMerge w:val="restart"/>
                  <w:tcBorders>
                    <w:top w:val="single" w:sz="4" w:space="0" w:color="auto"/>
                    <w:left w:val="single" w:sz="4" w:space="0" w:color="auto"/>
                    <w:right w:val="single" w:sz="4" w:space="0" w:color="auto"/>
                  </w:tcBorders>
                  <w:shd w:val="clear" w:color="auto" w:fill="auto"/>
                  <w:tcMar>
                    <w:top w:w="28" w:type="dxa"/>
                    <w:left w:w="108" w:type="dxa"/>
                    <w:bottom w:w="28" w:type="dxa"/>
                    <w:right w:w="108" w:type="dxa"/>
                  </w:tcMar>
                  <w:vAlign w:val="center"/>
                </w:tcPr>
                <w:p w14:paraId="54A937E7" w14:textId="77777777" w:rsidR="00E60F95" w:rsidRPr="0025220E" w:rsidRDefault="00E60F95" w:rsidP="00E60F95">
                  <w:pPr>
                    <w:keepNext/>
                    <w:keepLines/>
                    <w:overflowPunct w:val="0"/>
                    <w:autoSpaceDE w:val="0"/>
                    <w:autoSpaceDN w:val="0"/>
                    <w:adjustRightInd w:val="0"/>
                    <w:jc w:val="center"/>
                    <w:textAlignment w:val="baseline"/>
                    <w:rPr>
                      <w:rFonts w:ascii="Arial" w:hAnsi="Arial"/>
                      <w:b/>
                      <w:sz w:val="18"/>
                      <w:lang w:val="en-CA"/>
                    </w:rPr>
                  </w:pPr>
                  <w:r w:rsidRPr="0025220E">
                    <w:rPr>
                      <w:rFonts w:ascii="Arial" w:hAnsi="Arial"/>
                      <w:b/>
                      <w:sz w:val="18"/>
                      <w:lang w:val="en-CA"/>
                    </w:rPr>
                    <w:t>Tap #</w:t>
                  </w:r>
                </w:p>
              </w:tc>
              <w:tc>
                <w:tcPr>
                  <w:tcW w:w="0" w:type="auto"/>
                  <w:vMerge w:val="restart"/>
                  <w:tcBorders>
                    <w:top w:val="single" w:sz="4" w:space="0" w:color="auto"/>
                    <w:left w:val="single" w:sz="4" w:space="0" w:color="auto"/>
                    <w:right w:val="single" w:sz="4" w:space="0" w:color="auto"/>
                  </w:tcBorders>
                  <w:shd w:val="clear" w:color="auto" w:fill="auto"/>
                  <w:tcMar>
                    <w:top w:w="28" w:type="dxa"/>
                    <w:left w:w="108" w:type="dxa"/>
                    <w:bottom w:w="28" w:type="dxa"/>
                    <w:right w:w="108" w:type="dxa"/>
                  </w:tcMar>
                  <w:vAlign w:val="center"/>
                </w:tcPr>
                <w:p w14:paraId="7AD28BEE" w14:textId="77777777" w:rsidR="00E60F95" w:rsidRPr="0025220E" w:rsidRDefault="00E60F95" w:rsidP="00E60F95">
                  <w:pPr>
                    <w:keepNext/>
                    <w:keepLines/>
                    <w:overflowPunct w:val="0"/>
                    <w:autoSpaceDE w:val="0"/>
                    <w:autoSpaceDN w:val="0"/>
                    <w:adjustRightInd w:val="0"/>
                    <w:jc w:val="center"/>
                    <w:textAlignment w:val="baseline"/>
                    <w:rPr>
                      <w:rFonts w:ascii="Arial" w:hAnsi="Arial"/>
                      <w:b/>
                      <w:sz w:val="18"/>
                      <w:lang w:val="en-CA"/>
                    </w:rPr>
                  </w:pPr>
                  <w:r w:rsidRPr="0025220E">
                    <w:rPr>
                      <w:rFonts w:ascii="Arial" w:hAnsi="Arial"/>
                      <w:b/>
                      <w:sz w:val="18"/>
                      <w:lang w:val="en-CA"/>
                    </w:rPr>
                    <w:t>Delay [ns]</w:t>
                  </w:r>
                </w:p>
              </w:tc>
              <w:tc>
                <w:tcPr>
                  <w:tcW w:w="0" w:type="auto"/>
                  <w:vMerge w:val="restart"/>
                  <w:tcBorders>
                    <w:top w:val="single" w:sz="4" w:space="0" w:color="auto"/>
                    <w:left w:val="single" w:sz="4" w:space="0" w:color="auto"/>
                    <w:right w:val="single" w:sz="4" w:space="0" w:color="auto"/>
                  </w:tcBorders>
                  <w:shd w:val="clear" w:color="auto" w:fill="auto"/>
                  <w:tcMar>
                    <w:top w:w="28" w:type="dxa"/>
                    <w:left w:w="108" w:type="dxa"/>
                    <w:bottom w:w="28" w:type="dxa"/>
                    <w:right w:w="108" w:type="dxa"/>
                  </w:tcMar>
                  <w:vAlign w:val="center"/>
                </w:tcPr>
                <w:p w14:paraId="7A4F22B1" w14:textId="77777777" w:rsidR="00E60F95" w:rsidRPr="0025220E" w:rsidRDefault="00E60F95" w:rsidP="00E60F95">
                  <w:pPr>
                    <w:keepNext/>
                    <w:keepLines/>
                    <w:overflowPunct w:val="0"/>
                    <w:autoSpaceDE w:val="0"/>
                    <w:autoSpaceDN w:val="0"/>
                    <w:adjustRightInd w:val="0"/>
                    <w:jc w:val="center"/>
                    <w:textAlignment w:val="baseline"/>
                    <w:rPr>
                      <w:rFonts w:ascii="Arial" w:hAnsi="Arial"/>
                      <w:b/>
                      <w:sz w:val="18"/>
                      <w:lang w:val="en-CA"/>
                    </w:rPr>
                  </w:pPr>
                  <w:r w:rsidRPr="0025220E">
                    <w:rPr>
                      <w:rFonts w:ascii="Arial" w:hAnsi="Arial"/>
                      <w:b/>
                      <w:sz w:val="18"/>
                      <w:lang w:val="en-CA"/>
                    </w:rPr>
                    <w:t>Power [dB]</w:t>
                  </w:r>
                </w:p>
              </w:tc>
              <w:tc>
                <w:tcPr>
                  <w:tcW w:w="0" w:type="auto"/>
                  <w:vMerge w:val="restart"/>
                  <w:tcBorders>
                    <w:top w:val="single" w:sz="4" w:space="0" w:color="auto"/>
                    <w:left w:val="single" w:sz="4" w:space="0" w:color="auto"/>
                    <w:right w:val="single" w:sz="4" w:space="0" w:color="auto"/>
                  </w:tcBorders>
                  <w:shd w:val="clear" w:color="auto" w:fill="auto"/>
                  <w:tcMar>
                    <w:top w:w="28" w:type="dxa"/>
                    <w:left w:w="108" w:type="dxa"/>
                    <w:bottom w:w="28" w:type="dxa"/>
                    <w:right w:w="108" w:type="dxa"/>
                  </w:tcMar>
                  <w:vAlign w:val="center"/>
                </w:tcPr>
                <w:p w14:paraId="48F2DC9B" w14:textId="77777777" w:rsidR="00E60F95" w:rsidRPr="0025220E" w:rsidRDefault="00E60F95" w:rsidP="00E60F95">
                  <w:pPr>
                    <w:keepNext/>
                    <w:keepLines/>
                    <w:overflowPunct w:val="0"/>
                    <w:autoSpaceDE w:val="0"/>
                    <w:autoSpaceDN w:val="0"/>
                    <w:adjustRightInd w:val="0"/>
                    <w:jc w:val="center"/>
                    <w:textAlignment w:val="baseline"/>
                    <w:rPr>
                      <w:rFonts w:ascii="Arial" w:hAnsi="Arial"/>
                      <w:b/>
                      <w:sz w:val="18"/>
                      <w:lang w:val="en-CA"/>
                    </w:rPr>
                  </w:pPr>
                  <w:r w:rsidRPr="0025220E">
                    <w:rPr>
                      <w:rFonts w:ascii="Arial" w:hAnsi="Arial"/>
                      <w:b/>
                      <w:sz w:val="18"/>
                      <w:lang w:val="en-CA"/>
                    </w:rPr>
                    <w:t>Fading distribution</w:t>
                  </w:r>
                </w:p>
              </w:tc>
            </w:tr>
            <w:tr w:rsidR="00E60F95" w:rsidRPr="0025220E" w14:paraId="5927FFCB" w14:textId="77777777" w:rsidTr="009465DE">
              <w:trPr>
                <w:cantSplit/>
                <w:trHeight w:val="450"/>
                <w:jc w:val="center"/>
              </w:trPr>
              <w:tc>
                <w:tcPr>
                  <w:tcW w:w="0" w:type="auto"/>
                  <w:vMerge/>
                  <w:tcBorders>
                    <w:left w:val="single" w:sz="4" w:space="0" w:color="auto"/>
                    <w:bottom w:val="single" w:sz="4" w:space="0" w:color="auto"/>
                    <w:right w:val="single" w:sz="4" w:space="0" w:color="auto"/>
                  </w:tcBorders>
                  <w:shd w:val="clear" w:color="auto" w:fill="auto"/>
                  <w:tcMar>
                    <w:top w:w="28" w:type="dxa"/>
                    <w:left w:w="108" w:type="dxa"/>
                    <w:bottom w:w="28" w:type="dxa"/>
                    <w:right w:w="108" w:type="dxa"/>
                  </w:tcMar>
                  <w:vAlign w:val="center"/>
                  <w:hideMark/>
                </w:tcPr>
                <w:p w14:paraId="0B3A6CB8" w14:textId="77777777" w:rsidR="00E60F95" w:rsidRPr="0025220E" w:rsidRDefault="00E60F95" w:rsidP="00E60F95">
                  <w:pPr>
                    <w:keepNext/>
                    <w:keepLines/>
                    <w:overflowPunct w:val="0"/>
                    <w:autoSpaceDE w:val="0"/>
                    <w:autoSpaceDN w:val="0"/>
                    <w:adjustRightInd w:val="0"/>
                    <w:jc w:val="center"/>
                    <w:textAlignment w:val="baseline"/>
                    <w:rPr>
                      <w:rFonts w:ascii="Arial" w:hAnsi="Arial"/>
                      <w:b/>
                      <w:sz w:val="18"/>
                      <w:lang w:val="en-CA"/>
                    </w:rPr>
                  </w:pPr>
                </w:p>
              </w:tc>
              <w:tc>
                <w:tcPr>
                  <w:tcW w:w="0" w:type="auto"/>
                  <w:vMerge/>
                  <w:tcBorders>
                    <w:left w:val="single" w:sz="4" w:space="0" w:color="auto"/>
                    <w:bottom w:val="single" w:sz="4" w:space="0" w:color="auto"/>
                    <w:right w:val="single" w:sz="4" w:space="0" w:color="auto"/>
                  </w:tcBorders>
                  <w:shd w:val="clear" w:color="auto" w:fill="auto"/>
                  <w:tcMar>
                    <w:top w:w="28" w:type="dxa"/>
                    <w:left w:w="108" w:type="dxa"/>
                    <w:bottom w:w="28" w:type="dxa"/>
                    <w:right w:w="108" w:type="dxa"/>
                  </w:tcMar>
                  <w:vAlign w:val="center"/>
                  <w:hideMark/>
                </w:tcPr>
                <w:p w14:paraId="5B698577" w14:textId="77777777" w:rsidR="00E60F95" w:rsidRPr="0025220E" w:rsidRDefault="00E60F95" w:rsidP="00E60F95">
                  <w:pPr>
                    <w:keepNext/>
                    <w:keepLines/>
                    <w:overflowPunct w:val="0"/>
                    <w:autoSpaceDE w:val="0"/>
                    <w:autoSpaceDN w:val="0"/>
                    <w:adjustRightInd w:val="0"/>
                    <w:jc w:val="center"/>
                    <w:textAlignment w:val="baseline"/>
                    <w:rPr>
                      <w:rFonts w:ascii="Arial" w:hAnsi="Arial"/>
                      <w:b/>
                      <w:sz w:val="18"/>
                      <w:lang w:val="en-CA"/>
                    </w:rPr>
                  </w:pPr>
                </w:p>
              </w:tc>
              <w:tc>
                <w:tcPr>
                  <w:tcW w:w="0" w:type="auto"/>
                  <w:vMerge/>
                  <w:tcBorders>
                    <w:left w:val="single" w:sz="4" w:space="0" w:color="auto"/>
                    <w:bottom w:val="single" w:sz="4" w:space="0" w:color="auto"/>
                    <w:right w:val="single" w:sz="4" w:space="0" w:color="auto"/>
                  </w:tcBorders>
                  <w:shd w:val="clear" w:color="auto" w:fill="auto"/>
                  <w:tcMar>
                    <w:top w:w="28" w:type="dxa"/>
                    <w:left w:w="108" w:type="dxa"/>
                    <w:bottom w:w="28" w:type="dxa"/>
                    <w:right w:w="108" w:type="dxa"/>
                  </w:tcMar>
                  <w:vAlign w:val="center"/>
                  <w:hideMark/>
                </w:tcPr>
                <w:p w14:paraId="7A321007" w14:textId="77777777" w:rsidR="00E60F95" w:rsidRPr="0025220E" w:rsidRDefault="00E60F95" w:rsidP="00E60F95">
                  <w:pPr>
                    <w:keepNext/>
                    <w:keepLines/>
                    <w:overflowPunct w:val="0"/>
                    <w:autoSpaceDE w:val="0"/>
                    <w:autoSpaceDN w:val="0"/>
                    <w:adjustRightInd w:val="0"/>
                    <w:jc w:val="center"/>
                    <w:textAlignment w:val="baseline"/>
                    <w:rPr>
                      <w:rFonts w:ascii="Arial" w:hAnsi="Arial"/>
                      <w:b/>
                      <w:sz w:val="18"/>
                      <w:lang w:val="en-CA"/>
                    </w:rPr>
                  </w:pPr>
                </w:p>
              </w:tc>
              <w:tc>
                <w:tcPr>
                  <w:tcW w:w="0" w:type="auto"/>
                  <w:vMerge/>
                  <w:tcBorders>
                    <w:left w:val="single" w:sz="4" w:space="0" w:color="auto"/>
                    <w:bottom w:val="single" w:sz="4" w:space="0" w:color="auto"/>
                    <w:right w:val="single" w:sz="4" w:space="0" w:color="auto"/>
                  </w:tcBorders>
                  <w:shd w:val="clear" w:color="auto" w:fill="auto"/>
                  <w:tcMar>
                    <w:top w:w="28" w:type="dxa"/>
                    <w:left w:w="108" w:type="dxa"/>
                    <w:bottom w:w="28" w:type="dxa"/>
                    <w:right w:w="108" w:type="dxa"/>
                  </w:tcMar>
                  <w:vAlign w:val="center"/>
                  <w:hideMark/>
                </w:tcPr>
                <w:p w14:paraId="6D9DC8A9" w14:textId="77777777" w:rsidR="00E60F95" w:rsidRPr="0025220E" w:rsidRDefault="00E60F95" w:rsidP="00E60F95">
                  <w:pPr>
                    <w:keepNext/>
                    <w:keepLines/>
                    <w:overflowPunct w:val="0"/>
                    <w:autoSpaceDE w:val="0"/>
                    <w:autoSpaceDN w:val="0"/>
                    <w:adjustRightInd w:val="0"/>
                    <w:jc w:val="center"/>
                    <w:textAlignment w:val="baseline"/>
                    <w:rPr>
                      <w:rFonts w:ascii="Arial" w:hAnsi="Arial"/>
                      <w:b/>
                      <w:sz w:val="18"/>
                      <w:lang w:val="en-CA"/>
                    </w:rPr>
                  </w:pPr>
                </w:p>
              </w:tc>
            </w:tr>
            <w:tr w:rsidR="00E60F95" w:rsidRPr="0025220E" w14:paraId="58AE8B90" w14:textId="77777777" w:rsidTr="009465DE">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tcMar>
                    <w:top w:w="28" w:type="dxa"/>
                    <w:left w:w="108" w:type="dxa"/>
                    <w:bottom w:w="28" w:type="dxa"/>
                    <w:right w:w="108" w:type="dxa"/>
                  </w:tcMar>
                  <w:vAlign w:val="center"/>
                  <w:hideMark/>
                </w:tcPr>
                <w:p w14:paraId="6E8CE716" w14:textId="77777777" w:rsidR="00E60F95" w:rsidRPr="0025220E" w:rsidRDefault="00E60F95" w:rsidP="00E60F95">
                  <w:pPr>
                    <w:keepNext/>
                    <w:keepLines/>
                    <w:jc w:val="center"/>
                    <w:rPr>
                      <w:rFonts w:ascii="Arial" w:hAnsi="Arial"/>
                      <w:sz w:val="18"/>
                      <w:lang w:val="en-CA"/>
                    </w:rPr>
                  </w:pPr>
                  <w:r w:rsidRPr="0025220E">
                    <w:rPr>
                      <w:rFonts w:ascii="Arial" w:hAnsi="Arial"/>
                      <w:sz w:val="18"/>
                      <w:lang w:val="en-CA"/>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28" w:type="dxa"/>
                    <w:left w:w="108" w:type="dxa"/>
                    <w:bottom w:w="28" w:type="dxa"/>
                    <w:right w:w="108" w:type="dxa"/>
                  </w:tcMar>
                  <w:vAlign w:val="center"/>
                  <w:hideMark/>
                </w:tcPr>
                <w:p w14:paraId="2E8A16C0" w14:textId="77777777" w:rsidR="00E60F95" w:rsidRPr="0025220E" w:rsidRDefault="00E60F95" w:rsidP="00E60F95">
                  <w:pPr>
                    <w:keepNext/>
                    <w:keepLines/>
                    <w:jc w:val="center"/>
                    <w:rPr>
                      <w:rFonts w:ascii="Arial" w:hAnsi="Arial"/>
                      <w:sz w:val="18"/>
                    </w:rPr>
                  </w:pPr>
                  <w:r w:rsidRPr="0025220E">
                    <w:rPr>
                      <w:rFonts w:ascii="Arial" w:hAnsi="Arial"/>
                      <w:sz w:val="18"/>
                      <w:szCs w:val="18"/>
                    </w:rPr>
                    <w:t>0</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28" w:type="dxa"/>
                    <w:left w:w="108" w:type="dxa"/>
                    <w:bottom w:w="28" w:type="dxa"/>
                    <w:right w:w="108" w:type="dxa"/>
                  </w:tcMar>
                  <w:vAlign w:val="center"/>
                  <w:hideMark/>
                </w:tcPr>
                <w:p w14:paraId="0297A2FD" w14:textId="77777777" w:rsidR="00E60F95" w:rsidRPr="0025220E" w:rsidRDefault="00E60F95" w:rsidP="00E60F95">
                  <w:pPr>
                    <w:keepNext/>
                    <w:keepLines/>
                    <w:jc w:val="center"/>
                    <w:rPr>
                      <w:rFonts w:ascii="Arial" w:hAnsi="Arial"/>
                      <w:sz w:val="18"/>
                    </w:rPr>
                  </w:pPr>
                  <w:r w:rsidRPr="0025220E">
                    <w:rPr>
                      <w:rFonts w:ascii="Arial" w:hAnsi="Arial"/>
                      <w:sz w:val="18"/>
                      <w:szCs w:val="18"/>
                    </w:rPr>
                    <w:t>0</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28" w:type="dxa"/>
                    <w:left w:w="108" w:type="dxa"/>
                    <w:bottom w:w="28" w:type="dxa"/>
                    <w:right w:w="108" w:type="dxa"/>
                  </w:tcMar>
                  <w:vAlign w:val="center"/>
                  <w:hideMark/>
                </w:tcPr>
                <w:p w14:paraId="0E547238" w14:textId="77777777" w:rsidR="00E60F95" w:rsidRPr="0025220E" w:rsidRDefault="00E60F95" w:rsidP="00E60F95">
                  <w:pPr>
                    <w:keepNext/>
                    <w:keepLines/>
                    <w:jc w:val="center"/>
                    <w:rPr>
                      <w:rFonts w:ascii="Arial" w:hAnsi="Arial"/>
                      <w:sz w:val="18"/>
                    </w:rPr>
                  </w:pPr>
                  <w:r w:rsidRPr="0025220E">
                    <w:rPr>
                      <w:rFonts w:ascii="Arial" w:hAnsi="Arial"/>
                      <w:sz w:val="18"/>
                    </w:rPr>
                    <w:t>Rayleigh</w:t>
                  </w:r>
                </w:p>
              </w:tc>
            </w:tr>
            <w:tr w:rsidR="00E60F95" w:rsidRPr="0025220E" w14:paraId="63CC9C89" w14:textId="77777777" w:rsidTr="009465DE">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tcMar>
                    <w:top w:w="28" w:type="dxa"/>
                    <w:left w:w="108" w:type="dxa"/>
                    <w:bottom w:w="28" w:type="dxa"/>
                    <w:right w:w="108" w:type="dxa"/>
                  </w:tcMar>
                  <w:vAlign w:val="center"/>
                  <w:hideMark/>
                </w:tcPr>
                <w:p w14:paraId="3B2CED27" w14:textId="77777777" w:rsidR="00E60F95" w:rsidRPr="0025220E" w:rsidRDefault="00E60F95" w:rsidP="00E60F95">
                  <w:pPr>
                    <w:keepNext/>
                    <w:keepLines/>
                    <w:jc w:val="center"/>
                    <w:rPr>
                      <w:rFonts w:ascii="Arial" w:hAnsi="Arial"/>
                      <w:sz w:val="18"/>
                      <w:lang w:val="en-CA"/>
                    </w:rPr>
                  </w:pPr>
                  <w:r w:rsidRPr="0025220E">
                    <w:rPr>
                      <w:rFonts w:ascii="Arial" w:hAnsi="Arial"/>
                      <w:sz w:val="18"/>
                      <w:lang w:val="en-CA"/>
                    </w:rPr>
                    <w:t>2</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28" w:type="dxa"/>
                    <w:left w:w="108" w:type="dxa"/>
                    <w:bottom w:w="28" w:type="dxa"/>
                    <w:right w:w="108" w:type="dxa"/>
                  </w:tcMar>
                  <w:vAlign w:val="center"/>
                  <w:hideMark/>
                </w:tcPr>
                <w:p w14:paraId="4592C2D7" w14:textId="77777777" w:rsidR="00E60F95" w:rsidRPr="0025220E" w:rsidRDefault="00E60F95" w:rsidP="00E60F95">
                  <w:pPr>
                    <w:keepNext/>
                    <w:keepLines/>
                    <w:jc w:val="center"/>
                    <w:rPr>
                      <w:rFonts w:ascii="Arial" w:hAnsi="Arial"/>
                      <w:sz w:val="18"/>
                    </w:rPr>
                  </w:pPr>
                  <w:r w:rsidRPr="0025220E">
                    <w:rPr>
                      <w:rFonts w:ascii="Arial" w:hAnsi="Arial"/>
                      <w:sz w:val="18"/>
                      <w:szCs w:val="18"/>
                    </w:rPr>
                    <w:t>110</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28" w:type="dxa"/>
                    <w:left w:w="108" w:type="dxa"/>
                    <w:bottom w:w="28" w:type="dxa"/>
                    <w:right w:w="108" w:type="dxa"/>
                  </w:tcMar>
                  <w:vAlign w:val="center"/>
                  <w:hideMark/>
                </w:tcPr>
                <w:p w14:paraId="2A498B7F" w14:textId="77777777" w:rsidR="00E60F95" w:rsidRPr="0025220E" w:rsidRDefault="00E60F95" w:rsidP="00E60F95">
                  <w:pPr>
                    <w:keepNext/>
                    <w:keepLines/>
                    <w:jc w:val="center"/>
                    <w:rPr>
                      <w:rFonts w:ascii="Arial" w:hAnsi="Arial"/>
                      <w:sz w:val="18"/>
                    </w:rPr>
                  </w:pPr>
                  <w:r w:rsidRPr="0025220E">
                    <w:rPr>
                      <w:rFonts w:ascii="Arial" w:hAnsi="Arial"/>
                      <w:sz w:val="18"/>
                      <w:szCs w:val="18"/>
                    </w:rPr>
                    <w:t>-4.7</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28" w:type="dxa"/>
                    <w:left w:w="108" w:type="dxa"/>
                    <w:bottom w:w="28" w:type="dxa"/>
                    <w:right w:w="108" w:type="dxa"/>
                  </w:tcMar>
                  <w:vAlign w:val="center"/>
                  <w:hideMark/>
                </w:tcPr>
                <w:p w14:paraId="6279555C" w14:textId="77777777" w:rsidR="00E60F95" w:rsidRPr="0025220E" w:rsidRDefault="00E60F95" w:rsidP="00E60F95">
                  <w:pPr>
                    <w:keepNext/>
                    <w:keepLines/>
                    <w:jc w:val="center"/>
                    <w:rPr>
                      <w:rFonts w:ascii="Arial" w:hAnsi="Arial"/>
                      <w:sz w:val="18"/>
                    </w:rPr>
                  </w:pPr>
                  <w:r w:rsidRPr="0025220E">
                    <w:rPr>
                      <w:rFonts w:ascii="Arial" w:hAnsi="Arial"/>
                      <w:sz w:val="18"/>
                    </w:rPr>
                    <w:t>Rayleigh</w:t>
                  </w:r>
                </w:p>
              </w:tc>
            </w:tr>
            <w:tr w:rsidR="00E60F95" w:rsidRPr="0025220E" w14:paraId="7CCA48B7" w14:textId="77777777" w:rsidTr="009465DE">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tcMar>
                    <w:top w:w="28" w:type="dxa"/>
                    <w:left w:w="108" w:type="dxa"/>
                    <w:bottom w:w="28" w:type="dxa"/>
                    <w:right w:w="108" w:type="dxa"/>
                  </w:tcMar>
                  <w:vAlign w:val="center"/>
                  <w:hideMark/>
                </w:tcPr>
                <w:p w14:paraId="3B9E261C" w14:textId="77777777" w:rsidR="00E60F95" w:rsidRPr="0025220E" w:rsidRDefault="00E60F95" w:rsidP="00E60F95">
                  <w:pPr>
                    <w:keepNext/>
                    <w:keepLines/>
                    <w:jc w:val="center"/>
                    <w:rPr>
                      <w:rFonts w:ascii="Arial" w:hAnsi="Arial"/>
                      <w:sz w:val="18"/>
                      <w:lang w:val="en-CA"/>
                    </w:rPr>
                  </w:pPr>
                  <w:r w:rsidRPr="0025220E">
                    <w:rPr>
                      <w:rFonts w:ascii="Arial" w:hAnsi="Arial"/>
                      <w:sz w:val="18"/>
                      <w:lang w:val="en-CA"/>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28" w:type="dxa"/>
                    <w:left w:w="108" w:type="dxa"/>
                    <w:bottom w:w="28" w:type="dxa"/>
                    <w:right w:w="108" w:type="dxa"/>
                  </w:tcMar>
                  <w:vAlign w:val="center"/>
                  <w:hideMark/>
                </w:tcPr>
                <w:p w14:paraId="3D28E10E" w14:textId="77777777" w:rsidR="00E60F95" w:rsidRPr="0025220E" w:rsidRDefault="00E60F95" w:rsidP="00E60F95">
                  <w:pPr>
                    <w:keepNext/>
                    <w:keepLines/>
                    <w:jc w:val="center"/>
                    <w:rPr>
                      <w:rFonts w:ascii="Arial" w:hAnsi="Arial"/>
                      <w:sz w:val="18"/>
                    </w:rPr>
                  </w:pPr>
                  <w:r w:rsidRPr="0025220E">
                    <w:rPr>
                      <w:rFonts w:ascii="Arial" w:hAnsi="Arial"/>
                      <w:sz w:val="18"/>
                      <w:szCs w:val="18"/>
                    </w:rPr>
                    <w:t>285</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28" w:type="dxa"/>
                    <w:left w:w="108" w:type="dxa"/>
                    <w:bottom w:w="28" w:type="dxa"/>
                    <w:right w:w="108" w:type="dxa"/>
                  </w:tcMar>
                  <w:vAlign w:val="center"/>
                  <w:hideMark/>
                </w:tcPr>
                <w:p w14:paraId="644EAA9A" w14:textId="77777777" w:rsidR="00E60F95" w:rsidRPr="0025220E" w:rsidRDefault="00E60F95" w:rsidP="00E60F95">
                  <w:pPr>
                    <w:keepNext/>
                    <w:keepLines/>
                    <w:jc w:val="center"/>
                    <w:rPr>
                      <w:rFonts w:ascii="Arial" w:hAnsi="Arial"/>
                      <w:sz w:val="18"/>
                    </w:rPr>
                  </w:pPr>
                  <w:r w:rsidRPr="0025220E">
                    <w:rPr>
                      <w:rFonts w:ascii="Arial" w:hAnsi="Arial"/>
                      <w:sz w:val="18"/>
                      <w:szCs w:val="18"/>
                    </w:rPr>
                    <w:t>-6.5</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28" w:type="dxa"/>
                    <w:left w:w="108" w:type="dxa"/>
                    <w:bottom w:w="28" w:type="dxa"/>
                    <w:right w:w="108" w:type="dxa"/>
                  </w:tcMar>
                  <w:vAlign w:val="center"/>
                  <w:hideMark/>
                </w:tcPr>
                <w:p w14:paraId="38F3D1F4" w14:textId="77777777" w:rsidR="00E60F95" w:rsidRPr="0025220E" w:rsidRDefault="00E60F95" w:rsidP="00E60F95">
                  <w:pPr>
                    <w:keepNext/>
                    <w:keepLines/>
                    <w:jc w:val="center"/>
                    <w:rPr>
                      <w:rFonts w:ascii="Arial" w:hAnsi="Arial"/>
                      <w:sz w:val="18"/>
                    </w:rPr>
                  </w:pPr>
                  <w:r w:rsidRPr="0025220E">
                    <w:rPr>
                      <w:rFonts w:ascii="Arial" w:hAnsi="Arial"/>
                      <w:sz w:val="18"/>
                    </w:rPr>
                    <w:t>Rayleigh</w:t>
                  </w:r>
                </w:p>
              </w:tc>
            </w:tr>
          </w:tbl>
          <w:p w14:paraId="1BD1A4BA" w14:textId="2EC2845F" w:rsidR="00E60F95" w:rsidRDefault="00E60F95" w:rsidP="000A1C95">
            <w:pPr>
              <w:spacing w:after="120"/>
              <w:rPr>
                <w:rFonts w:eastAsia="SimSun"/>
                <w:b/>
                <w:sz w:val="20"/>
                <w:szCs w:val="20"/>
                <w:u w:val="single"/>
                <w:lang w:val="en-GB" w:eastAsia="en-GB"/>
              </w:rPr>
            </w:pPr>
          </w:p>
          <w:p w14:paraId="52E87C86" w14:textId="686B119F" w:rsidR="00E60F95" w:rsidRPr="00E60F95" w:rsidRDefault="00E60F95" w:rsidP="00E60F95">
            <w:pPr>
              <w:spacing w:after="120"/>
              <w:rPr>
                <w:b/>
                <w:sz w:val="20"/>
                <w:szCs w:val="20"/>
                <w:u w:val="single"/>
                <w:lang w:eastAsia="ko-KR"/>
              </w:rPr>
            </w:pPr>
            <w:r w:rsidRPr="00E60F95">
              <w:rPr>
                <w:b/>
                <w:sz w:val="20"/>
                <w:szCs w:val="20"/>
                <w:u w:val="single"/>
                <w:lang w:eastAsia="ko-KR"/>
              </w:rPr>
              <w:t>Delay profile for NTN-TDLC</w:t>
            </w:r>
          </w:p>
          <w:tbl>
            <w:tblPr>
              <w:tblW w:w="5200" w:type="dxa"/>
              <w:jc w:val="center"/>
              <w:tblLook w:val="04A0" w:firstRow="1" w:lastRow="0" w:firstColumn="1" w:lastColumn="0" w:noHBand="0" w:noVBand="1"/>
            </w:tblPr>
            <w:tblGrid>
              <w:gridCol w:w="1300"/>
              <w:gridCol w:w="1300"/>
              <w:gridCol w:w="1300"/>
              <w:gridCol w:w="1300"/>
            </w:tblGrid>
            <w:tr w:rsidR="00E60F95" w:rsidRPr="0025220E" w14:paraId="6A602492" w14:textId="77777777" w:rsidTr="009465DE">
              <w:trPr>
                <w:trHeight w:val="540"/>
                <w:jc w:val="center"/>
              </w:trPr>
              <w:tc>
                <w:tcPr>
                  <w:tcW w:w="1300" w:type="dxa"/>
                  <w:tcBorders>
                    <w:top w:val="single" w:sz="8" w:space="0" w:color="auto"/>
                    <w:left w:val="single" w:sz="8" w:space="0" w:color="auto"/>
                    <w:bottom w:val="single" w:sz="8" w:space="0" w:color="auto"/>
                    <w:right w:val="single" w:sz="8" w:space="0" w:color="auto"/>
                  </w:tcBorders>
                  <w:shd w:val="clear" w:color="000000" w:fill="D9D9D9"/>
                  <w:vAlign w:val="center"/>
                  <w:hideMark/>
                </w:tcPr>
                <w:p w14:paraId="3BFDF234" w14:textId="77777777" w:rsidR="00E60F95" w:rsidRPr="0025220E" w:rsidRDefault="00E60F95" w:rsidP="00E60F95">
                  <w:pPr>
                    <w:jc w:val="center"/>
                    <w:rPr>
                      <w:rFonts w:ascii="Arial" w:hAnsi="Arial" w:cs="Arial"/>
                      <w:b/>
                      <w:bCs/>
                      <w:sz w:val="18"/>
                      <w:szCs w:val="18"/>
                    </w:rPr>
                  </w:pPr>
                  <w:r w:rsidRPr="0025220E">
                    <w:rPr>
                      <w:rFonts w:ascii="Arial" w:hAnsi="Arial" w:cs="Arial"/>
                      <w:b/>
                      <w:bCs/>
                      <w:sz w:val="18"/>
                      <w:szCs w:val="18"/>
                    </w:rPr>
                    <w:t>Tap #</w:t>
                  </w:r>
                </w:p>
              </w:tc>
              <w:tc>
                <w:tcPr>
                  <w:tcW w:w="1300" w:type="dxa"/>
                  <w:tcBorders>
                    <w:top w:val="single" w:sz="8" w:space="0" w:color="auto"/>
                    <w:left w:val="nil"/>
                    <w:bottom w:val="single" w:sz="8" w:space="0" w:color="auto"/>
                    <w:right w:val="single" w:sz="8" w:space="0" w:color="auto"/>
                  </w:tcBorders>
                  <w:shd w:val="clear" w:color="000000" w:fill="D9D9D9"/>
                  <w:vAlign w:val="center"/>
                  <w:hideMark/>
                </w:tcPr>
                <w:p w14:paraId="18419759" w14:textId="77777777" w:rsidR="00E60F95" w:rsidRPr="0025220E" w:rsidRDefault="00E60F95" w:rsidP="00E60F95">
                  <w:pPr>
                    <w:jc w:val="center"/>
                    <w:rPr>
                      <w:rFonts w:ascii="Arial" w:hAnsi="Arial" w:cs="Arial"/>
                      <w:b/>
                      <w:bCs/>
                      <w:sz w:val="18"/>
                      <w:szCs w:val="18"/>
                    </w:rPr>
                  </w:pPr>
                  <w:r w:rsidRPr="0025220E">
                    <w:rPr>
                      <w:rFonts w:ascii="Arial" w:hAnsi="Arial" w:cs="Arial"/>
                      <w:b/>
                      <w:bCs/>
                      <w:sz w:val="18"/>
                      <w:szCs w:val="18"/>
                    </w:rPr>
                    <w:t>Delay</w:t>
                  </w:r>
                </w:p>
              </w:tc>
              <w:tc>
                <w:tcPr>
                  <w:tcW w:w="1300" w:type="dxa"/>
                  <w:tcBorders>
                    <w:top w:val="single" w:sz="8" w:space="0" w:color="auto"/>
                    <w:left w:val="nil"/>
                    <w:bottom w:val="single" w:sz="8" w:space="0" w:color="auto"/>
                    <w:right w:val="single" w:sz="8" w:space="0" w:color="auto"/>
                  </w:tcBorders>
                  <w:shd w:val="clear" w:color="000000" w:fill="D9D9D9"/>
                  <w:vAlign w:val="center"/>
                  <w:hideMark/>
                </w:tcPr>
                <w:p w14:paraId="2757FEBC" w14:textId="77777777" w:rsidR="00E60F95" w:rsidRPr="0025220E" w:rsidRDefault="00E60F95" w:rsidP="00E60F95">
                  <w:pPr>
                    <w:jc w:val="center"/>
                    <w:rPr>
                      <w:rFonts w:ascii="Arial" w:hAnsi="Arial" w:cs="Arial"/>
                      <w:b/>
                      <w:bCs/>
                      <w:sz w:val="18"/>
                      <w:szCs w:val="18"/>
                    </w:rPr>
                  </w:pPr>
                  <w:r w:rsidRPr="0025220E">
                    <w:rPr>
                      <w:rFonts w:ascii="Arial" w:hAnsi="Arial" w:cs="Arial"/>
                      <w:b/>
                      <w:bCs/>
                      <w:sz w:val="18"/>
                      <w:szCs w:val="18"/>
                    </w:rPr>
                    <w:t>Power in [dB]</w:t>
                  </w:r>
                </w:p>
              </w:tc>
              <w:tc>
                <w:tcPr>
                  <w:tcW w:w="1300" w:type="dxa"/>
                  <w:tcBorders>
                    <w:top w:val="single" w:sz="8" w:space="0" w:color="auto"/>
                    <w:left w:val="nil"/>
                    <w:bottom w:val="single" w:sz="8" w:space="0" w:color="auto"/>
                    <w:right w:val="single" w:sz="8" w:space="0" w:color="auto"/>
                  </w:tcBorders>
                  <w:shd w:val="clear" w:color="000000" w:fill="D9D9D9"/>
                  <w:vAlign w:val="center"/>
                  <w:hideMark/>
                </w:tcPr>
                <w:p w14:paraId="75D43E1F" w14:textId="77777777" w:rsidR="00E60F95" w:rsidRPr="0025220E" w:rsidRDefault="00E60F95" w:rsidP="00E60F95">
                  <w:pPr>
                    <w:jc w:val="center"/>
                    <w:rPr>
                      <w:rFonts w:ascii="Arial" w:hAnsi="Arial" w:cs="Arial"/>
                      <w:b/>
                      <w:bCs/>
                      <w:sz w:val="18"/>
                      <w:szCs w:val="18"/>
                    </w:rPr>
                  </w:pPr>
                  <w:r w:rsidRPr="0025220E">
                    <w:rPr>
                      <w:rFonts w:ascii="Arial" w:hAnsi="Arial" w:cs="Arial"/>
                      <w:b/>
                      <w:bCs/>
                      <w:sz w:val="18"/>
                      <w:szCs w:val="18"/>
                    </w:rPr>
                    <w:t>Fading distribution</w:t>
                  </w:r>
                </w:p>
              </w:tc>
            </w:tr>
            <w:tr w:rsidR="00E60F95" w:rsidRPr="0025220E" w14:paraId="3C154205" w14:textId="77777777" w:rsidTr="009465DE">
              <w:trPr>
                <w:trHeight w:val="340"/>
                <w:jc w:val="center"/>
              </w:trPr>
              <w:tc>
                <w:tcPr>
                  <w:tcW w:w="1300" w:type="dxa"/>
                  <w:vMerge w:val="restart"/>
                  <w:tcBorders>
                    <w:top w:val="nil"/>
                    <w:left w:val="single" w:sz="8" w:space="0" w:color="auto"/>
                    <w:bottom w:val="single" w:sz="8" w:space="0" w:color="000000"/>
                    <w:right w:val="single" w:sz="8" w:space="0" w:color="auto"/>
                  </w:tcBorders>
                  <w:shd w:val="clear" w:color="auto" w:fill="auto"/>
                  <w:vAlign w:val="center"/>
                  <w:hideMark/>
                </w:tcPr>
                <w:p w14:paraId="0567D1E1" w14:textId="77777777" w:rsidR="00E60F95" w:rsidRPr="0025220E" w:rsidRDefault="00E60F95" w:rsidP="00E60F95">
                  <w:pPr>
                    <w:jc w:val="center"/>
                    <w:rPr>
                      <w:rFonts w:ascii="Arial" w:hAnsi="Arial" w:cs="Arial"/>
                      <w:sz w:val="18"/>
                      <w:szCs w:val="18"/>
                    </w:rPr>
                  </w:pPr>
                  <w:r w:rsidRPr="0025220E">
                    <w:rPr>
                      <w:rFonts w:ascii="Arial" w:hAnsi="Arial" w:cs="Arial"/>
                      <w:sz w:val="18"/>
                      <w:szCs w:val="18"/>
                    </w:rPr>
                    <w:t>1</w:t>
                  </w:r>
                </w:p>
              </w:tc>
              <w:tc>
                <w:tcPr>
                  <w:tcW w:w="1300" w:type="dxa"/>
                  <w:tcBorders>
                    <w:top w:val="nil"/>
                    <w:left w:val="nil"/>
                    <w:bottom w:val="single" w:sz="8" w:space="0" w:color="auto"/>
                    <w:right w:val="single" w:sz="8" w:space="0" w:color="auto"/>
                  </w:tcBorders>
                  <w:shd w:val="clear" w:color="auto" w:fill="auto"/>
                  <w:vAlign w:val="center"/>
                  <w:hideMark/>
                </w:tcPr>
                <w:p w14:paraId="7AEB5A3C" w14:textId="77777777" w:rsidR="00E60F95" w:rsidRPr="0025220E" w:rsidRDefault="00E60F95" w:rsidP="00E60F95">
                  <w:pPr>
                    <w:jc w:val="center"/>
                    <w:rPr>
                      <w:rFonts w:ascii="Arial" w:hAnsi="Arial" w:cs="Arial"/>
                      <w:sz w:val="18"/>
                      <w:szCs w:val="18"/>
                    </w:rPr>
                  </w:pPr>
                  <w:r w:rsidRPr="0025220E">
                    <w:rPr>
                      <w:rFonts w:ascii="Arial" w:hAnsi="Arial" w:cs="Arial"/>
                      <w:sz w:val="18"/>
                      <w:szCs w:val="18"/>
                    </w:rPr>
                    <w:t>0</w:t>
                  </w:r>
                </w:p>
              </w:tc>
              <w:tc>
                <w:tcPr>
                  <w:tcW w:w="1300" w:type="dxa"/>
                  <w:tcBorders>
                    <w:top w:val="nil"/>
                    <w:left w:val="nil"/>
                    <w:bottom w:val="single" w:sz="8" w:space="0" w:color="auto"/>
                    <w:right w:val="single" w:sz="8" w:space="0" w:color="auto"/>
                  </w:tcBorders>
                  <w:shd w:val="clear" w:color="auto" w:fill="auto"/>
                  <w:vAlign w:val="center"/>
                  <w:hideMark/>
                </w:tcPr>
                <w:p w14:paraId="31F1A429" w14:textId="77777777" w:rsidR="00E60F95" w:rsidRPr="0025220E" w:rsidRDefault="00E60F95" w:rsidP="00E60F95">
                  <w:pPr>
                    <w:jc w:val="center"/>
                    <w:rPr>
                      <w:rFonts w:ascii="Arial" w:hAnsi="Arial" w:cs="Arial"/>
                      <w:sz w:val="18"/>
                      <w:szCs w:val="18"/>
                    </w:rPr>
                  </w:pPr>
                  <w:r w:rsidRPr="0025220E">
                    <w:rPr>
                      <w:rFonts w:ascii="Arial" w:hAnsi="Arial" w:cs="Arial"/>
                      <w:sz w:val="18"/>
                      <w:szCs w:val="18"/>
                    </w:rPr>
                    <w:t>-0.6</w:t>
                  </w:r>
                </w:p>
              </w:tc>
              <w:tc>
                <w:tcPr>
                  <w:tcW w:w="1300" w:type="dxa"/>
                  <w:tcBorders>
                    <w:top w:val="nil"/>
                    <w:left w:val="nil"/>
                    <w:bottom w:val="single" w:sz="8" w:space="0" w:color="auto"/>
                    <w:right w:val="single" w:sz="8" w:space="0" w:color="auto"/>
                  </w:tcBorders>
                  <w:shd w:val="clear" w:color="auto" w:fill="auto"/>
                  <w:vAlign w:val="center"/>
                  <w:hideMark/>
                </w:tcPr>
                <w:p w14:paraId="1E33962F" w14:textId="77777777" w:rsidR="00E60F95" w:rsidRPr="0025220E" w:rsidRDefault="00E60F95" w:rsidP="00E60F95">
                  <w:pPr>
                    <w:jc w:val="center"/>
                    <w:rPr>
                      <w:rFonts w:ascii="Arial" w:hAnsi="Arial" w:cs="Arial"/>
                      <w:sz w:val="18"/>
                      <w:szCs w:val="18"/>
                    </w:rPr>
                  </w:pPr>
                  <w:r w:rsidRPr="0025220E">
                    <w:rPr>
                      <w:rFonts w:ascii="Arial" w:hAnsi="Arial" w:cs="Arial"/>
                      <w:sz w:val="18"/>
                      <w:szCs w:val="18"/>
                    </w:rPr>
                    <w:t>LOS path</w:t>
                  </w:r>
                </w:p>
              </w:tc>
            </w:tr>
            <w:tr w:rsidR="00E60F95" w:rsidRPr="0025220E" w14:paraId="2F7BA3B6" w14:textId="77777777" w:rsidTr="009465DE">
              <w:trPr>
                <w:trHeight w:val="340"/>
                <w:jc w:val="center"/>
              </w:trPr>
              <w:tc>
                <w:tcPr>
                  <w:tcW w:w="1300" w:type="dxa"/>
                  <w:vMerge/>
                  <w:tcBorders>
                    <w:top w:val="nil"/>
                    <w:left w:val="single" w:sz="8" w:space="0" w:color="auto"/>
                    <w:bottom w:val="single" w:sz="8" w:space="0" w:color="000000"/>
                    <w:right w:val="single" w:sz="8" w:space="0" w:color="auto"/>
                  </w:tcBorders>
                  <w:vAlign w:val="center"/>
                  <w:hideMark/>
                </w:tcPr>
                <w:p w14:paraId="16929575" w14:textId="77777777" w:rsidR="00E60F95" w:rsidRPr="0025220E" w:rsidRDefault="00E60F95" w:rsidP="00E60F95">
                  <w:pPr>
                    <w:rPr>
                      <w:rFonts w:ascii="Arial" w:hAnsi="Arial" w:cs="Arial"/>
                      <w:sz w:val="18"/>
                      <w:szCs w:val="18"/>
                    </w:rPr>
                  </w:pPr>
                </w:p>
              </w:tc>
              <w:tc>
                <w:tcPr>
                  <w:tcW w:w="1300" w:type="dxa"/>
                  <w:tcBorders>
                    <w:top w:val="nil"/>
                    <w:left w:val="nil"/>
                    <w:bottom w:val="single" w:sz="8" w:space="0" w:color="auto"/>
                    <w:right w:val="single" w:sz="8" w:space="0" w:color="auto"/>
                  </w:tcBorders>
                  <w:shd w:val="clear" w:color="auto" w:fill="auto"/>
                  <w:vAlign w:val="center"/>
                  <w:hideMark/>
                </w:tcPr>
                <w:p w14:paraId="107C629A" w14:textId="77777777" w:rsidR="00E60F95" w:rsidRPr="0025220E" w:rsidRDefault="00E60F95" w:rsidP="00E60F95">
                  <w:pPr>
                    <w:jc w:val="center"/>
                    <w:rPr>
                      <w:rFonts w:ascii="Arial" w:hAnsi="Arial" w:cs="Arial"/>
                      <w:sz w:val="18"/>
                      <w:szCs w:val="18"/>
                    </w:rPr>
                  </w:pPr>
                  <w:r w:rsidRPr="0025220E">
                    <w:rPr>
                      <w:rFonts w:ascii="Arial" w:hAnsi="Arial" w:cs="Arial"/>
                      <w:sz w:val="18"/>
                      <w:szCs w:val="18"/>
                    </w:rPr>
                    <w:t>0</w:t>
                  </w:r>
                </w:p>
              </w:tc>
              <w:tc>
                <w:tcPr>
                  <w:tcW w:w="1300" w:type="dxa"/>
                  <w:tcBorders>
                    <w:top w:val="nil"/>
                    <w:left w:val="nil"/>
                    <w:bottom w:val="single" w:sz="8" w:space="0" w:color="auto"/>
                    <w:right w:val="single" w:sz="8" w:space="0" w:color="auto"/>
                  </w:tcBorders>
                  <w:shd w:val="clear" w:color="auto" w:fill="auto"/>
                  <w:vAlign w:val="center"/>
                  <w:hideMark/>
                </w:tcPr>
                <w:p w14:paraId="0EDF7129" w14:textId="77777777" w:rsidR="00E60F95" w:rsidRPr="0025220E" w:rsidRDefault="00E60F95" w:rsidP="00E60F95">
                  <w:pPr>
                    <w:jc w:val="center"/>
                    <w:rPr>
                      <w:rFonts w:ascii="Arial" w:hAnsi="Arial" w:cs="Arial"/>
                      <w:sz w:val="18"/>
                      <w:szCs w:val="18"/>
                    </w:rPr>
                  </w:pPr>
                  <w:r w:rsidRPr="0025220E">
                    <w:rPr>
                      <w:rFonts w:ascii="Arial" w:hAnsi="Arial" w:cs="Arial"/>
                      <w:sz w:val="18"/>
                      <w:szCs w:val="18"/>
                    </w:rPr>
                    <w:t>-8.9</w:t>
                  </w:r>
                </w:p>
              </w:tc>
              <w:tc>
                <w:tcPr>
                  <w:tcW w:w="1300" w:type="dxa"/>
                  <w:tcBorders>
                    <w:top w:val="nil"/>
                    <w:left w:val="nil"/>
                    <w:bottom w:val="single" w:sz="8" w:space="0" w:color="auto"/>
                    <w:right w:val="single" w:sz="8" w:space="0" w:color="auto"/>
                  </w:tcBorders>
                  <w:shd w:val="clear" w:color="auto" w:fill="auto"/>
                  <w:vAlign w:val="center"/>
                  <w:hideMark/>
                </w:tcPr>
                <w:p w14:paraId="2D04E2C0" w14:textId="77777777" w:rsidR="00E60F95" w:rsidRPr="0025220E" w:rsidRDefault="00E60F95" w:rsidP="00E60F95">
                  <w:pPr>
                    <w:jc w:val="center"/>
                    <w:rPr>
                      <w:rFonts w:ascii="Arial" w:hAnsi="Arial" w:cs="Arial"/>
                      <w:sz w:val="18"/>
                      <w:szCs w:val="18"/>
                    </w:rPr>
                  </w:pPr>
                  <w:r w:rsidRPr="0025220E">
                    <w:rPr>
                      <w:rFonts w:ascii="Arial" w:hAnsi="Arial" w:cs="Arial"/>
                      <w:sz w:val="18"/>
                      <w:szCs w:val="18"/>
                    </w:rPr>
                    <w:t>Rayleigh</w:t>
                  </w:r>
                </w:p>
              </w:tc>
            </w:tr>
            <w:tr w:rsidR="00E60F95" w:rsidRPr="0025220E" w14:paraId="162F591F" w14:textId="77777777" w:rsidTr="009465DE">
              <w:trPr>
                <w:trHeight w:val="340"/>
                <w:jc w:val="center"/>
              </w:trPr>
              <w:tc>
                <w:tcPr>
                  <w:tcW w:w="1300" w:type="dxa"/>
                  <w:tcBorders>
                    <w:top w:val="nil"/>
                    <w:left w:val="single" w:sz="8" w:space="0" w:color="auto"/>
                    <w:bottom w:val="single" w:sz="4" w:space="0" w:color="auto"/>
                    <w:right w:val="single" w:sz="8" w:space="0" w:color="auto"/>
                  </w:tcBorders>
                  <w:shd w:val="clear" w:color="auto" w:fill="auto"/>
                  <w:vAlign w:val="center"/>
                  <w:hideMark/>
                </w:tcPr>
                <w:p w14:paraId="35444D4B" w14:textId="77777777" w:rsidR="00E60F95" w:rsidRPr="0025220E" w:rsidRDefault="00E60F95" w:rsidP="00E60F95">
                  <w:pPr>
                    <w:jc w:val="center"/>
                    <w:rPr>
                      <w:rFonts w:ascii="Arial" w:hAnsi="Arial" w:cs="Arial"/>
                      <w:sz w:val="18"/>
                      <w:szCs w:val="18"/>
                    </w:rPr>
                  </w:pPr>
                  <w:r w:rsidRPr="0025220E">
                    <w:rPr>
                      <w:rFonts w:ascii="Arial" w:hAnsi="Arial" w:cs="Arial"/>
                      <w:sz w:val="18"/>
                      <w:szCs w:val="18"/>
                    </w:rPr>
                    <w:t>2</w:t>
                  </w:r>
                </w:p>
              </w:tc>
              <w:tc>
                <w:tcPr>
                  <w:tcW w:w="1300" w:type="dxa"/>
                  <w:tcBorders>
                    <w:top w:val="nil"/>
                    <w:left w:val="nil"/>
                    <w:bottom w:val="single" w:sz="4" w:space="0" w:color="auto"/>
                    <w:right w:val="single" w:sz="8" w:space="0" w:color="auto"/>
                  </w:tcBorders>
                  <w:shd w:val="clear" w:color="auto" w:fill="auto"/>
                  <w:vAlign w:val="center"/>
                  <w:hideMark/>
                </w:tcPr>
                <w:p w14:paraId="1855F75D" w14:textId="77777777" w:rsidR="00E60F95" w:rsidRPr="0025220E" w:rsidRDefault="00E60F95" w:rsidP="00E60F95">
                  <w:pPr>
                    <w:jc w:val="center"/>
                    <w:rPr>
                      <w:rFonts w:ascii="Arial" w:hAnsi="Arial" w:cs="Arial"/>
                      <w:sz w:val="18"/>
                      <w:szCs w:val="18"/>
                      <w:highlight w:val="green"/>
                    </w:rPr>
                  </w:pPr>
                  <w:r w:rsidRPr="0025220E">
                    <w:rPr>
                      <w:rFonts w:ascii="Arial" w:hAnsi="Arial" w:cs="Arial"/>
                      <w:sz w:val="18"/>
                      <w:szCs w:val="18"/>
                    </w:rPr>
                    <w:t>60</w:t>
                  </w:r>
                </w:p>
              </w:tc>
              <w:tc>
                <w:tcPr>
                  <w:tcW w:w="1300" w:type="dxa"/>
                  <w:tcBorders>
                    <w:top w:val="nil"/>
                    <w:left w:val="nil"/>
                    <w:bottom w:val="single" w:sz="4" w:space="0" w:color="auto"/>
                    <w:right w:val="single" w:sz="8" w:space="0" w:color="auto"/>
                  </w:tcBorders>
                  <w:shd w:val="clear" w:color="auto" w:fill="auto"/>
                  <w:vAlign w:val="center"/>
                  <w:hideMark/>
                </w:tcPr>
                <w:p w14:paraId="34FF5858" w14:textId="77777777" w:rsidR="00E60F95" w:rsidRPr="0025220E" w:rsidRDefault="00E60F95" w:rsidP="00E60F95">
                  <w:pPr>
                    <w:jc w:val="center"/>
                    <w:rPr>
                      <w:rFonts w:ascii="Arial" w:hAnsi="Arial" w:cs="Arial"/>
                      <w:sz w:val="18"/>
                      <w:szCs w:val="18"/>
                    </w:rPr>
                  </w:pPr>
                  <w:r w:rsidRPr="00C33D76">
                    <w:rPr>
                      <w:rFonts w:ascii="Arial" w:hAnsi="Arial" w:cs="Arial"/>
                      <w:sz w:val="18"/>
                      <w:szCs w:val="18"/>
                    </w:rPr>
                    <w:t>-21.5</w:t>
                  </w:r>
                  <w:r w:rsidRPr="0025220E">
                    <w:rPr>
                      <w:rFonts w:ascii="Arial" w:hAnsi="Arial" w:cs="Arial"/>
                      <w:sz w:val="18"/>
                      <w:szCs w:val="18"/>
                    </w:rPr>
                    <w:t xml:space="preserve"> </w:t>
                  </w:r>
                </w:p>
              </w:tc>
              <w:tc>
                <w:tcPr>
                  <w:tcW w:w="1300" w:type="dxa"/>
                  <w:tcBorders>
                    <w:top w:val="nil"/>
                    <w:left w:val="nil"/>
                    <w:bottom w:val="single" w:sz="4" w:space="0" w:color="auto"/>
                    <w:right w:val="single" w:sz="8" w:space="0" w:color="auto"/>
                  </w:tcBorders>
                  <w:shd w:val="clear" w:color="auto" w:fill="auto"/>
                  <w:vAlign w:val="center"/>
                  <w:hideMark/>
                </w:tcPr>
                <w:p w14:paraId="42ECEC3B" w14:textId="77777777" w:rsidR="00E60F95" w:rsidRPr="0025220E" w:rsidRDefault="00E60F95" w:rsidP="00E60F95">
                  <w:pPr>
                    <w:jc w:val="center"/>
                    <w:rPr>
                      <w:rFonts w:ascii="Arial" w:hAnsi="Arial" w:cs="Arial"/>
                      <w:sz w:val="18"/>
                      <w:szCs w:val="18"/>
                    </w:rPr>
                  </w:pPr>
                  <w:r w:rsidRPr="0025220E">
                    <w:rPr>
                      <w:rFonts w:ascii="Arial" w:hAnsi="Arial" w:cs="Arial"/>
                      <w:sz w:val="18"/>
                      <w:szCs w:val="18"/>
                    </w:rPr>
                    <w:t>Rayleigh</w:t>
                  </w:r>
                </w:p>
              </w:tc>
            </w:tr>
          </w:tbl>
          <w:p w14:paraId="76F317F9" w14:textId="77777777" w:rsidR="00E60F95" w:rsidRDefault="00E60F95" w:rsidP="000A1C95">
            <w:pPr>
              <w:spacing w:after="120"/>
              <w:rPr>
                <w:rFonts w:eastAsia="SimSun"/>
                <w:b/>
                <w:sz w:val="20"/>
                <w:szCs w:val="20"/>
                <w:u w:val="single"/>
                <w:lang w:val="en-GB" w:eastAsia="en-GB"/>
              </w:rPr>
            </w:pPr>
          </w:p>
          <w:p w14:paraId="3FE498F6" w14:textId="77777777" w:rsidR="00E60F95" w:rsidRDefault="00E60F95" w:rsidP="000A1C95">
            <w:pPr>
              <w:spacing w:after="120"/>
              <w:rPr>
                <w:rFonts w:eastAsia="SimSun"/>
                <w:b/>
                <w:sz w:val="20"/>
                <w:szCs w:val="20"/>
                <w:u w:val="single"/>
                <w:lang w:val="en-GB" w:eastAsia="en-GB"/>
              </w:rPr>
            </w:pPr>
          </w:p>
          <w:p w14:paraId="3987793B" w14:textId="766D4C22" w:rsidR="00E42A18" w:rsidRDefault="00E42A18" w:rsidP="00E42A18">
            <w:pPr>
              <w:spacing w:after="120"/>
              <w:rPr>
                <w:rFonts w:eastAsia="SimSun"/>
                <w:b/>
                <w:sz w:val="20"/>
                <w:szCs w:val="20"/>
                <w:u w:val="single"/>
                <w:lang w:val="en-GB" w:eastAsia="en-GB"/>
              </w:rPr>
            </w:pPr>
            <w:r>
              <w:rPr>
                <w:rFonts w:eastAsia="SimSun"/>
                <w:b/>
                <w:sz w:val="20"/>
                <w:szCs w:val="20"/>
                <w:u w:val="single"/>
                <w:lang w:val="en-GB" w:eastAsia="en-GB"/>
              </w:rPr>
              <w:t>PDSCH Demod</w:t>
            </w:r>
          </w:p>
          <w:p w14:paraId="3A9B114F" w14:textId="3E2B374F" w:rsidR="00E60F95" w:rsidRPr="00E60F95" w:rsidRDefault="00E60F95" w:rsidP="00E60F95">
            <w:pPr>
              <w:spacing w:after="120"/>
              <w:jc w:val="both"/>
              <w:rPr>
                <w:rFonts w:eastAsia="SimSun"/>
                <w:b/>
                <w:bCs/>
                <w:sz w:val="20"/>
                <w:szCs w:val="20"/>
                <w:u w:val="single"/>
                <w:lang w:val="en-GB" w:eastAsia="en-GB"/>
              </w:rPr>
            </w:pPr>
            <w:proofErr w:type="spellStart"/>
            <w:r w:rsidRPr="00E60F95">
              <w:rPr>
                <w:rFonts w:eastAsia="SimSun"/>
                <w:b/>
                <w:bCs/>
                <w:sz w:val="20"/>
                <w:szCs w:val="20"/>
                <w:u w:val="single"/>
                <w:lang w:val="en-GB" w:eastAsia="en-GB"/>
              </w:rPr>
              <w:t>K_offset</w:t>
            </w:r>
            <w:proofErr w:type="spellEnd"/>
            <w:r w:rsidRPr="00E60F95">
              <w:rPr>
                <w:rFonts w:eastAsia="SimSun"/>
                <w:b/>
                <w:bCs/>
                <w:sz w:val="20"/>
                <w:szCs w:val="20"/>
                <w:u w:val="single"/>
                <w:lang w:val="en-GB" w:eastAsia="en-GB"/>
              </w:rPr>
              <w:t xml:space="preserve"> value</w:t>
            </w:r>
          </w:p>
          <w:p w14:paraId="48B82923" w14:textId="3DF6BFDC" w:rsidR="00E60F95" w:rsidRPr="00E60F95" w:rsidRDefault="00E60F95" w:rsidP="00E60F95">
            <w:pPr>
              <w:numPr>
                <w:ilvl w:val="0"/>
                <w:numId w:val="3"/>
              </w:numPr>
              <w:spacing w:after="120"/>
              <w:jc w:val="both"/>
              <w:rPr>
                <w:rFonts w:eastAsia="SimSun"/>
                <w:sz w:val="20"/>
                <w:szCs w:val="20"/>
                <w:lang w:val="en-GB" w:eastAsia="en-GB"/>
              </w:rPr>
            </w:pPr>
            <w:r w:rsidRPr="00E60F95">
              <w:rPr>
                <w:rFonts w:eastAsia="SimSun"/>
                <w:sz w:val="20"/>
                <w:szCs w:val="20"/>
                <w:lang w:val="en-GB" w:eastAsia="en-GB"/>
              </w:rPr>
              <w:lastRenderedPageBreak/>
              <w:t xml:space="preserve">Confirm </w:t>
            </w:r>
            <w:proofErr w:type="spellStart"/>
            <w:r w:rsidRPr="00E60F95">
              <w:rPr>
                <w:rFonts w:eastAsia="SimSun"/>
                <w:sz w:val="20"/>
                <w:szCs w:val="20"/>
                <w:lang w:val="en-GB" w:eastAsia="en-GB"/>
              </w:rPr>
              <w:t>K_offset</w:t>
            </w:r>
            <w:proofErr w:type="spellEnd"/>
            <w:r w:rsidRPr="00E60F95">
              <w:rPr>
                <w:rFonts w:eastAsia="SimSun"/>
                <w:sz w:val="20"/>
                <w:szCs w:val="20"/>
                <w:lang w:val="en-GB" w:eastAsia="en-GB"/>
              </w:rPr>
              <w:t xml:space="preserve"> equal to 8 slots for 15kHz SCS for all the HARQ configurations</w:t>
            </w:r>
          </w:p>
          <w:p w14:paraId="428C19F8" w14:textId="77777777" w:rsidR="00E60F95" w:rsidRPr="00E60F95" w:rsidRDefault="00E60F95" w:rsidP="00E60F95">
            <w:pPr>
              <w:spacing w:after="120"/>
              <w:jc w:val="both"/>
              <w:rPr>
                <w:rFonts w:eastAsia="SimSun"/>
                <w:b/>
                <w:sz w:val="20"/>
                <w:szCs w:val="20"/>
                <w:u w:val="single"/>
                <w:lang w:val="en-GB" w:eastAsia="en-GB"/>
              </w:rPr>
            </w:pPr>
            <w:r w:rsidRPr="00E60F95">
              <w:rPr>
                <w:rFonts w:eastAsia="SimSun"/>
                <w:b/>
                <w:sz w:val="20"/>
                <w:szCs w:val="20"/>
                <w:u w:val="single"/>
                <w:lang w:val="en-GB" w:eastAsia="en-GB"/>
              </w:rPr>
              <w:t>Doppler shift for LOS Path in the NTN TDL-C Channel</w:t>
            </w:r>
          </w:p>
          <w:p w14:paraId="3B28FE31" w14:textId="5E3558F3" w:rsidR="00E60F95" w:rsidRPr="00E60F95" w:rsidRDefault="00E60F95" w:rsidP="00E60F95">
            <w:pPr>
              <w:numPr>
                <w:ilvl w:val="0"/>
                <w:numId w:val="3"/>
              </w:numPr>
              <w:spacing w:after="120"/>
              <w:jc w:val="both"/>
              <w:rPr>
                <w:rFonts w:eastAsia="SimSun"/>
                <w:sz w:val="20"/>
                <w:szCs w:val="20"/>
                <w:lang w:val="en-GB" w:eastAsia="en-GB"/>
              </w:rPr>
            </w:pPr>
            <w:r w:rsidRPr="00E60F95">
              <w:rPr>
                <w:rFonts w:eastAsia="SimSun"/>
                <w:sz w:val="20"/>
                <w:szCs w:val="20"/>
                <w:lang w:val="en-GB" w:eastAsia="en-GB"/>
              </w:rPr>
              <w:t>The same scaling factor as the TN channel models, i.e., (0.7*</w:t>
            </w:r>
            <w:proofErr w:type="spellStart"/>
            <w:r w:rsidRPr="00E60F95">
              <w:rPr>
                <w:rFonts w:eastAsia="SimSun"/>
                <w:sz w:val="20"/>
                <w:szCs w:val="20"/>
                <w:lang w:val="en-GB" w:eastAsia="en-GB"/>
              </w:rPr>
              <w:t>fD</w:t>
            </w:r>
            <w:proofErr w:type="spellEnd"/>
            <w:r w:rsidRPr="00E60F95">
              <w:rPr>
                <w:rFonts w:eastAsia="SimSun"/>
                <w:sz w:val="20"/>
                <w:szCs w:val="20"/>
                <w:lang w:val="en-GB" w:eastAsia="en-GB"/>
              </w:rPr>
              <w:t xml:space="preserve">) with </w:t>
            </w:r>
            <w:proofErr w:type="spellStart"/>
            <w:r w:rsidRPr="00E60F95">
              <w:rPr>
                <w:rFonts w:eastAsia="SimSun"/>
                <w:sz w:val="20"/>
                <w:szCs w:val="20"/>
                <w:lang w:val="en-GB" w:eastAsia="en-GB"/>
              </w:rPr>
              <w:t>AoA</w:t>
            </w:r>
            <w:proofErr w:type="spellEnd"/>
            <w:r w:rsidRPr="00E60F95">
              <w:rPr>
                <w:rFonts w:eastAsia="SimSun"/>
                <w:sz w:val="20"/>
                <w:szCs w:val="20"/>
                <w:lang w:val="en-GB" w:eastAsia="en-GB"/>
              </w:rPr>
              <w:t xml:space="preserve"> of 45 degree is assumed for UE side in the simulation. No need to explicitly reflect this agreement in the TS 38101-5.</w:t>
            </w:r>
          </w:p>
          <w:p w14:paraId="1135F506" w14:textId="5B3975B3" w:rsidR="00E60F95" w:rsidRPr="00E60F95" w:rsidRDefault="00E60F95" w:rsidP="00E60F95">
            <w:pPr>
              <w:spacing w:after="120"/>
              <w:jc w:val="both"/>
              <w:rPr>
                <w:rFonts w:eastAsia="SimSun"/>
                <w:b/>
                <w:sz w:val="20"/>
                <w:szCs w:val="20"/>
                <w:u w:val="single"/>
                <w:lang w:val="en-GB" w:eastAsia="en-GB"/>
              </w:rPr>
            </w:pPr>
            <w:r w:rsidRPr="00E60F95">
              <w:rPr>
                <w:rFonts w:eastAsia="SimSun"/>
                <w:b/>
                <w:sz w:val="20"/>
                <w:szCs w:val="20"/>
                <w:u w:val="single"/>
                <w:lang w:val="en-GB" w:eastAsia="en-GB"/>
              </w:rPr>
              <w:t>Modulation order</w:t>
            </w:r>
          </w:p>
          <w:p w14:paraId="18920AA1" w14:textId="6BE21480" w:rsidR="00E60F95" w:rsidRPr="00E60F95" w:rsidRDefault="00E60F95" w:rsidP="00E60F95">
            <w:pPr>
              <w:numPr>
                <w:ilvl w:val="0"/>
                <w:numId w:val="3"/>
              </w:numPr>
              <w:spacing w:after="120"/>
              <w:jc w:val="both"/>
              <w:rPr>
                <w:rFonts w:eastAsia="SimSun"/>
                <w:sz w:val="20"/>
                <w:szCs w:val="20"/>
                <w:lang w:val="en-GB" w:eastAsia="en-GB"/>
              </w:rPr>
            </w:pPr>
            <w:r w:rsidRPr="00E60F95">
              <w:rPr>
                <w:rFonts w:eastAsia="SimSun"/>
                <w:sz w:val="20"/>
                <w:szCs w:val="20"/>
                <w:lang w:val="en-GB" w:eastAsia="en-GB"/>
              </w:rPr>
              <w:t>Do not define PDSCH performance requirements for 64QAM</w:t>
            </w:r>
          </w:p>
          <w:p w14:paraId="4BB6DB3C" w14:textId="75387F2C" w:rsidR="00E60F95" w:rsidRPr="00E60F95" w:rsidRDefault="00E60F95" w:rsidP="00E60F95">
            <w:pPr>
              <w:spacing w:after="120"/>
              <w:jc w:val="both"/>
              <w:rPr>
                <w:rFonts w:eastAsia="SimSun"/>
                <w:b/>
                <w:sz w:val="20"/>
                <w:szCs w:val="20"/>
                <w:u w:val="single"/>
                <w:lang w:val="en-GB" w:eastAsia="en-GB"/>
              </w:rPr>
            </w:pPr>
            <w:r w:rsidRPr="00E60F95">
              <w:rPr>
                <w:rFonts w:eastAsia="SimSun"/>
                <w:b/>
                <w:sz w:val="20"/>
                <w:szCs w:val="20"/>
                <w:u w:val="single"/>
                <w:lang w:val="en-GB" w:eastAsia="en-GB"/>
              </w:rPr>
              <w:t>SCS/CBW set</w:t>
            </w:r>
          </w:p>
          <w:p w14:paraId="06F49041" w14:textId="5D71E3AE" w:rsidR="00E60F95" w:rsidRPr="00E60F95" w:rsidRDefault="00E60F95" w:rsidP="00E60F95">
            <w:pPr>
              <w:numPr>
                <w:ilvl w:val="0"/>
                <w:numId w:val="3"/>
              </w:numPr>
              <w:spacing w:after="120"/>
              <w:jc w:val="both"/>
              <w:rPr>
                <w:rFonts w:eastAsia="SimSun"/>
                <w:sz w:val="20"/>
                <w:szCs w:val="20"/>
                <w:lang w:val="en-GB" w:eastAsia="en-GB"/>
              </w:rPr>
            </w:pPr>
            <w:r w:rsidRPr="00E60F95">
              <w:rPr>
                <w:rFonts w:eastAsia="SimSun"/>
                <w:sz w:val="20"/>
                <w:szCs w:val="20"/>
                <w:lang w:val="en-GB" w:eastAsia="en-GB"/>
              </w:rPr>
              <w:t>De-prioritize requirements with 30KHz /20MHz SCS/CBW set in Rel-17 and propose to revisit in later release based on demand and deployment plans.</w:t>
            </w:r>
          </w:p>
          <w:p w14:paraId="4A0EDB0D" w14:textId="0EC5C10D" w:rsidR="005671B2" w:rsidRPr="00150312" w:rsidRDefault="005671B2" w:rsidP="003B7D70">
            <w:pPr>
              <w:spacing w:after="120"/>
              <w:ind w:left="936"/>
              <w:rPr>
                <w:rFonts w:eastAsia="SimSun"/>
                <w:bCs/>
                <w:sz w:val="20"/>
                <w:szCs w:val="20"/>
                <w:lang w:val="en-GB" w:eastAsia="en-GB"/>
              </w:rPr>
            </w:pPr>
            <w:r w:rsidRPr="005671B2">
              <w:rPr>
                <w:rFonts w:eastAsia="SimSun"/>
                <w:bCs/>
                <w:sz w:val="20"/>
                <w:szCs w:val="20"/>
                <w:lang w:val="en-GB" w:eastAsia="en-GB"/>
              </w:rPr>
              <w:t xml:space="preserve"> </w:t>
            </w:r>
          </w:p>
        </w:tc>
      </w:tr>
    </w:tbl>
    <w:p w14:paraId="160A65E8" w14:textId="77777777" w:rsidR="000A1C95" w:rsidRDefault="000A1C95" w:rsidP="005B410D">
      <w:pPr>
        <w:spacing w:after="120"/>
        <w:rPr>
          <w:rFonts w:eastAsia="SimSun"/>
          <w:sz w:val="20"/>
          <w:szCs w:val="20"/>
          <w:lang w:val="en-GB" w:eastAsia="en-GB"/>
        </w:rPr>
      </w:pPr>
    </w:p>
    <w:p w14:paraId="0B04043D" w14:textId="3F87BDA6" w:rsidR="003B7D70" w:rsidRDefault="003B7D70" w:rsidP="005B410D">
      <w:pPr>
        <w:spacing w:after="120"/>
        <w:rPr>
          <w:rFonts w:eastAsia="SimSun"/>
          <w:sz w:val="20"/>
          <w:szCs w:val="20"/>
          <w:lang w:val="en-GB" w:eastAsia="en-GB"/>
        </w:rPr>
      </w:pPr>
      <w:r>
        <w:rPr>
          <w:rFonts w:eastAsia="SimSun"/>
          <w:sz w:val="20"/>
          <w:szCs w:val="20"/>
          <w:lang w:val="en-GB" w:eastAsia="en-GB"/>
        </w:rPr>
        <w:t xml:space="preserve">In </w:t>
      </w:r>
      <w:r w:rsidR="007159BD">
        <w:rPr>
          <w:rFonts w:eastAsia="SimSun"/>
          <w:sz w:val="20"/>
          <w:szCs w:val="20"/>
          <w:lang w:val="en-GB" w:eastAsia="en-GB"/>
        </w:rPr>
        <w:t>addition,</w:t>
      </w:r>
      <w:r>
        <w:rPr>
          <w:rFonts w:eastAsia="SimSun"/>
          <w:sz w:val="20"/>
          <w:szCs w:val="20"/>
          <w:lang w:val="en-GB" w:eastAsia="en-GB"/>
        </w:rPr>
        <w:t xml:space="preserve"> we also agreed on the HARQ configuration for different MCS, propagation channel as below:</w:t>
      </w:r>
    </w:p>
    <w:tbl>
      <w:tblPr>
        <w:tblW w:w="0" w:type="auto"/>
        <w:jc w:val="center"/>
        <w:tblCellMar>
          <w:left w:w="0" w:type="dxa"/>
          <w:right w:w="0" w:type="dxa"/>
        </w:tblCellMar>
        <w:tblLook w:val="04A0" w:firstRow="1" w:lastRow="0" w:firstColumn="1" w:lastColumn="0" w:noHBand="0" w:noVBand="1"/>
      </w:tblPr>
      <w:tblGrid>
        <w:gridCol w:w="2715"/>
        <w:gridCol w:w="1875"/>
        <w:gridCol w:w="2310"/>
      </w:tblGrid>
      <w:tr w:rsidR="003B7D70" w:rsidRPr="0025220E" w14:paraId="31CC0F26" w14:textId="77777777" w:rsidTr="009465DE">
        <w:trPr>
          <w:trHeight w:val="450"/>
          <w:jc w:val="center"/>
        </w:trPr>
        <w:tc>
          <w:tcPr>
            <w:tcW w:w="2715" w:type="dxa"/>
            <w:tcBorders>
              <w:top w:val="single" w:sz="2" w:space="0" w:color="auto"/>
              <w:left w:val="single" w:sz="2" w:space="0" w:color="auto"/>
              <w:bottom w:val="single" w:sz="6" w:space="0" w:color="auto"/>
              <w:right w:val="single" w:sz="6" w:space="0" w:color="auto"/>
            </w:tcBorders>
            <w:shd w:val="clear" w:color="auto" w:fill="auto"/>
            <w:tcMar>
              <w:top w:w="0" w:type="dxa"/>
              <w:left w:w="75" w:type="dxa"/>
              <w:bottom w:w="0" w:type="dxa"/>
              <w:right w:w="75" w:type="dxa"/>
            </w:tcMar>
            <w:vAlign w:val="center"/>
            <w:hideMark/>
          </w:tcPr>
          <w:p w14:paraId="0C879E96" w14:textId="77777777" w:rsidR="003B7D70" w:rsidRPr="0025220E" w:rsidRDefault="003B7D70" w:rsidP="009465DE">
            <w:pPr>
              <w:jc w:val="center"/>
              <w:rPr>
                <w:rFonts w:eastAsia="Arial Unicode MS"/>
              </w:rPr>
            </w:pPr>
            <w:r w:rsidRPr="0025220E">
              <w:rPr>
                <w:rFonts w:eastAsia="Arial Unicode MS"/>
                <w:b/>
                <w:bCs/>
              </w:rPr>
              <w:t>Prop. Channel</w:t>
            </w:r>
          </w:p>
        </w:tc>
        <w:tc>
          <w:tcPr>
            <w:tcW w:w="1875" w:type="dxa"/>
            <w:tcBorders>
              <w:top w:val="single" w:sz="2" w:space="0" w:color="auto"/>
              <w:left w:val="single" w:sz="6" w:space="0" w:color="auto"/>
              <w:bottom w:val="single" w:sz="6" w:space="0" w:color="auto"/>
              <w:right w:val="single" w:sz="6" w:space="0" w:color="auto"/>
            </w:tcBorders>
            <w:shd w:val="clear" w:color="auto" w:fill="auto"/>
            <w:tcMar>
              <w:top w:w="0" w:type="dxa"/>
              <w:left w:w="75" w:type="dxa"/>
              <w:bottom w:w="0" w:type="dxa"/>
              <w:right w:w="75" w:type="dxa"/>
            </w:tcMar>
            <w:vAlign w:val="center"/>
            <w:hideMark/>
          </w:tcPr>
          <w:p w14:paraId="49DB85E2" w14:textId="77777777" w:rsidR="003B7D70" w:rsidRPr="0025220E" w:rsidRDefault="003B7D70" w:rsidP="009465DE">
            <w:pPr>
              <w:jc w:val="center"/>
              <w:rPr>
                <w:rFonts w:eastAsia="Arial Unicode MS"/>
              </w:rPr>
            </w:pPr>
            <w:r w:rsidRPr="0025220E">
              <w:rPr>
                <w:rFonts w:eastAsia="Arial Unicode MS"/>
                <w:b/>
                <w:bCs/>
              </w:rPr>
              <w:t>MCS</w:t>
            </w:r>
          </w:p>
        </w:tc>
        <w:tc>
          <w:tcPr>
            <w:tcW w:w="2310" w:type="dxa"/>
            <w:tcBorders>
              <w:top w:val="single" w:sz="2" w:space="0" w:color="auto"/>
              <w:left w:val="single" w:sz="6" w:space="0" w:color="auto"/>
              <w:bottom w:val="single" w:sz="6" w:space="0" w:color="auto"/>
              <w:right w:val="single" w:sz="2" w:space="0" w:color="auto"/>
            </w:tcBorders>
            <w:shd w:val="clear" w:color="auto" w:fill="auto"/>
            <w:tcMar>
              <w:top w:w="0" w:type="dxa"/>
              <w:left w:w="75" w:type="dxa"/>
              <w:bottom w:w="0" w:type="dxa"/>
              <w:right w:w="75" w:type="dxa"/>
            </w:tcMar>
            <w:vAlign w:val="center"/>
            <w:hideMark/>
          </w:tcPr>
          <w:p w14:paraId="05ABFB15" w14:textId="77777777" w:rsidR="003B7D70" w:rsidRPr="0025220E" w:rsidRDefault="003B7D70" w:rsidP="009465DE">
            <w:pPr>
              <w:jc w:val="center"/>
              <w:rPr>
                <w:rFonts w:eastAsia="Arial Unicode MS"/>
              </w:rPr>
            </w:pPr>
            <w:r w:rsidRPr="0025220E">
              <w:rPr>
                <w:rFonts w:eastAsia="Arial Unicode MS"/>
                <w:b/>
                <w:bCs/>
              </w:rPr>
              <w:t>HARQ Config</w:t>
            </w:r>
          </w:p>
        </w:tc>
      </w:tr>
      <w:tr w:rsidR="003B7D70" w:rsidRPr="0025220E" w14:paraId="671BBE4C" w14:textId="77777777" w:rsidTr="009465DE">
        <w:trPr>
          <w:trHeight w:val="435"/>
          <w:jc w:val="center"/>
        </w:trPr>
        <w:tc>
          <w:tcPr>
            <w:tcW w:w="2715" w:type="dxa"/>
            <w:vMerge w:val="restart"/>
            <w:tcBorders>
              <w:top w:val="single" w:sz="6" w:space="0" w:color="auto"/>
              <w:left w:val="single" w:sz="2" w:space="0" w:color="auto"/>
              <w:bottom w:val="single" w:sz="6" w:space="0" w:color="auto"/>
              <w:right w:val="single" w:sz="6" w:space="0" w:color="auto"/>
            </w:tcBorders>
            <w:shd w:val="clear" w:color="auto" w:fill="auto"/>
            <w:tcMar>
              <w:top w:w="0" w:type="dxa"/>
              <w:left w:w="75" w:type="dxa"/>
              <w:bottom w:w="0" w:type="dxa"/>
              <w:right w:w="75" w:type="dxa"/>
            </w:tcMar>
            <w:vAlign w:val="center"/>
            <w:hideMark/>
          </w:tcPr>
          <w:p w14:paraId="7C6DF952" w14:textId="77777777" w:rsidR="003B7D70" w:rsidRPr="0025220E" w:rsidRDefault="003B7D70" w:rsidP="009465DE">
            <w:pPr>
              <w:jc w:val="center"/>
              <w:rPr>
                <w:rFonts w:eastAsia="Arial Unicode MS"/>
              </w:rPr>
            </w:pPr>
            <w:r w:rsidRPr="0025220E">
              <w:rPr>
                <w:rFonts w:eastAsia="Arial Unicode MS"/>
              </w:rPr>
              <w:t>NTN-TDLA100-200</w:t>
            </w:r>
          </w:p>
        </w:tc>
        <w:tc>
          <w:tcPr>
            <w:tcW w:w="1875" w:type="dxa"/>
            <w:tcBorders>
              <w:top w:val="single" w:sz="6" w:space="0" w:color="353C41"/>
              <w:left w:val="single" w:sz="6" w:space="0" w:color="8397A2"/>
              <w:bottom w:val="single" w:sz="6" w:space="0" w:color="353C41"/>
              <w:right w:val="single" w:sz="6" w:space="0" w:color="8397A2"/>
            </w:tcBorders>
            <w:shd w:val="clear" w:color="auto" w:fill="auto"/>
            <w:tcMar>
              <w:top w:w="0" w:type="dxa"/>
              <w:left w:w="75" w:type="dxa"/>
              <w:bottom w:w="0" w:type="dxa"/>
              <w:right w:w="75" w:type="dxa"/>
            </w:tcMar>
            <w:vAlign w:val="center"/>
            <w:hideMark/>
          </w:tcPr>
          <w:p w14:paraId="2202BACC" w14:textId="77777777" w:rsidR="003B7D70" w:rsidRPr="0025220E" w:rsidRDefault="003B7D70" w:rsidP="009465DE">
            <w:pPr>
              <w:jc w:val="center"/>
              <w:rPr>
                <w:rFonts w:eastAsia="Arial Unicode MS"/>
              </w:rPr>
            </w:pPr>
            <w:r w:rsidRPr="0025220E">
              <w:rPr>
                <w:rFonts w:eastAsia="Arial Unicode MS"/>
              </w:rPr>
              <w:t>MCS4</w:t>
            </w:r>
          </w:p>
        </w:tc>
        <w:tc>
          <w:tcPr>
            <w:tcW w:w="2310" w:type="dxa"/>
            <w:tcBorders>
              <w:top w:val="single" w:sz="6" w:space="0" w:color="auto"/>
              <w:left w:val="single" w:sz="6" w:space="0" w:color="auto"/>
              <w:bottom w:val="single" w:sz="6" w:space="0" w:color="auto"/>
              <w:right w:val="single" w:sz="2" w:space="0" w:color="auto"/>
            </w:tcBorders>
            <w:shd w:val="clear" w:color="auto" w:fill="auto"/>
            <w:tcMar>
              <w:top w:w="0" w:type="dxa"/>
              <w:left w:w="75" w:type="dxa"/>
              <w:bottom w:w="0" w:type="dxa"/>
              <w:right w:w="75" w:type="dxa"/>
            </w:tcMar>
            <w:vAlign w:val="center"/>
            <w:hideMark/>
          </w:tcPr>
          <w:p w14:paraId="5DC4EF43" w14:textId="77777777" w:rsidR="003B7D70" w:rsidRPr="0025220E" w:rsidRDefault="003B7D70" w:rsidP="009465DE">
            <w:pPr>
              <w:jc w:val="center"/>
              <w:rPr>
                <w:rFonts w:eastAsia="Arial Unicode MS"/>
              </w:rPr>
            </w:pPr>
            <w:r w:rsidRPr="0025220E">
              <w:rPr>
                <w:rFonts w:eastAsia="Arial Unicode MS"/>
              </w:rPr>
              <w:t xml:space="preserve">Disabled HARQ </w:t>
            </w:r>
          </w:p>
        </w:tc>
      </w:tr>
      <w:tr w:rsidR="003B7D70" w:rsidRPr="0025220E" w14:paraId="3718494F" w14:textId="77777777" w:rsidTr="009465DE">
        <w:trPr>
          <w:trHeight w:val="450"/>
          <w:jc w:val="center"/>
        </w:trPr>
        <w:tc>
          <w:tcPr>
            <w:tcW w:w="0" w:type="auto"/>
            <w:vMerge/>
            <w:tcBorders>
              <w:top w:val="single" w:sz="6" w:space="0" w:color="auto"/>
              <w:left w:val="single" w:sz="2" w:space="0" w:color="auto"/>
              <w:bottom w:val="single" w:sz="6" w:space="0" w:color="auto"/>
              <w:right w:val="single" w:sz="6" w:space="0" w:color="auto"/>
            </w:tcBorders>
            <w:shd w:val="clear" w:color="auto" w:fill="auto"/>
            <w:vAlign w:val="center"/>
            <w:hideMark/>
          </w:tcPr>
          <w:p w14:paraId="2E604519" w14:textId="77777777" w:rsidR="003B7D70" w:rsidRPr="0025220E" w:rsidRDefault="003B7D70" w:rsidP="009465DE"/>
        </w:tc>
        <w:tc>
          <w:tcPr>
            <w:tcW w:w="1875" w:type="dxa"/>
            <w:tcBorders>
              <w:top w:val="single" w:sz="6" w:space="0" w:color="353C41"/>
              <w:left w:val="single" w:sz="6" w:space="0" w:color="8397A2"/>
              <w:bottom w:val="single" w:sz="6" w:space="0" w:color="353C41"/>
              <w:right w:val="single" w:sz="6" w:space="0" w:color="8397A2"/>
            </w:tcBorders>
            <w:shd w:val="clear" w:color="auto" w:fill="auto"/>
            <w:tcMar>
              <w:top w:w="0" w:type="dxa"/>
              <w:left w:w="75" w:type="dxa"/>
              <w:bottom w:w="0" w:type="dxa"/>
              <w:right w:w="75" w:type="dxa"/>
            </w:tcMar>
            <w:vAlign w:val="center"/>
            <w:hideMark/>
          </w:tcPr>
          <w:p w14:paraId="3E47A19B" w14:textId="77777777" w:rsidR="003B7D70" w:rsidRPr="0025220E" w:rsidRDefault="003B7D70" w:rsidP="009465DE">
            <w:pPr>
              <w:jc w:val="center"/>
              <w:rPr>
                <w:rFonts w:eastAsia="Arial Unicode MS"/>
              </w:rPr>
            </w:pPr>
            <w:r w:rsidRPr="0025220E">
              <w:rPr>
                <w:rFonts w:eastAsia="Arial Unicode MS"/>
              </w:rPr>
              <w:t>MCS4</w:t>
            </w:r>
          </w:p>
        </w:tc>
        <w:tc>
          <w:tcPr>
            <w:tcW w:w="2310" w:type="dxa"/>
            <w:tcBorders>
              <w:top w:val="single" w:sz="6" w:space="0" w:color="auto"/>
              <w:left w:val="single" w:sz="6" w:space="0" w:color="auto"/>
              <w:bottom w:val="single" w:sz="6" w:space="0" w:color="auto"/>
              <w:right w:val="single" w:sz="2" w:space="0" w:color="auto"/>
            </w:tcBorders>
            <w:shd w:val="clear" w:color="auto" w:fill="auto"/>
            <w:tcMar>
              <w:top w:w="0" w:type="dxa"/>
              <w:left w:w="75" w:type="dxa"/>
              <w:bottom w:w="0" w:type="dxa"/>
              <w:right w:w="75" w:type="dxa"/>
            </w:tcMar>
            <w:vAlign w:val="center"/>
            <w:hideMark/>
          </w:tcPr>
          <w:p w14:paraId="5D0F82C3" w14:textId="77777777" w:rsidR="003B7D70" w:rsidRPr="0025220E" w:rsidRDefault="003B7D70" w:rsidP="009465DE">
            <w:pPr>
              <w:jc w:val="center"/>
              <w:rPr>
                <w:rFonts w:eastAsia="Arial Unicode MS"/>
              </w:rPr>
            </w:pPr>
            <w:r w:rsidRPr="0025220E">
              <w:rPr>
                <w:rFonts w:eastAsia="Arial Unicode MS"/>
              </w:rPr>
              <w:t>16 HARQ Proc</w:t>
            </w:r>
          </w:p>
        </w:tc>
      </w:tr>
      <w:tr w:rsidR="003B7D70" w:rsidRPr="0025220E" w14:paraId="747F0F25" w14:textId="77777777" w:rsidTr="009465DE">
        <w:trPr>
          <w:trHeight w:val="435"/>
          <w:jc w:val="center"/>
        </w:trPr>
        <w:tc>
          <w:tcPr>
            <w:tcW w:w="2715" w:type="dxa"/>
            <w:vMerge w:val="restart"/>
            <w:tcBorders>
              <w:top w:val="single" w:sz="6" w:space="0" w:color="auto"/>
              <w:left w:val="single" w:sz="2" w:space="0" w:color="auto"/>
              <w:bottom w:val="single" w:sz="2" w:space="0" w:color="auto"/>
              <w:right w:val="single" w:sz="6" w:space="0" w:color="auto"/>
            </w:tcBorders>
            <w:shd w:val="clear" w:color="auto" w:fill="auto"/>
            <w:tcMar>
              <w:top w:w="0" w:type="dxa"/>
              <w:left w:w="75" w:type="dxa"/>
              <w:bottom w:w="0" w:type="dxa"/>
              <w:right w:w="75" w:type="dxa"/>
            </w:tcMar>
            <w:vAlign w:val="center"/>
            <w:hideMark/>
          </w:tcPr>
          <w:p w14:paraId="39C126B4" w14:textId="77777777" w:rsidR="003B7D70" w:rsidRPr="0025220E" w:rsidRDefault="003B7D70" w:rsidP="009465DE">
            <w:pPr>
              <w:jc w:val="center"/>
              <w:rPr>
                <w:rFonts w:eastAsia="Arial Unicode MS"/>
              </w:rPr>
            </w:pPr>
            <w:r w:rsidRPr="0025220E">
              <w:rPr>
                <w:rFonts w:eastAsia="Arial Unicode MS"/>
              </w:rPr>
              <w:t>NTN-TDLC5-200</w:t>
            </w:r>
          </w:p>
        </w:tc>
        <w:tc>
          <w:tcPr>
            <w:tcW w:w="1875" w:type="dxa"/>
            <w:tcBorders>
              <w:top w:val="single" w:sz="6" w:space="0" w:color="353C41"/>
              <w:left w:val="single" w:sz="6" w:space="0" w:color="8397A2"/>
              <w:bottom w:val="single" w:sz="6" w:space="0" w:color="353C41"/>
              <w:right w:val="single" w:sz="6" w:space="0" w:color="8397A2"/>
            </w:tcBorders>
            <w:shd w:val="clear" w:color="auto" w:fill="auto"/>
            <w:tcMar>
              <w:top w:w="0" w:type="dxa"/>
              <w:left w:w="75" w:type="dxa"/>
              <w:bottom w:w="0" w:type="dxa"/>
              <w:right w:w="75" w:type="dxa"/>
            </w:tcMar>
            <w:vAlign w:val="center"/>
            <w:hideMark/>
          </w:tcPr>
          <w:p w14:paraId="41F69A69" w14:textId="77777777" w:rsidR="003B7D70" w:rsidRPr="0025220E" w:rsidRDefault="003B7D70" w:rsidP="009465DE">
            <w:pPr>
              <w:jc w:val="center"/>
              <w:rPr>
                <w:rFonts w:eastAsia="Arial Unicode MS"/>
              </w:rPr>
            </w:pPr>
            <w:r w:rsidRPr="0025220E">
              <w:rPr>
                <w:rFonts w:eastAsia="Arial Unicode MS"/>
              </w:rPr>
              <w:t>MCS4</w:t>
            </w:r>
          </w:p>
        </w:tc>
        <w:tc>
          <w:tcPr>
            <w:tcW w:w="2310" w:type="dxa"/>
            <w:tcBorders>
              <w:top w:val="single" w:sz="6" w:space="0" w:color="auto"/>
              <w:left w:val="single" w:sz="6" w:space="0" w:color="auto"/>
              <w:bottom w:val="single" w:sz="6" w:space="0" w:color="auto"/>
              <w:right w:val="single" w:sz="2" w:space="0" w:color="auto"/>
            </w:tcBorders>
            <w:shd w:val="clear" w:color="auto" w:fill="auto"/>
            <w:tcMar>
              <w:top w:w="0" w:type="dxa"/>
              <w:left w:w="75" w:type="dxa"/>
              <w:bottom w:w="0" w:type="dxa"/>
              <w:right w:w="75" w:type="dxa"/>
            </w:tcMar>
            <w:vAlign w:val="center"/>
            <w:hideMark/>
          </w:tcPr>
          <w:p w14:paraId="2C8E91E0" w14:textId="77777777" w:rsidR="003B7D70" w:rsidRPr="0025220E" w:rsidRDefault="003B7D70" w:rsidP="009465DE">
            <w:pPr>
              <w:jc w:val="center"/>
              <w:rPr>
                <w:rFonts w:eastAsia="Arial Unicode MS"/>
              </w:rPr>
            </w:pPr>
            <w:r w:rsidRPr="0025220E">
              <w:rPr>
                <w:rFonts w:eastAsia="Arial Unicode MS"/>
              </w:rPr>
              <w:t>32 HARQ Proc</w:t>
            </w:r>
          </w:p>
        </w:tc>
      </w:tr>
      <w:tr w:rsidR="003B7D70" w:rsidRPr="0025220E" w14:paraId="7575D2D7" w14:textId="77777777" w:rsidTr="009465DE">
        <w:trPr>
          <w:trHeight w:val="450"/>
          <w:jc w:val="center"/>
        </w:trPr>
        <w:tc>
          <w:tcPr>
            <w:tcW w:w="0" w:type="auto"/>
            <w:vMerge/>
            <w:tcBorders>
              <w:top w:val="single" w:sz="6" w:space="0" w:color="auto"/>
              <w:left w:val="single" w:sz="2" w:space="0" w:color="auto"/>
              <w:bottom w:val="single" w:sz="6" w:space="0" w:color="auto"/>
              <w:right w:val="single" w:sz="6" w:space="0" w:color="auto"/>
            </w:tcBorders>
            <w:shd w:val="clear" w:color="auto" w:fill="auto"/>
            <w:vAlign w:val="center"/>
            <w:hideMark/>
          </w:tcPr>
          <w:p w14:paraId="4974F74D" w14:textId="77777777" w:rsidR="003B7D70" w:rsidRPr="0025220E" w:rsidRDefault="003B7D70" w:rsidP="009465DE"/>
        </w:tc>
        <w:tc>
          <w:tcPr>
            <w:tcW w:w="1875" w:type="dxa"/>
            <w:tcBorders>
              <w:top w:val="single" w:sz="6" w:space="0" w:color="auto"/>
              <w:left w:val="single" w:sz="6" w:space="0" w:color="auto"/>
              <w:bottom w:val="single" w:sz="6" w:space="0" w:color="auto"/>
              <w:right w:val="single" w:sz="6" w:space="0" w:color="auto"/>
            </w:tcBorders>
            <w:shd w:val="clear" w:color="auto" w:fill="auto"/>
            <w:tcMar>
              <w:top w:w="0" w:type="dxa"/>
              <w:left w:w="75" w:type="dxa"/>
              <w:bottom w:w="0" w:type="dxa"/>
              <w:right w:w="75" w:type="dxa"/>
            </w:tcMar>
            <w:vAlign w:val="center"/>
            <w:hideMark/>
          </w:tcPr>
          <w:p w14:paraId="27401E5D" w14:textId="77777777" w:rsidR="003B7D70" w:rsidRPr="0025220E" w:rsidRDefault="003B7D70" w:rsidP="009465DE">
            <w:pPr>
              <w:jc w:val="center"/>
              <w:rPr>
                <w:rFonts w:eastAsia="Arial Unicode MS"/>
              </w:rPr>
            </w:pPr>
            <w:r w:rsidRPr="0025220E">
              <w:rPr>
                <w:rFonts w:eastAsia="Arial Unicode MS"/>
              </w:rPr>
              <w:t>MCS13</w:t>
            </w:r>
          </w:p>
        </w:tc>
        <w:tc>
          <w:tcPr>
            <w:tcW w:w="2310" w:type="dxa"/>
            <w:tcBorders>
              <w:top w:val="single" w:sz="6" w:space="0" w:color="auto"/>
              <w:left w:val="single" w:sz="6" w:space="0" w:color="auto"/>
              <w:bottom w:val="single" w:sz="6" w:space="0" w:color="auto"/>
              <w:right w:val="single" w:sz="2" w:space="0" w:color="auto"/>
            </w:tcBorders>
            <w:shd w:val="clear" w:color="auto" w:fill="auto"/>
            <w:tcMar>
              <w:top w:w="0" w:type="dxa"/>
              <w:left w:w="75" w:type="dxa"/>
              <w:bottom w:w="0" w:type="dxa"/>
              <w:right w:w="75" w:type="dxa"/>
            </w:tcMar>
            <w:vAlign w:val="center"/>
            <w:hideMark/>
          </w:tcPr>
          <w:p w14:paraId="61D9A402" w14:textId="77777777" w:rsidR="003B7D70" w:rsidRPr="0025220E" w:rsidRDefault="003B7D70" w:rsidP="009465DE">
            <w:pPr>
              <w:jc w:val="center"/>
              <w:rPr>
                <w:rFonts w:eastAsia="Arial Unicode MS"/>
              </w:rPr>
            </w:pPr>
            <w:r w:rsidRPr="0025220E">
              <w:rPr>
                <w:rFonts w:eastAsia="Arial Unicode MS"/>
              </w:rPr>
              <w:t>16 HARQ Proc</w:t>
            </w:r>
          </w:p>
        </w:tc>
      </w:tr>
    </w:tbl>
    <w:p w14:paraId="31717C9F" w14:textId="77777777" w:rsidR="003B7D70" w:rsidRDefault="003B7D70" w:rsidP="005B410D">
      <w:pPr>
        <w:spacing w:after="120"/>
        <w:rPr>
          <w:rFonts w:eastAsia="SimSun"/>
          <w:sz w:val="20"/>
          <w:szCs w:val="20"/>
          <w:lang w:val="en-GB" w:eastAsia="en-GB"/>
        </w:rPr>
      </w:pPr>
    </w:p>
    <w:p w14:paraId="4EE20C50" w14:textId="6976035F" w:rsidR="003B7D70" w:rsidRDefault="003B7D70" w:rsidP="005B410D">
      <w:pPr>
        <w:spacing w:after="120"/>
        <w:rPr>
          <w:rFonts w:eastAsia="SimSun"/>
          <w:sz w:val="20"/>
          <w:szCs w:val="20"/>
          <w:lang w:val="en-GB" w:eastAsia="en-GB"/>
        </w:rPr>
      </w:pPr>
      <w:r>
        <w:rPr>
          <w:rFonts w:eastAsia="SimSun"/>
          <w:sz w:val="20"/>
          <w:szCs w:val="20"/>
          <w:lang w:val="en-GB" w:eastAsia="en-GB"/>
        </w:rPr>
        <w:t>The open issues related to PDSCH demod requirements are:</w:t>
      </w:r>
    </w:p>
    <w:p w14:paraId="6C14F4D1" w14:textId="77777777" w:rsidR="003B7D70" w:rsidRPr="003B7D70" w:rsidRDefault="003B7D70" w:rsidP="003B7D70">
      <w:pPr>
        <w:spacing w:after="120"/>
        <w:rPr>
          <w:rFonts w:eastAsia="SimSun"/>
          <w:b/>
          <w:sz w:val="20"/>
          <w:szCs w:val="20"/>
          <w:u w:val="single"/>
          <w:lang w:eastAsia="en-GB"/>
        </w:rPr>
      </w:pPr>
      <w:r>
        <w:rPr>
          <w:rFonts w:eastAsia="SimSun"/>
          <w:sz w:val="20"/>
          <w:szCs w:val="20"/>
          <w:lang w:val="en-GB" w:eastAsia="en-GB"/>
        </w:rPr>
        <w:t xml:space="preserve"> </w:t>
      </w:r>
      <w:r w:rsidRPr="003B7D70">
        <w:rPr>
          <w:rFonts w:eastAsia="SimSun"/>
          <w:b/>
          <w:sz w:val="20"/>
          <w:szCs w:val="20"/>
          <w:u w:val="single"/>
          <w:lang w:eastAsia="en-GB"/>
        </w:rPr>
        <w:t>Issue 2-6: Testability of the disabled HARQ scenario</w:t>
      </w:r>
    </w:p>
    <w:p w14:paraId="7B00F021" w14:textId="77777777" w:rsidR="003B7D70" w:rsidRPr="003B7D70" w:rsidRDefault="003B7D70" w:rsidP="003B7D70">
      <w:pPr>
        <w:numPr>
          <w:ilvl w:val="0"/>
          <w:numId w:val="3"/>
        </w:numPr>
        <w:spacing w:after="120"/>
        <w:rPr>
          <w:rFonts w:eastAsia="SimSun"/>
          <w:sz w:val="20"/>
          <w:szCs w:val="20"/>
          <w:lang w:eastAsia="en-GB"/>
        </w:rPr>
      </w:pPr>
      <w:r w:rsidRPr="003B7D70">
        <w:rPr>
          <w:rFonts w:eastAsia="SimSun"/>
          <w:sz w:val="20"/>
          <w:szCs w:val="20"/>
          <w:lang w:eastAsia="en-GB"/>
        </w:rPr>
        <w:t>Proposals</w:t>
      </w:r>
    </w:p>
    <w:p w14:paraId="6E092C14" w14:textId="77777777" w:rsidR="003B7D70" w:rsidRPr="003B7D70" w:rsidRDefault="003B7D70" w:rsidP="003B7D70">
      <w:pPr>
        <w:numPr>
          <w:ilvl w:val="1"/>
          <w:numId w:val="3"/>
        </w:numPr>
        <w:spacing w:after="120"/>
        <w:rPr>
          <w:rFonts w:eastAsia="SimSun"/>
          <w:sz w:val="20"/>
          <w:szCs w:val="20"/>
          <w:lang w:eastAsia="en-GB"/>
        </w:rPr>
      </w:pPr>
      <w:r w:rsidRPr="003B7D70">
        <w:rPr>
          <w:rFonts w:eastAsia="SimSun"/>
          <w:sz w:val="20"/>
          <w:szCs w:val="20"/>
          <w:lang w:eastAsia="en-GB"/>
        </w:rPr>
        <w:t>Option 1(Ericsson, Qualcomm, Apple, Nokia): 4 disabled, 12 enabled in 16 HARQ processes. The peak throughput with scaling 3/4 can be used as the metric for this test.</w:t>
      </w:r>
    </w:p>
    <w:p w14:paraId="70ECF279" w14:textId="77777777" w:rsidR="003B7D70" w:rsidRPr="003B7D70" w:rsidRDefault="003B7D70" w:rsidP="003B7D70">
      <w:pPr>
        <w:numPr>
          <w:ilvl w:val="1"/>
          <w:numId w:val="3"/>
        </w:numPr>
        <w:spacing w:after="120"/>
        <w:rPr>
          <w:rFonts w:eastAsia="SimSun"/>
          <w:sz w:val="20"/>
          <w:szCs w:val="20"/>
          <w:lang w:eastAsia="en-GB"/>
        </w:rPr>
      </w:pPr>
      <w:r w:rsidRPr="003B7D70">
        <w:rPr>
          <w:rFonts w:eastAsia="SimSun" w:hint="eastAsia"/>
          <w:sz w:val="20"/>
          <w:szCs w:val="20"/>
          <w:lang w:eastAsia="en-GB"/>
        </w:rPr>
        <w:t>O</w:t>
      </w:r>
      <w:r w:rsidRPr="003B7D70">
        <w:rPr>
          <w:rFonts w:eastAsia="SimSun"/>
          <w:sz w:val="20"/>
          <w:szCs w:val="20"/>
          <w:lang w:eastAsia="en-GB"/>
        </w:rPr>
        <w:t>ption 2 (Huawei): Keep previous agreements that all HARQ feedback are disabled with 16 HARQ processes. How to perform test will up to RAN5 discussion.</w:t>
      </w:r>
    </w:p>
    <w:p w14:paraId="36A66C5A" w14:textId="6A43AEE4" w:rsidR="003B7D70" w:rsidRDefault="003B7D70" w:rsidP="005B410D">
      <w:pPr>
        <w:spacing w:after="120"/>
        <w:rPr>
          <w:rFonts w:eastAsia="SimSun"/>
          <w:sz w:val="20"/>
          <w:szCs w:val="20"/>
          <w:lang w:val="en-GB" w:eastAsia="en-GB"/>
        </w:rPr>
      </w:pPr>
    </w:p>
    <w:p w14:paraId="7A9ED185" w14:textId="5FA433B7" w:rsidR="00B91876" w:rsidRDefault="00B91876" w:rsidP="005B410D">
      <w:pPr>
        <w:spacing w:after="120"/>
        <w:rPr>
          <w:rFonts w:eastAsia="SimSun"/>
          <w:sz w:val="20"/>
          <w:szCs w:val="20"/>
          <w:lang w:val="en-GB" w:eastAsia="en-GB"/>
        </w:rPr>
      </w:pPr>
      <w:r>
        <w:rPr>
          <w:rFonts w:eastAsia="SimSun"/>
          <w:sz w:val="20"/>
          <w:szCs w:val="20"/>
          <w:lang w:val="en-GB" w:eastAsia="en-GB"/>
        </w:rPr>
        <w:t xml:space="preserve">The motivation for introducing requirements with disabled HARQ feature is to test UE handling or receiver processing with disabled HARQ for some of the HARQ processes. Based on the design of this feature HARQ is disabled for some of the features not all. Even in actual deployment HARQ will not be disabled for all processes. </w:t>
      </w:r>
    </w:p>
    <w:p w14:paraId="5DABD920" w14:textId="77777777" w:rsidR="00B91876" w:rsidRDefault="00B91876" w:rsidP="005B410D">
      <w:pPr>
        <w:spacing w:after="120"/>
        <w:rPr>
          <w:rFonts w:eastAsia="SimSun"/>
          <w:i/>
          <w:iCs/>
          <w:sz w:val="20"/>
          <w:szCs w:val="20"/>
          <w:lang w:val="en-GB" w:eastAsia="en-GB"/>
        </w:rPr>
      </w:pPr>
      <w:r>
        <w:rPr>
          <w:rFonts w:eastAsia="SimSun"/>
          <w:b/>
          <w:bCs/>
          <w:i/>
          <w:iCs/>
          <w:sz w:val="20"/>
          <w:szCs w:val="20"/>
          <w:lang w:val="en-GB" w:eastAsia="en-GB"/>
        </w:rPr>
        <w:t xml:space="preserve">Observation #1: </w:t>
      </w:r>
      <w:r>
        <w:rPr>
          <w:rFonts w:eastAsia="SimSun"/>
          <w:i/>
          <w:iCs/>
          <w:sz w:val="20"/>
          <w:szCs w:val="20"/>
          <w:lang w:val="en-GB" w:eastAsia="en-GB"/>
        </w:rPr>
        <w:t>With disabled HARQ feature, HARQ is disabled for some of the HARQ processes, not all.</w:t>
      </w:r>
    </w:p>
    <w:p w14:paraId="443DF0FF" w14:textId="4E6903A7" w:rsidR="00B91876" w:rsidRDefault="00B91876" w:rsidP="005B410D">
      <w:pPr>
        <w:spacing w:after="120"/>
        <w:rPr>
          <w:rFonts w:eastAsia="SimSun"/>
          <w:sz w:val="20"/>
          <w:szCs w:val="20"/>
          <w:lang w:val="en-GB" w:eastAsia="en-GB"/>
        </w:rPr>
      </w:pPr>
      <w:r>
        <w:rPr>
          <w:rFonts w:eastAsia="SimSun"/>
          <w:sz w:val="20"/>
          <w:szCs w:val="20"/>
          <w:lang w:val="en-GB" w:eastAsia="en-GB"/>
        </w:rPr>
        <w:t xml:space="preserve">With HARQ re-transmission disabled on the HARQ processes with HARQ enabled, the performance/ throughput measured on HARQ processes with enabled HARQ approximates to the performance of disabled HARQ.  With some of the HARQ processes disabled, the test case will verify functionality </w:t>
      </w:r>
      <w:r w:rsidR="00F2175C">
        <w:rPr>
          <w:rFonts w:eastAsia="SimSun"/>
          <w:sz w:val="20"/>
          <w:szCs w:val="20"/>
          <w:lang w:val="en-GB" w:eastAsia="en-GB"/>
        </w:rPr>
        <w:t>and</w:t>
      </w:r>
      <w:r>
        <w:rPr>
          <w:rFonts w:eastAsia="SimSun"/>
          <w:sz w:val="20"/>
          <w:szCs w:val="20"/>
          <w:lang w:val="en-GB" w:eastAsia="en-GB"/>
        </w:rPr>
        <w:t xml:space="preserve"> </w:t>
      </w:r>
      <w:r w:rsidR="00F2175C">
        <w:rPr>
          <w:rFonts w:eastAsia="SimSun"/>
          <w:sz w:val="20"/>
          <w:szCs w:val="20"/>
          <w:lang w:val="en-GB" w:eastAsia="en-GB"/>
        </w:rPr>
        <w:t>evaluate</w:t>
      </w:r>
      <w:r>
        <w:rPr>
          <w:rFonts w:eastAsia="SimSun"/>
          <w:sz w:val="20"/>
          <w:szCs w:val="20"/>
          <w:lang w:val="en-GB" w:eastAsia="en-GB"/>
        </w:rPr>
        <w:t xml:space="preserve"> performance with disabled HARQ feature.</w:t>
      </w:r>
    </w:p>
    <w:p w14:paraId="41995C9C" w14:textId="2DBE085E" w:rsidR="003B7D70" w:rsidRDefault="00B91876" w:rsidP="005B410D">
      <w:pPr>
        <w:spacing w:after="120"/>
        <w:rPr>
          <w:rFonts w:eastAsia="SimSun"/>
          <w:i/>
          <w:iCs/>
          <w:sz w:val="20"/>
          <w:szCs w:val="20"/>
          <w:lang w:val="en-GB" w:eastAsia="en-GB"/>
        </w:rPr>
      </w:pPr>
      <w:r>
        <w:rPr>
          <w:rFonts w:eastAsia="SimSun"/>
          <w:b/>
          <w:bCs/>
          <w:i/>
          <w:iCs/>
          <w:sz w:val="20"/>
          <w:szCs w:val="20"/>
          <w:lang w:val="en-GB" w:eastAsia="en-GB"/>
        </w:rPr>
        <w:t xml:space="preserve">Observation #2: </w:t>
      </w:r>
      <w:r w:rsidRPr="00B91876">
        <w:rPr>
          <w:rFonts w:eastAsia="SimSun"/>
          <w:i/>
          <w:iCs/>
          <w:sz w:val="20"/>
          <w:szCs w:val="20"/>
          <w:lang w:val="en-GB" w:eastAsia="en-GB"/>
        </w:rPr>
        <w:t>With</w:t>
      </w:r>
      <w:r>
        <w:rPr>
          <w:rFonts w:eastAsia="SimSun"/>
          <w:b/>
          <w:bCs/>
          <w:sz w:val="20"/>
          <w:szCs w:val="20"/>
          <w:lang w:val="en-GB" w:eastAsia="en-GB"/>
        </w:rPr>
        <w:t xml:space="preserve"> </w:t>
      </w:r>
      <w:r w:rsidRPr="00B91876">
        <w:rPr>
          <w:rFonts w:eastAsia="SimSun"/>
          <w:i/>
          <w:iCs/>
          <w:sz w:val="20"/>
          <w:szCs w:val="20"/>
          <w:lang w:val="en-GB" w:eastAsia="en-GB"/>
        </w:rPr>
        <w:t>some processes with disabled HARQ</w:t>
      </w:r>
      <w:r>
        <w:rPr>
          <w:rFonts w:eastAsia="SimSun"/>
          <w:i/>
          <w:iCs/>
          <w:sz w:val="20"/>
          <w:szCs w:val="20"/>
          <w:lang w:val="en-GB" w:eastAsia="en-GB"/>
        </w:rPr>
        <w:t xml:space="preserve"> and some with HAR-ACK ena</w:t>
      </w:r>
      <w:r w:rsidR="00F2175C">
        <w:rPr>
          <w:rFonts w:eastAsia="SimSun"/>
          <w:i/>
          <w:iCs/>
          <w:sz w:val="20"/>
          <w:szCs w:val="20"/>
          <w:lang w:val="en-GB" w:eastAsia="en-GB"/>
        </w:rPr>
        <w:t>bled with no re-transmissions</w:t>
      </w:r>
      <w:r>
        <w:rPr>
          <w:rFonts w:eastAsia="SimSun"/>
          <w:b/>
          <w:bCs/>
          <w:sz w:val="20"/>
          <w:szCs w:val="20"/>
          <w:lang w:val="en-GB" w:eastAsia="en-GB"/>
        </w:rPr>
        <w:t xml:space="preserve">, </w:t>
      </w:r>
      <w:r w:rsidRPr="00F2175C">
        <w:rPr>
          <w:rFonts w:eastAsia="SimSun"/>
          <w:i/>
          <w:iCs/>
          <w:sz w:val="20"/>
          <w:szCs w:val="20"/>
          <w:lang w:val="en-GB" w:eastAsia="en-GB"/>
        </w:rPr>
        <w:t xml:space="preserve">the functionality </w:t>
      </w:r>
      <w:r w:rsidR="00F2175C">
        <w:rPr>
          <w:rFonts w:eastAsia="SimSun"/>
          <w:i/>
          <w:iCs/>
          <w:sz w:val="20"/>
          <w:szCs w:val="20"/>
          <w:lang w:val="en-GB" w:eastAsia="en-GB"/>
        </w:rPr>
        <w:t xml:space="preserve">and performance will be verified with disabled HARQ feature. </w:t>
      </w:r>
      <w:r w:rsidRPr="00F2175C">
        <w:rPr>
          <w:rFonts w:eastAsia="SimSun"/>
          <w:i/>
          <w:iCs/>
          <w:sz w:val="20"/>
          <w:szCs w:val="20"/>
          <w:lang w:val="en-GB" w:eastAsia="en-GB"/>
        </w:rPr>
        <w:t xml:space="preserve">  </w:t>
      </w:r>
    </w:p>
    <w:p w14:paraId="6E53CACC" w14:textId="16ED6E8E" w:rsidR="00F2175C" w:rsidRPr="00F2175C" w:rsidRDefault="00F2175C" w:rsidP="005B410D">
      <w:pPr>
        <w:spacing w:after="120"/>
        <w:rPr>
          <w:rFonts w:eastAsia="SimSun"/>
          <w:sz w:val="20"/>
          <w:szCs w:val="20"/>
          <w:lang w:val="en-GB" w:eastAsia="en-GB"/>
        </w:rPr>
      </w:pPr>
      <w:r>
        <w:rPr>
          <w:rFonts w:eastAsia="SimSun"/>
          <w:sz w:val="20"/>
          <w:szCs w:val="20"/>
          <w:lang w:val="en-GB" w:eastAsia="en-GB"/>
        </w:rPr>
        <w:t xml:space="preserve">Hence, we propose to introduce requirements with 4 disabled and 12 enabled HARQ processes. In the test throughput shall only be measured on processes with HARQ-ACK feedback. </w:t>
      </w:r>
    </w:p>
    <w:p w14:paraId="42851B75" w14:textId="3A05494D" w:rsidR="003B7D70" w:rsidRDefault="003B7D70" w:rsidP="005B410D">
      <w:pPr>
        <w:spacing w:after="120"/>
        <w:rPr>
          <w:rFonts w:eastAsia="SimSun"/>
          <w:b/>
          <w:bCs/>
          <w:sz w:val="20"/>
          <w:szCs w:val="20"/>
          <w:lang w:eastAsia="en-GB"/>
        </w:rPr>
      </w:pPr>
      <w:r>
        <w:rPr>
          <w:rFonts w:eastAsia="SimSun"/>
          <w:b/>
          <w:bCs/>
          <w:sz w:val="20"/>
          <w:szCs w:val="20"/>
          <w:lang w:val="en-GB" w:eastAsia="en-GB"/>
        </w:rPr>
        <w:lastRenderedPageBreak/>
        <w:t xml:space="preserve">Proposal #1: Define requirements with </w:t>
      </w:r>
      <w:r w:rsidRPr="003B7D70">
        <w:rPr>
          <w:rFonts w:eastAsia="SimSun"/>
          <w:b/>
          <w:bCs/>
          <w:sz w:val="20"/>
          <w:szCs w:val="20"/>
          <w:lang w:eastAsia="en-GB"/>
        </w:rPr>
        <w:t>4 disabled, 12 enabled in 16 HARQ processes</w:t>
      </w:r>
      <w:r>
        <w:rPr>
          <w:rFonts w:eastAsia="SimSun"/>
          <w:b/>
          <w:bCs/>
          <w:sz w:val="20"/>
          <w:szCs w:val="20"/>
          <w:lang w:eastAsia="en-GB"/>
        </w:rPr>
        <w:t xml:space="preserve"> for disabled HARQ test cases. Throughput shall be measured on processes with HARQ enabled. </w:t>
      </w:r>
    </w:p>
    <w:p w14:paraId="4F8FDB61" w14:textId="0945538B" w:rsidR="00150312" w:rsidRDefault="00150312" w:rsidP="005B410D">
      <w:pPr>
        <w:spacing w:after="120"/>
        <w:rPr>
          <w:rFonts w:eastAsia="SimSun"/>
          <w:sz w:val="20"/>
          <w:szCs w:val="20"/>
          <w:lang w:val="en-GB" w:eastAsia="en-GB"/>
        </w:rPr>
      </w:pPr>
      <w:r>
        <w:rPr>
          <w:rFonts w:eastAsia="SimSun"/>
          <w:sz w:val="20"/>
          <w:szCs w:val="20"/>
          <w:lang w:val="en-GB" w:eastAsia="en-GB"/>
        </w:rPr>
        <w:t xml:space="preserve">Based on the agreed simulation parameters </w:t>
      </w:r>
      <w:r w:rsidR="007159BD">
        <w:rPr>
          <w:rFonts w:eastAsia="SimSun"/>
          <w:sz w:val="20"/>
          <w:szCs w:val="20"/>
          <w:lang w:val="en-GB" w:eastAsia="en-GB"/>
        </w:rPr>
        <w:t xml:space="preserve">in [1] </w:t>
      </w:r>
      <w:r>
        <w:rPr>
          <w:rFonts w:eastAsia="SimSun"/>
          <w:sz w:val="20"/>
          <w:szCs w:val="20"/>
          <w:lang w:val="en-GB" w:eastAsia="en-GB"/>
        </w:rPr>
        <w:t>we provide simulation results for PDSCH demod in the table below.</w:t>
      </w:r>
    </w:p>
    <w:p w14:paraId="5301B2F0" w14:textId="033A806D" w:rsidR="00150312" w:rsidRDefault="00150312" w:rsidP="005B410D">
      <w:pPr>
        <w:spacing w:after="120"/>
        <w:rPr>
          <w:rFonts w:eastAsia="SimSun"/>
          <w:sz w:val="20"/>
          <w:szCs w:val="20"/>
          <w:lang w:val="en-GB" w:eastAsia="en-GB"/>
        </w:rPr>
      </w:pPr>
    </w:p>
    <w:p w14:paraId="3E9038E5" w14:textId="3E0C2DC8" w:rsidR="003B7D70" w:rsidRPr="007159BD" w:rsidRDefault="009F1766" w:rsidP="007159BD">
      <w:pPr>
        <w:pStyle w:val="Caption"/>
        <w:keepNext/>
        <w:jc w:val="center"/>
      </w:pPr>
      <w:r>
        <w:t xml:space="preserve">Table </w:t>
      </w:r>
      <w:fldSimple w:instr=" SEQ Table \* ARABIC ">
        <w:r w:rsidR="00E44247">
          <w:rPr>
            <w:noProof/>
          </w:rPr>
          <w:t>1</w:t>
        </w:r>
      </w:fldSimple>
      <w:r>
        <w:t>: Simulation results for PDSCH demod for NTN</w:t>
      </w:r>
    </w:p>
    <w:tbl>
      <w:tblPr>
        <w:tblW w:w="0" w:type="auto"/>
        <w:jc w:val="center"/>
        <w:tblCellMar>
          <w:left w:w="0" w:type="dxa"/>
          <w:right w:w="0" w:type="dxa"/>
        </w:tblCellMar>
        <w:tblLook w:val="04A0" w:firstRow="1" w:lastRow="0" w:firstColumn="1" w:lastColumn="0" w:noHBand="0" w:noVBand="1"/>
      </w:tblPr>
      <w:tblGrid>
        <w:gridCol w:w="2285"/>
        <w:gridCol w:w="1591"/>
        <w:gridCol w:w="1937"/>
        <w:gridCol w:w="1822"/>
        <w:gridCol w:w="1719"/>
      </w:tblGrid>
      <w:tr w:rsidR="00E44247" w:rsidRPr="003B7D70" w14:paraId="148FF472" w14:textId="7584F005" w:rsidTr="00335EE6">
        <w:trPr>
          <w:trHeight w:val="129"/>
          <w:jc w:val="center"/>
        </w:trPr>
        <w:tc>
          <w:tcPr>
            <w:tcW w:w="2285" w:type="dxa"/>
            <w:vMerge w:val="restart"/>
            <w:tcBorders>
              <w:top w:val="single" w:sz="2" w:space="0" w:color="auto"/>
              <w:left w:val="single" w:sz="2" w:space="0" w:color="auto"/>
              <w:right w:val="single" w:sz="6" w:space="0" w:color="auto"/>
            </w:tcBorders>
            <w:shd w:val="clear" w:color="auto" w:fill="auto"/>
            <w:tcMar>
              <w:top w:w="0" w:type="dxa"/>
              <w:left w:w="75" w:type="dxa"/>
              <w:bottom w:w="0" w:type="dxa"/>
              <w:right w:w="75" w:type="dxa"/>
            </w:tcMar>
            <w:vAlign w:val="center"/>
            <w:hideMark/>
          </w:tcPr>
          <w:p w14:paraId="3C2D84A9" w14:textId="77777777" w:rsidR="00E44247" w:rsidRPr="003B7D70" w:rsidRDefault="00E44247" w:rsidP="00335EE6">
            <w:pPr>
              <w:jc w:val="center"/>
              <w:rPr>
                <w:rFonts w:eastAsia="Arial Unicode MS"/>
                <w:sz w:val="20"/>
                <w:szCs w:val="20"/>
              </w:rPr>
            </w:pPr>
            <w:r w:rsidRPr="003B7D70">
              <w:rPr>
                <w:rFonts w:eastAsia="Arial Unicode MS"/>
                <w:b/>
                <w:bCs/>
                <w:sz w:val="20"/>
                <w:szCs w:val="20"/>
              </w:rPr>
              <w:t>Prop. Channel</w:t>
            </w:r>
          </w:p>
        </w:tc>
        <w:tc>
          <w:tcPr>
            <w:tcW w:w="1591" w:type="dxa"/>
            <w:vMerge w:val="restart"/>
            <w:tcBorders>
              <w:top w:val="single" w:sz="2" w:space="0" w:color="auto"/>
              <w:left w:val="single" w:sz="6" w:space="0" w:color="auto"/>
              <w:right w:val="single" w:sz="6" w:space="0" w:color="auto"/>
            </w:tcBorders>
            <w:shd w:val="clear" w:color="auto" w:fill="auto"/>
            <w:tcMar>
              <w:top w:w="0" w:type="dxa"/>
              <w:left w:w="75" w:type="dxa"/>
              <w:bottom w:w="0" w:type="dxa"/>
              <w:right w:w="75" w:type="dxa"/>
            </w:tcMar>
            <w:vAlign w:val="center"/>
            <w:hideMark/>
          </w:tcPr>
          <w:p w14:paraId="39472B33" w14:textId="77777777" w:rsidR="00E44247" w:rsidRPr="003B7D70" w:rsidRDefault="00E44247" w:rsidP="00335EE6">
            <w:pPr>
              <w:jc w:val="center"/>
              <w:rPr>
                <w:rFonts w:eastAsia="Arial Unicode MS"/>
                <w:sz w:val="20"/>
                <w:szCs w:val="20"/>
              </w:rPr>
            </w:pPr>
            <w:r w:rsidRPr="003B7D70">
              <w:rPr>
                <w:rFonts w:eastAsia="Arial Unicode MS"/>
                <w:b/>
                <w:bCs/>
                <w:sz w:val="20"/>
                <w:szCs w:val="20"/>
              </w:rPr>
              <w:t>MCS</w:t>
            </w:r>
          </w:p>
        </w:tc>
        <w:tc>
          <w:tcPr>
            <w:tcW w:w="1937" w:type="dxa"/>
            <w:vMerge w:val="restart"/>
            <w:tcBorders>
              <w:top w:val="single" w:sz="2" w:space="0" w:color="auto"/>
              <w:left w:val="single" w:sz="6" w:space="0" w:color="auto"/>
              <w:right w:val="single" w:sz="2" w:space="0" w:color="auto"/>
            </w:tcBorders>
            <w:shd w:val="clear" w:color="auto" w:fill="auto"/>
            <w:tcMar>
              <w:top w:w="0" w:type="dxa"/>
              <w:left w:w="75" w:type="dxa"/>
              <w:bottom w:w="0" w:type="dxa"/>
              <w:right w:w="75" w:type="dxa"/>
            </w:tcMar>
            <w:vAlign w:val="center"/>
            <w:hideMark/>
          </w:tcPr>
          <w:p w14:paraId="7A511B44" w14:textId="77777777" w:rsidR="00E44247" w:rsidRPr="003B7D70" w:rsidRDefault="00E44247" w:rsidP="00335EE6">
            <w:pPr>
              <w:jc w:val="center"/>
              <w:rPr>
                <w:rFonts w:eastAsia="Arial Unicode MS"/>
                <w:sz w:val="20"/>
                <w:szCs w:val="20"/>
              </w:rPr>
            </w:pPr>
            <w:r w:rsidRPr="003B7D70">
              <w:rPr>
                <w:rFonts w:eastAsia="Arial Unicode MS"/>
                <w:b/>
                <w:bCs/>
                <w:sz w:val="20"/>
                <w:szCs w:val="20"/>
              </w:rPr>
              <w:t>HARQ Config</w:t>
            </w:r>
          </w:p>
        </w:tc>
        <w:tc>
          <w:tcPr>
            <w:tcW w:w="3541" w:type="dxa"/>
            <w:gridSpan w:val="2"/>
            <w:tcBorders>
              <w:top w:val="single" w:sz="2" w:space="0" w:color="auto"/>
              <w:left w:val="single" w:sz="6" w:space="0" w:color="auto"/>
              <w:bottom w:val="single" w:sz="6" w:space="0" w:color="auto"/>
              <w:right w:val="single" w:sz="2" w:space="0" w:color="auto"/>
            </w:tcBorders>
            <w:vAlign w:val="center"/>
          </w:tcPr>
          <w:p w14:paraId="07F8D68C" w14:textId="47482280" w:rsidR="00E44247" w:rsidRPr="00E44247" w:rsidRDefault="00E44247" w:rsidP="00335EE6">
            <w:pPr>
              <w:jc w:val="center"/>
              <w:rPr>
                <w:rFonts w:eastAsia="Arial Unicode MS"/>
                <w:b/>
                <w:bCs/>
                <w:sz w:val="20"/>
                <w:szCs w:val="20"/>
              </w:rPr>
            </w:pPr>
            <w:r>
              <w:rPr>
                <w:b/>
                <w:bCs/>
                <w:color w:val="000000"/>
                <w:sz w:val="20"/>
                <w:szCs w:val="20"/>
              </w:rPr>
              <w:t>SNR @ 70% Max TP</w:t>
            </w:r>
          </w:p>
        </w:tc>
      </w:tr>
      <w:tr w:rsidR="00E44247" w:rsidRPr="003B7D70" w14:paraId="7CD35D8A" w14:textId="77777777" w:rsidTr="00335EE6">
        <w:trPr>
          <w:trHeight w:val="128"/>
          <w:jc w:val="center"/>
        </w:trPr>
        <w:tc>
          <w:tcPr>
            <w:tcW w:w="2285" w:type="dxa"/>
            <w:vMerge/>
            <w:tcBorders>
              <w:left w:val="single" w:sz="2" w:space="0" w:color="auto"/>
              <w:bottom w:val="single" w:sz="6" w:space="0" w:color="auto"/>
              <w:right w:val="single" w:sz="6" w:space="0" w:color="auto"/>
            </w:tcBorders>
            <w:shd w:val="clear" w:color="auto" w:fill="auto"/>
            <w:tcMar>
              <w:top w:w="0" w:type="dxa"/>
              <w:left w:w="75" w:type="dxa"/>
              <w:bottom w:w="0" w:type="dxa"/>
              <w:right w:w="75" w:type="dxa"/>
            </w:tcMar>
            <w:vAlign w:val="center"/>
          </w:tcPr>
          <w:p w14:paraId="6B146A42" w14:textId="77777777" w:rsidR="00E44247" w:rsidRPr="003B7D70" w:rsidRDefault="00E44247" w:rsidP="00335EE6">
            <w:pPr>
              <w:jc w:val="center"/>
              <w:rPr>
                <w:rFonts w:eastAsia="Arial Unicode MS"/>
                <w:b/>
                <w:bCs/>
                <w:sz w:val="20"/>
                <w:szCs w:val="20"/>
              </w:rPr>
            </w:pPr>
          </w:p>
        </w:tc>
        <w:tc>
          <w:tcPr>
            <w:tcW w:w="1591" w:type="dxa"/>
            <w:vMerge/>
            <w:tcBorders>
              <w:left w:val="single" w:sz="6" w:space="0" w:color="auto"/>
              <w:bottom w:val="single" w:sz="6" w:space="0" w:color="auto"/>
              <w:right w:val="single" w:sz="6" w:space="0" w:color="auto"/>
            </w:tcBorders>
            <w:shd w:val="clear" w:color="auto" w:fill="auto"/>
            <w:tcMar>
              <w:top w:w="0" w:type="dxa"/>
              <w:left w:w="75" w:type="dxa"/>
              <w:bottom w:w="0" w:type="dxa"/>
              <w:right w:w="75" w:type="dxa"/>
            </w:tcMar>
            <w:vAlign w:val="center"/>
          </w:tcPr>
          <w:p w14:paraId="093D503B" w14:textId="77777777" w:rsidR="00E44247" w:rsidRPr="003B7D70" w:rsidRDefault="00E44247" w:rsidP="00335EE6">
            <w:pPr>
              <w:jc w:val="center"/>
              <w:rPr>
                <w:rFonts w:eastAsia="Arial Unicode MS"/>
                <w:b/>
                <w:bCs/>
                <w:sz w:val="20"/>
                <w:szCs w:val="20"/>
              </w:rPr>
            </w:pPr>
          </w:p>
        </w:tc>
        <w:tc>
          <w:tcPr>
            <w:tcW w:w="1937" w:type="dxa"/>
            <w:vMerge/>
            <w:tcBorders>
              <w:left w:val="single" w:sz="6" w:space="0" w:color="auto"/>
              <w:bottom w:val="single" w:sz="6" w:space="0" w:color="auto"/>
              <w:right w:val="single" w:sz="2" w:space="0" w:color="auto"/>
            </w:tcBorders>
            <w:shd w:val="clear" w:color="auto" w:fill="auto"/>
            <w:tcMar>
              <w:top w:w="0" w:type="dxa"/>
              <w:left w:w="75" w:type="dxa"/>
              <w:bottom w:w="0" w:type="dxa"/>
              <w:right w:w="75" w:type="dxa"/>
            </w:tcMar>
            <w:vAlign w:val="center"/>
          </w:tcPr>
          <w:p w14:paraId="103B8A6E" w14:textId="77777777" w:rsidR="00E44247" w:rsidRPr="003B7D70" w:rsidRDefault="00E44247" w:rsidP="00335EE6">
            <w:pPr>
              <w:jc w:val="center"/>
              <w:rPr>
                <w:rFonts w:eastAsia="Arial Unicode MS"/>
                <w:b/>
                <w:bCs/>
                <w:sz w:val="20"/>
                <w:szCs w:val="20"/>
              </w:rPr>
            </w:pPr>
          </w:p>
        </w:tc>
        <w:tc>
          <w:tcPr>
            <w:tcW w:w="1822" w:type="dxa"/>
            <w:tcBorders>
              <w:top w:val="single" w:sz="2" w:space="0" w:color="auto"/>
              <w:left w:val="single" w:sz="6" w:space="0" w:color="auto"/>
              <w:bottom w:val="single" w:sz="6" w:space="0" w:color="auto"/>
              <w:right w:val="single" w:sz="2" w:space="0" w:color="auto"/>
            </w:tcBorders>
            <w:vAlign w:val="center"/>
          </w:tcPr>
          <w:p w14:paraId="573A4AC4" w14:textId="153A0FD2" w:rsidR="00E44247" w:rsidRDefault="00E44247" w:rsidP="00335EE6">
            <w:pPr>
              <w:jc w:val="center"/>
              <w:rPr>
                <w:b/>
                <w:bCs/>
                <w:color w:val="000000"/>
                <w:sz w:val="20"/>
                <w:szCs w:val="20"/>
              </w:rPr>
            </w:pPr>
            <w:r>
              <w:rPr>
                <w:b/>
                <w:bCs/>
                <w:color w:val="000000"/>
                <w:sz w:val="20"/>
                <w:szCs w:val="20"/>
              </w:rPr>
              <w:t>Alignment Results</w:t>
            </w:r>
          </w:p>
        </w:tc>
        <w:tc>
          <w:tcPr>
            <w:tcW w:w="1719" w:type="dxa"/>
            <w:tcBorders>
              <w:left w:val="single" w:sz="6" w:space="0" w:color="auto"/>
              <w:bottom w:val="single" w:sz="6" w:space="0" w:color="auto"/>
              <w:right w:val="single" w:sz="2" w:space="0" w:color="auto"/>
            </w:tcBorders>
            <w:vAlign w:val="center"/>
          </w:tcPr>
          <w:p w14:paraId="725332DE" w14:textId="56BA2D60" w:rsidR="00E44247" w:rsidRDefault="00E44247" w:rsidP="00335EE6">
            <w:pPr>
              <w:jc w:val="center"/>
              <w:rPr>
                <w:b/>
                <w:bCs/>
                <w:color w:val="000000"/>
                <w:sz w:val="20"/>
                <w:szCs w:val="20"/>
              </w:rPr>
            </w:pPr>
            <w:r>
              <w:rPr>
                <w:b/>
                <w:bCs/>
                <w:color w:val="000000"/>
                <w:sz w:val="20"/>
                <w:szCs w:val="20"/>
              </w:rPr>
              <w:t>Impairment Results</w:t>
            </w:r>
          </w:p>
        </w:tc>
      </w:tr>
      <w:tr w:rsidR="00E44247" w:rsidRPr="003B7D70" w14:paraId="1B583BCC" w14:textId="704B6D88" w:rsidTr="00335EE6">
        <w:trPr>
          <w:trHeight w:val="435"/>
          <w:jc w:val="center"/>
        </w:trPr>
        <w:tc>
          <w:tcPr>
            <w:tcW w:w="2285" w:type="dxa"/>
            <w:vMerge w:val="restart"/>
            <w:tcBorders>
              <w:top w:val="single" w:sz="6" w:space="0" w:color="auto"/>
              <w:left w:val="single" w:sz="2" w:space="0" w:color="auto"/>
              <w:bottom w:val="single" w:sz="6" w:space="0" w:color="auto"/>
              <w:right w:val="single" w:sz="6" w:space="0" w:color="auto"/>
            </w:tcBorders>
            <w:shd w:val="clear" w:color="auto" w:fill="auto"/>
            <w:tcMar>
              <w:top w:w="0" w:type="dxa"/>
              <w:left w:w="75" w:type="dxa"/>
              <w:bottom w:w="0" w:type="dxa"/>
              <w:right w:w="75" w:type="dxa"/>
            </w:tcMar>
            <w:vAlign w:val="center"/>
            <w:hideMark/>
          </w:tcPr>
          <w:p w14:paraId="71A16CE3" w14:textId="77777777" w:rsidR="00E44247" w:rsidRPr="003B7D70" w:rsidRDefault="00E44247" w:rsidP="00335EE6">
            <w:pPr>
              <w:jc w:val="center"/>
              <w:rPr>
                <w:rFonts w:eastAsia="Arial Unicode MS"/>
                <w:sz w:val="20"/>
                <w:szCs w:val="20"/>
              </w:rPr>
            </w:pPr>
            <w:r w:rsidRPr="003B7D70">
              <w:rPr>
                <w:rFonts w:eastAsia="Arial Unicode MS"/>
                <w:sz w:val="20"/>
                <w:szCs w:val="20"/>
              </w:rPr>
              <w:t>NTN-TDLA100-200</w:t>
            </w:r>
          </w:p>
        </w:tc>
        <w:tc>
          <w:tcPr>
            <w:tcW w:w="1591" w:type="dxa"/>
            <w:tcBorders>
              <w:top w:val="single" w:sz="6" w:space="0" w:color="353C41"/>
              <w:left w:val="single" w:sz="6" w:space="0" w:color="8397A2"/>
              <w:bottom w:val="single" w:sz="6" w:space="0" w:color="353C41"/>
              <w:right w:val="single" w:sz="6" w:space="0" w:color="8397A2"/>
            </w:tcBorders>
            <w:shd w:val="clear" w:color="auto" w:fill="auto"/>
            <w:tcMar>
              <w:top w:w="0" w:type="dxa"/>
              <w:left w:w="75" w:type="dxa"/>
              <w:bottom w:w="0" w:type="dxa"/>
              <w:right w:w="75" w:type="dxa"/>
            </w:tcMar>
            <w:vAlign w:val="center"/>
            <w:hideMark/>
          </w:tcPr>
          <w:p w14:paraId="58DB3880" w14:textId="77777777" w:rsidR="00E44247" w:rsidRPr="003B7D70" w:rsidRDefault="00E44247" w:rsidP="00335EE6">
            <w:pPr>
              <w:jc w:val="center"/>
              <w:rPr>
                <w:rFonts w:eastAsia="Arial Unicode MS"/>
                <w:sz w:val="20"/>
                <w:szCs w:val="20"/>
              </w:rPr>
            </w:pPr>
            <w:r w:rsidRPr="003B7D70">
              <w:rPr>
                <w:rFonts w:eastAsia="Arial Unicode MS"/>
                <w:sz w:val="20"/>
                <w:szCs w:val="20"/>
              </w:rPr>
              <w:t>MCS4</w:t>
            </w:r>
          </w:p>
        </w:tc>
        <w:tc>
          <w:tcPr>
            <w:tcW w:w="1937" w:type="dxa"/>
            <w:tcBorders>
              <w:top w:val="single" w:sz="6" w:space="0" w:color="auto"/>
              <w:left w:val="single" w:sz="6" w:space="0" w:color="auto"/>
              <w:bottom w:val="single" w:sz="6" w:space="0" w:color="auto"/>
              <w:right w:val="single" w:sz="2" w:space="0" w:color="auto"/>
            </w:tcBorders>
            <w:shd w:val="clear" w:color="auto" w:fill="auto"/>
            <w:tcMar>
              <w:top w:w="0" w:type="dxa"/>
              <w:left w:w="75" w:type="dxa"/>
              <w:bottom w:w="0" w:type="dxa"/>
              <w:right w:w="75" w:type="dxa"/>
            </w:tcMar>
            <w:vAlign w:val="center"/>
            <w:hideMark/>
          </w:tcPr>
          <w:p w14:paraId="6D136009" w14:textId="2AD6B5C2" w:rsidR="00E44247" w:rsidRPr="003B7D70" w:rsidRDefault="00E44247" w:rsidP="00335EE6">
            <w:pPr>
              <w:jc w:val="center"/>
              <w:rPr>
                <w:rFonts w:eastAsia="Arial Unicode MS"/>
                <w:sz w:val="20"/>
                <w:szCs w:val="20"/>
              </w:rPr>
            </w:pPr>
            <w:r w:rsidRPr="003B7D70">
              <w:rPr>
                <w:rFonts w:eastAsia="Arial Unicode MS"/>
                <w:sz w:val="20"/>
                <w:szCs w:val="20"/>
              </w:rPr>
              <w:t>Disabled HARQ</w:t>
            </w:r>
          </w:p>
        </w:tc>
        <w:tc>
          <w:tcPr>
            <w:tcW w:w="1822" w:type="dxa"/>
            <w:tcBorders>
              <w:top w:val="single" w:sz="6" w:space="0" w:color="auto"/>
              <w:left w:val="single" w:sz="6" w:space="0" w:color="auto"/>
              <w:bottom w:val="single" w:sz="6" w:space="0" w:color="auto"/>
              <w:right w:val="single" w:sz="2" w:space="0" w:color="auto"/>
            </w:tcBorders>
            <w:vAlign w:val="center"/>
          </w:tcPr>
          <w:p w14:paraId="3D48D6E0" w14:textId="27441A8F" w:rsidR="00E44247" w:rsidRPr="003B7D70" w:rsidRDefault="00E44247" w:rsidP="00335EE6">
            <w:pPr>
              <w:jc w:val="center"/>
              <w:rPr>
                <w:rFonts w:eastAsia="Arial Unicode MS"/>
                <w:sz w:val="20"/>
                <w:szCs w:val="20"/>
              </w:rPr>
            </w:pPr>
            <w:r>
              <w:rPr>
                <w:rFonts w:eastAsia="Arial Unicode MS"/>
                <w:sz w:val="20"/>
                <w:szCs w:val="20"/>
              </w:rPr>
              <w:t>-0.7</w:t>
            </w:r>
          </w:p>
        </w:tc>
        <w:tc>
          <w:tcPr>
            <w:tcW w:w="1719" w:type="dxa"/>
            <w:tcBorders>
              <w:top w:val="single" w:sz="6" w:space="0" w:color="auto"/>
              <w:left w:val="single" w:sz="6" w:space="0" w:color="auto"/>
              <w:bottom w:val="single" w:sz="6" w:space="0" w:color="auto"/>
              <w:right w:val="single" w:sz="2" w:space="0" w:color="auto"/>
            </w:tcBorders>
            <w:vAlign w:val="center"/>
          </w:tcPr>
          <w:p w14:paraId="18B5EED9" w14:textId="2B312A50" w:rsidR="00E44247" w:rsidRDefault="00335EE6" w:rsidP="00335EE6">
            <w:pPr>
              <w:jc w:val="center"/>
              <w:rPr>
                <w:rFonts w:eastAsia="Arial Unicode MS"/>
                <w:sz w:val="20"/>
                <w:szCs w:val="20"/>
              </w:rPr>
            </w:pPr>
            <w:r>
              <w:rPr>
                <w:rFonts w:eastAsia="Arial Unicode MS"/>
                <w:sz w:val="20"/>
                <w:szCs w:val="20"/>
              </w:rPr>
              <w:t>1.3</w:t>
            </w:r>
          </w:p>
        </w:tc>
      </w:tr>
      <w:tr w:rsidR="00E44247" w:rsidRPr="003B7D70" w14:paraId="0A2D9E55" w14:textId="1698B8CD" w:rsidTr="00335EE6">
        <w:trPr>
          <w:trHeight w:val="450"/>
          <w:jc w:val="center"/>
        </w:trPr>
        <w:tc>
          <w:tcPr>
            <w:tcW w:w="2285" w:type="dxa"/>
            <w:vMerge/>
            <w:tcBorders>
              <w:top w:val="single" w:sz="6" w:space="0" w:color="auto"/>
              <w:left w:val="single" w:sz="2" w:space="0" w:color="auto"/>
              <w:bottom w:val="single" w:sz="6" w:space="0" w:color="auto"/>
              <w:right w:val="single" w:sz="6" w:space="0" w:color="auto"/>
            </w:tcBorders>
            <w:shd w:val="clear" w:color="auto" w:fill="auto"/>
            <w:vAlign w:val="center"/>
            <w:hideMark/>
          </w:tcPr>
          <w:p w14:paraId="22FAC4C6" w14:textId="77777777" w:rsidR="00E44247" w:rsidRPr="003B7D70" w:rsidRDefault="00E44247" w:rsidP="00335EE6">
            <w:pPr>
              <w:jc w:val="center"/>
              <w:rPr>
                <w:sz w:val="20"/>
                <w:szCs w:val="20"/>
              </w:rPr>
            </w:pPr>
          </w:p>
        </w:tc>
        <w:tc>
          <w:tcPr>
            <w:tcW w:w="1591" w:type="dxa"/>
            <w:tcBorders>
              <w:top w:val="single" w:sz="6" w:space="0" w:color="353C41"/>
              <w:left w:val="single" w:sz="6" w:space="0" w:color="8397A2"/>
              <w:bottom w:val="single" w:sz="6" w:space="0" w:color="353C41"/>
              <w:right w:val="single" w:sz="6" w:space="0" w:color="8397A2"/>
            </w:tcBorders>
            <w:shd w:val="clear" w:color="auto" w:fill="auto"/>
            <w:tcMar>
              <w:top w:w="0" w:type="dxa"/>
              <w:left w:w="75" w:type="dxa"/>
              <w:bottom w:w="0" w:type="dxa"/>
              <w:right w:w="75" w:type="dxa"/>
            </w:tcMar>
            <w:vAlign w:val="center"/>
            <w:hideMark/>
          </w:tcPr>
          <w:p w14:paraId="095B943C" w14:textId="77777777" w:rsidR="00E44247" w:rsidRPr="003B7D70" w:rsidRDefault="00E44247" w:rsidP="00335EE6">
            <w:pPr>
              <w:jc w:val="center"/>
              <w:rPr>
                <w:rFonts w:eastAsia="Arial Unicode MS"/>
                <w:sz w:val="20"/>
                <w:szCs w:val="20"/>
              </w:rPr>
            </w:pPr>
            <w:r w:rsidRPr="003B7D70">
              <w:rPr>
                <w:rFonts w:eastAsia="Arial Unicode MS"/>
                <w:sz w:val="20"/>
                <w:szCs w:val="20"/>
              </w:rPr>
              <w:t>MCS4</w:t>
            </w:r>
          </w:p>
        </w:tc>
        <w:tc>
          <w:tcPr>
            <w:tcW w:w="1937" w:type="dxa"/>
            <w:tcBorders>
              <w:top w:val="single" w:sz="6" w:space="0" w:color="auto"/>
              <w:left w:val="single" w:sz="6" w:space="0" w:color="auto"/>
              <w:bottom w:val="single" w:sz="6" w:space="0" w:color="auto"/>
              <w:right w:val="single" w:sz="2" w:space="0" w:color="auto"/>
            </w:tcBorders>
            <w:shd w:val="clear" w:color="auto" w:fill="auto"/>
            <w:tcMar>
              <w:top w:w="0" w:type="dxa"/>
              <w:left w:w="75" w:type="dxa"/>
              <w:bottom w:w="0" w:type="dxa"/>
              <w:right w:w="75" w:type="dxa"/>
            </w:tcMar>
            <w:vAlign w:val="center"/>
            <w:hideMark/>
          </w:tcPr>
          <w:p w14:paraId="19526D08" w14:textId="77777777" w:rsidR="00E44247" w:rsidRPr="003B7D70" w:rsidRDefault="00E44247" w:rsidP="00335EE6">
            <w:pPr>
              <w:jc w:val="center"/>
              <w:rPr>
                <w:rFonts w:eastAsia="Arial Unicode MS"/>
                <w:sz w:val="20"/>
                <w:szCs w:val="20"/>
              </w:rPr>
            </w:pPr>
            <w:r w:rsidRPr="003B7D70">
              <w:rPr>
                <w:rFonts w:eastAsia="Arial Unicode MS"/>
                <w:sz w:val="20"/>
                <w:szCs w:val="20"/>
              </w:rPr>
              <w:t>16 HARQ Proc</w:t>
            </w:r>
          </w:p>
        </w:tc>
        <w:tc>
          <w:tcPr>
            <w:tcW w:w="1822" w:type="dxa"/>
            <w:tcBorders>
              <w:top w:val="single" w:sz="6" w:space="0" w:color="auto"/>
              <w:left w:val="single" w:sz="6" w:space="0" w:color="auto"/>
              <w:bottom w:val="single" w:sz="6" w:space="0" w:color="auto"/>
              <w:right w:val="single" w:sz="2" w:space="0" w:color="auto"/>
            </w:tcBorders>
            <w:vAlign w:val="center"/>
          </w:tcPr>
          <w:p w14:paraId="6F213C35" w14:textId="21DC0029" w:rsidR="00E44247" w:rsidRPr="003B7D70" w:rsidRDefault="00E44247" w:rsidP="00335EE6">
            <w:pPr>
              <w:jc w:val="center"/>
              <w:rPr>
                <w:rFonts w:eastAsia="Arial Unicode MS"/>
                <w:sz w:val="20"/>
                <w:szCs w:val="20"/>
              </w:rPr>
            </w:pPr>
            <w:r>
              <w:rPr>
                <w:rFonts w:eastAsia="Arial Unicode MS"/>
                <w:sz w:val="20"/>
                <w:szCs w:val="20"/>
              </w:rPr>
              <w:t>-1.4</w:t>
            </w:r>
          </w:p>
        </w:tc>
        <w:tc>
          <w:tcPr>
            <w:tcW w:w="1719" w:type="dxa"/>
            <w:tcBorders>
              <w:top w:val="single" w:sz="6" w:space="0" w:color="auto"/>
              <w:left w:val="single" w:sz="6" w:space="0" w:color="auto"/>
              <w:bottom w:val="single" w:sz="6" w:space="0" w:color="auto"/>
              <w:right w:val="single" w:sz="2" w:space="0" w:color="auto"/>
            </w:tcBorders>
            <w:vAlign w:val="center"/>
          </w:tcPr>
          <w:p w14:paraId="7BF64C43" w14:textId="3B0E7466" w:rsidR="00E44247" w:rsidRDefault="00335EE6" w:rsidP="00335EE6">
            <w:pPr>
              <w:jc w:val="center"/>
              <w:rPr>
                <w:rFonts w:eastAsia="Arial Unicode MS"/>
                <w:sz w:val="20"/>
                <w:szCs w:val="20"/>
              </w:rPr>
            </w:pPr>
            <w:r>
              <w:rPr>
                <w:rFonts w:eastAsia="Arial Unicode MS"/>
                <w:sz w:val="20"/>
                <w:szCs w:val="20"/>
              </w:rPr>
              <w:t>0.6</w:t>
            </w:r>
          </w:p>
        </w:tc>
      </w:tr>
      <w:tr w:rsidR="00E44247" w:rsidRPr="003B7D70" w14:paraId="3C752F1A" w14:textId="32D8A498" w:rsidTr="00335EE6">
        <w:trPr>
          <w:trHeight w:val="435"/>
          <w:jc w:val="center"/>
        </w:trPr>
        <w:tc>
          <w:tcPr>
            <w:tcW w:w="2285" w:type="dxa"/>
            <w:vMerge w:val="restart"/>
            <w:tcBorders>
              <w:top w:val="single" w:sz="6" w:space="0" w:color="auto"/>
              <w:left w:val="single" w:sz="2" w:space="0" w:color="auto"/>
              <w:bottom w:val="single" w:sz="2" w:space="0" w:color="auto"/>
              <w:right w:val="single" w:sz="6" w:space="0" w:color="auto"/>
            </w:tcBorders>
            <w:shd w:val="clear" w:color="auto" w:fill="auto"/>
            <w:tcMar>
              <w:top w:w="0" w:type="dxa"/>
              <w:left w:w="75" w:type="dxa"/>
              <w:bottom w:w="0" w:type="dxa"/>
              <w:right w:w="75" w:type="dxa"/>
            </w:tcMar>
            <w:vAlign w:val="center"/>
            <w:hideMark/>
          </w:tcPr>
          <w:p w14:paraId="131FCEDD" w14:textId="77777777" w:rsidR="00E44247" w:rsidRPr="003B7D70" w:rsidRDefault="00E44247" w:rsidP="00335EE6">
            <w:pPr>
              <w:jc w:val="center"/>
              <w:rPr>
                <w:rFonts w:eastAsia="Arial Unicode MS"/>
                <w:sz w:val="20"/>
                <w:szCs w:val="20"/>
              </w:rPr>
            </w:pPr>
            <w:r w:rsidRPr="003B7D70">
              <w:rPr>
                <w:rFonts w:eastAsia="Arial Unicode MS"/>
                <w:sz w:val="20"/>
                <w:szCs w:val="20"/>
              </w:rPr>
              <w:t>NTN-TDLC5-200</w:t>
            </w:r>
          </w:p>
        </w:tc>
        <w:tc>
          <w:tcPr>
            <w:tcW w:w="1591" w:type="dxa"/>
            <w:tcBorders>
              <w:top w:val="single" w:sz="6" w:space="0" w:color="353C41"/>
              <w:left w:val="single" w:sz="6" w:space="0" w:color="8397A2"/>
              <w:bottom w:val="single" w:sz="6" w:space="0" w:color="353C41"/>
              <w:right w:val="single" w:sz="6" w:space="0" w:color="8397A2"/>
            </w:tcBorders>
            <w:shd w:val="clear" w:color="auto" w:fill="auto"/>
            <w:tcMar>
              <w:top w:w="0" w:type="dxa"/>
              <w:left w:w="75" w:type="dxa"/>
              <w:bottom w:w="0" w:type="dxa"/>
              <w:right w:w="75" w:type="dxa"/>
            </w:tcMar>
            <w:vAlign w:val="center"/>
            <w:hideMark/>
          </w:tcPr>
          <w:p w14:paraId="464FBFAA" w14:textId="77777777" w:rsidR="00E44247" w:rsidRPr="003B7D70" w:rsidRDefault="00E44247" w:rsidP="00335EE6">
            <w:pPr>
              <w:jc w:val="center"/>
              <w:rPr>
                <w:rFonts w:eastAsia="Arial Unicode MS"/>
                <w:sz w:val="20"/>
                <w:szCs w:val="20"/>
              </w:rPr>
            </w:pPr>
            <w:r w:rsidRPr="003B7D70">
              <w:rPr>
                <w:rFonts w:eastAsia="Arial Unicode MS"/>
                <w:sz w:val="20"/>
                <w:szCs w:val="20"/>
              </w:rPr>
              <w:t>MCS4</w:t>
            </w:r>
          </w:p>
        </w:tc>
        <w:tc>
          <w:tcPr>
            <w:tcW w:w="1937" w:type="dxa"/>
            <w:tcBorders>
              <w:top w:val="single" w:sz="6" w:space="0" w:color="auto"/>
              <w:left w:val="single" w:sz="6" w:space="0" w:color="auto"/>
              <w:bottom w:val="single" w:sz="6" w:space="0" w:color="auto"/>
              <w:right w:val="single" w:sz="2" w:space="0" w:color="auto"/>
            </w:tcBorders>
            <w:shd w:val="clear" w:color="auto" w:fill="auto"/>
            <w:tcMar>
              <w:top w:w="0" w:type="dxa"/>
              <w:left w:w="75" w:type="dxa"/>
              <w:bottom w:w="0" w:type="dxa"/>
              <w:right w:w="75" w:type="dxa"/>
            </w:tcMar>
            <w:vAlign w:val="center"/>
            <w:hideMark/>
          </w:tcPr>
          <w:p w14:paraId="7C78AC41" w14:textId="77777777" w:rsidR="00E44247" w:rsidRPr="003B7D70" w:rsidRDefault="00E44247" w:rsidP="00335EE6">
            <w:pPr>
              <w:jc w:val="center"/>
              <w:rPr>
                <w:rFonts w:eastAsia="Arial Unicode MS"/>
                <w:sz w:val="20"/>
                <w:szCs w:val="20"/>
              </w:rPr>
            </w:pPr>
            <w:r w:rsidRPr="003B7D70">
              <w:rPr>
                <w:rFonts w:eastAsia="Arial Unicode MS"/>
                <w:sz w:val="20"/>
                <w:szCs w:val="20"/>
              </w:rPr>
              <w:t>32 HARQ Proc</w:t>
            </w:r>
          </w:p>
        </w:tc>
        <w:tc>
          <w:tcPr>
            <w:tcW w:w="1822" w:type="dxa"/>
            <w:tcBorders>
              <w:top w:val="single" w:sz="6" w:space="0" w:color="auto"/>
              <w:left w:val="single" w:sz="6" w:space="0" w:color="auto"/>
              <w:bottom w:val="single" w:sz="6" w:space="0" w:color="auto"/>
              <w:right w:val="single" w:sz="2" w:space="0" w:color="auto"/>
            </w:tcBorders>
            <w:vAlign w:val="center"/>
          </w:tcPr>
          <w:p w14:paraId="1A153826" w14:textId="7E39C652" w:rsidR="00E44247" w:rsidRPr="003B7D70" w:rsidRDefault="00E44247" w:rsidP="00335EE6">
            <w:pPr>
              <w:jc w:val="center"/>
              <w:rPr>
                <w:rFonts w:eastAsia="Arial Unicode MS"/>
                <w:sz w:val="20"/>
                <w:szCs w:val="20"/>
              </w:rPr>
            </w:pPr>
            <w:r>
              <w:rPr>
                <w:rFonts w:eastAsia="Arial Unicode MS"/>
                <w:sz w:val="20"/>
                <w:szCs w:val="20"/>
              </w:rPr>
              <w:t>-3</w:t>
            </w:r>
            <w:r w:rsidR="00335EE6">
              <w:rPr>
                <w:rFonts w:eastAsia="Arial Unicode MS"/>
                <w:sz w:val="20"/>
                <w:szCs w:val="20"/>
              </w:rPr>
              <w:t>.0</w:t>
            </w:r>
          </w:p>
        </w:tc>
        <w:tc>
          <w:tcPr>
            <w:tcW w:w="1719" w:type="dxa"/>
            <w:tcBorders>
              <w:top w:val="single" w:sz="6" w:space="0" w:color="auto"/>
              <w:left w:val="single" w:sz="6" w:space="0" w:color="auto"/>
              <w:bottom w:val="single" w:sz="6" w:space="0" w:color="auto"/>
              <w:right w:val="single" w:sz="2" w:space="0" w:color="auto"/>
            </w:tcBorders>
            <w:vAlign w:val="center"/>
          </w:tcPr>
          <w:p w14:paraId="3C2F379B" w14:textId="6698970C" w:rsidR="00E44247" w:rsidRDefault="00335EE6" w:rsidP="00335EE6">
            <w:pPr>
              <w:jc w:val="center"/>
              <w:rPr>
                <w:rFonts w:eastAsia="Arial Unicode MS"/>
                <w:sz w:val="20"/>
                <w:szCs w:val="20"/>
              </w:rPr>
            </w:pPr>
            <w:r>
              <w:rPr>
                <w:rFonts w:eastAsia="Arial Unicode MS"/>
                <w:sz w:val="20"/>
                <w:szCs w:val="20"/>
              </w:rPr>
              <w:t>-1.0</w:t>
            </w:r>
          </w:p>
        </w:tc>
      </w:tr>
      <w:tr w:rsidR="00E44247" w:rsidRPr="003B7D70" w14:paraId="2D190B61" w14:textId="7A750DB9" w:rsidTr="00335EE6">
        <w:trPr>
          <w:trHeight w:val="450"/>
          <w:jc w:val="center"/>
        </w:trPr>
        <w:tc>
          <w:tcPr>
            <w:tcW w:w="2285" w:type="dxa"/>
            <w:vMerge/>
            <w:tcBorders>
              <w:top w:val="single" w:sz="6" w:space="0" w:color="auto"/>
              <w:left w:val="single" w:sz="2" w:space="0" w:color="auto"/>
              <w:bottom w:val="single" w:sz="6" w:space="0" w:color="auto"/>
              <w:right w:val="single" w:sz="6" w:space="0" w:color="auto"/>
            </w:tcBorders>
            <w:shd w:val="clear" w:color="auto" w:fill="auto"/>
            <w:vAlign w:val="center"/>
            <w:hideMark/>
          </w:tcPr>
          <w:p w14:paraId="769CCB17" w14:textId="77777777" w:rsidR="00E44247" w:rsidRPr="003B7D70" w:rsidRDefault="00E44247" w:rsidP="00335EE6">
            <w:pPr>
              <w:jc w:val="center"/>
              <w:rPr>
                <w:sz w:val="20"/>
                <w:szCs w:val="20"/>
              </w:rPr>
            </w:pPr>
          </w:p>
        </w:tc>
        <w:tc>
          <w:tcPr>
            <w:tcW w:w="1591" w:type="dxa"/>
            <w:tcBorders>
              <w:top w:val="single" w:sz="6" w:space="0" w:color="auto"/>
              <w:left w:val="single" w:sz="6" w:space="0" w:color="auto"/>
              <w:bottom w:val="single" w:sz="6" w:space="0" w:color="auto"/>
              <w:right w:val="single" w:sz="6" w:space="0" w:color="auto"/>
            </w:tcBorders>
            <w:shd w:val="clear" w:color="auto" w:fill="auto"/>
            <w:tcMar>
              <w:top w:w="0" w:type="dxa"/>
              <w:left w:w="75" w:type="dxa"/>
              <w:bottom w:w="0" w:type="dxa"/>
              <w:right w:w="75" w:type="dxa"/>
            </w:tcMar>
            <w:vAlign w:val="center"/>
            <w:hideMark/>
          </w:tcPr>
          <w:p w14:paraId="7828189B" w14:textId="77777777" w:rsidR="00E44247" w:rsidRPr="003B7D70" w:rsidRDefault="00E44247" w:rsidP="00335EE6">
            <w:pPr>
              <w:jc w:val="center"/>
              <w:rPr>
                <w:rFonts w:eastAsia="Arial Unicode MS"/>
                <w:sz w:val="20"/>
                <w:szCs w:val="20"/>
              </w:rPr>
            </w:pPr>
            <w:r w:rsidRPr="003B7D70">
              <w:rPr>
                <w:rFonts w:eastAsia="Arial Unicode MS"/>
                <w:sz w:val="20"/>
                <w:szCs w:val="20"/>
              </w:rPr>
              <w:t>MCS13</w:t>
            </w:r>
          </w:p>
        </w:tc>
        <w:tc>
          <w:tcPr>
            <w:tcW w:w="1937" w:type="dxa"/>
            <w:tcBorders>
              <w:top w:val="single" w:sz="6" w:space="0" w:color="auto"/>
              <w:left w:val="single" w:sz="6" w:space="0" w:color="auto"/>
              <w:bottom w:val="single" w:sz="6" w:space="0" w:color="auto"/>
              <w:right w:val="single" w:sz="2" w:space="0" w:color="auto"/>
            </w:tcBorders>
            <w:shd w:val="clear" w:color="auto" w:fill="auto"/>
            <w:tcMar>
              <w:top w:w="0" w:type="dxa"/>
              <w:left w:w="75" w:type="dxa"/>
              <w:bottom w:w="0" w:type="dxa"/>
              <w:right w:w="75" w:type="dxa"/>
            </w:tcMar>
            <w:vAlign w:val="center"/>
            <w:hideMark/>
          </w:tcPr>
          <w:p w14:paraId="3544D7D6" w14:textId="77777777" w:rsidR="00E44247" w:rsidRPr="003B7D70" w:rsidRDefault="00E44247" w:rsidP="00335EE6">
            <w:pPr>
              <w:jc w:val="center"/>
              <w:rPr>
                <w:rFonts w:eastAsia="Arial Unicode MS"/>
                <w:sz w:val="20"/>
                <w:szCs w:val="20"/>
              </w:rPr>
            </w:pPr>
            <w:r w:rsidRPr="003B7D70">
              <w:rPr>
                <w:rFonts w:eastAsia="Arial Unicode MS"/>
                <w:sz w:val="20"/>
                <w:szCs w:val="20"/>
              </w:rPr>
              <w:t>16 HARQ Proc</w:t>
            </w:r>
          </w:p>
        </w:tc>
        <w:tc>
          <w:tcPr>
            <w:tcW w:w="1822" w:type="dxa"/>
            <w:tcBorders>
              <w:top w:val="single" w:sz="6" w:space="0" w:color="auto"/>
              <w:left w:val="single" w:sz="6" w:space="0" w:color="auto"/>
              <w:bottom w:val="single" w:sz="6" w:space="0" w:color="auto"/>
              <w:right w:val="single" w:sz="2" w:space="0" w:color="auto"/>
            </w:tcBorders>
            <w:vAlign w:val="center"/>
          </w:tcPr>
          <w:p w14:paraId="1C7CBA06" w14:textId="02E35642" w:rsidR="00E44247" w:rsidRPr="003B7D70" w:rsidRDefault="00E44247" w:rsidP="00335EE6">
            <w:pPr>
              <w:jc w:val="center"/>
              <w:rPr>
                <w:rFonts w:eastAsia="Arial Unicode MS"/>
                <w:sz w:val="20"/>
                <w:szCs w:val="20"/>
              </w:rPr>
            </w:pPr>
            <w:r>
              <w:rPr>
                <w:rFonts w:eastAsia="Arial Unicode MS"/>
                <w:sz w:val="20"/>
                <w:szCs w:val="20"/>
              </w:rPr>
              <w:t>5.4</w:t>
            </w:r>
          </w:p>
        </w:tc>
        <w:tc>
          <w:tcPr>
            <w:tcW w:w="1719" w:type="dxa"/>
            <w:tcBorders>
              <w:top w:val="single" w:sz="6" w:space="0" w:color="auto"/>
              <w:left w:val="single" w:sz="6" w:space="0" w:color="auto"/>
              <w:bottom w:val="single" w:sz="6" w:space="0" w:color="auto"/>
              <w:right w:val="single" w:sz="2" w:space="0" w:color="auto"/>
            </w:tcBorders>
            <w:vAlign w:val="center"/>
          </w:tcPr>
          <w:p w14:paraId="779C58EE" w14:textId="6C343B60" w:rsidR="00E44247" w:rsidRDefault="00335EE6" w:rsidP="00335EE6">
            <w:pPr>
              <w:jc w:val="center"/>
              <w:rPr>
                <w:rFonts w:eastAsia="Arial Unicode MS"/>
                <w:sz w:val="20"/>
                <w:szCs w:val="20"/>
              </w:rPr>
            </w:pPr>
            <w:r>
              <w:rPr>
                <w:rFonts w:eastAsia="Arial Unicode MS"/>
                <w:sz w:val="20"/>
                <w:szCs w:val="20"/>
              </w:rPr>
              <w:t>7.4</w:t>
            </w:r>
          </w:p>
        </w:tc>
      </w:tr>
    </w:tbl>
    <w:p w14:paraId="5DF286E2" w14:textId="77777777" w:rsidR="003B7D70" w:rsidRDefault="003B7D70" w:rsidP="005B410D">
      <w:pPr>
        <w:spacing w:after="120"/>
        <w:rPr>
          <w:rFonts w:eastAsia="SimSun"/>
          <w:sz w:val="20"/>
          <w:szCs w:val="20"/>
          <w:lang w:val="en-GB" w:eastAsia="en-GB"/>
        </w:rPr>
      </w:pPr>
    </w:p>
    <w:p w14:paraId="52BEFBF3" w14:textId="77777777" w:rsidR="006F511A" w:rsidRDefault="006F511A" w:rsidP="006F511A">
      <w:pPr>
        <w:spacing w:after="120"/>
      </w:pPr>
    </w:p>
    <w:p w14:paraId="0B3141EF" w14:textId="74F64097" w:rsidR="009F52D7" w:rsidRPr="002F79EB" w:rsidRDefault="006F511A" w:rsidP="006F511A">
      <w:pPr>
        <w:pStyle w:val="Heading1"/>
        <w:ind w:left="0" w:firstLine="0"/>
        <w:rPr>
          <w:lang w:val="en-US"/>
        </w:rPr>
      </w:pPr>
      <w:r>
        <w:rPr>
          <w:lang w:val="en-US"/>
        </w:rPr>
        <w:t xml:space="preserve">3. </w:t>
      </w:r>
      <w:r w:rsidR="009F52D7">
        <w:rPr>
          <w:lang w:val="en-US"/>
        </w:rPr>
        <w:t>Conclusion</w:t>
      </w:r>
    </w:p>
    <w:p w14:paraId="7BBB2F9C" w14:textId="01ABFDD0" w:rsidR="009F52D7" w:rsidRDefault="009F52D7" w:rsidP="005B410D">
      <w:pPr>
        <w:spacing w:after="120"/>
        <w:rPr>
          <w:sz w:val="20"/>
          <w:szCs w:val="20"/>
        </w:rPr>
      </w:pPr>
      <w:r w:rsidRPr="00EF56AD">
        <w:rPr>
          <w:sz w:val="20"/>
          <w:szCs w:val="20"/>
        </w:rPr>
        <w:t xml:space="preserve">In this paper, we provide our views </w:t>
      </w:r>
      <w:r w:rsidR="00644B1D" w:rsidRPr="00EF56AD">
        <w:rPr>
          <w:sz w:val="20"/>
          <w:szCs w:val="20"/>
        </w:rPr>
        <w:t>NTN UE demod requirements</w:t>
      </w:r>
      <w:r w:rsidR="008B4021">
        <w:rPr>
          <w:sz w:val="20"/>
          <w:szCs w:val="20"/>
        </w:rPr>
        <w:t xml:space="preserve"> and simulation results for requirements definiton</w:t>
      </w:r>
      <w:r w:rsidRPr="00EF56AD">
        <w:rPr>
          <w:sz w:val="20"/>
          <w:szCs w:val="20"/>
        </w:rPr>
        <w:t>. Our observations and proposals are captured below:</w:t>
      </w:r>
    </w:p>
    <w:p w14:paraId="21C9996E" w14:textId="77777777" w:rsidR="00F2175C" w:rsidRDefault="00F2175C" w:rsidP="00F2175C">
      <w:pPr>
        <w:spacing w:after="120"/>
        <w:rPr>
          <w:rFonts w:eastAsia="SimSun"/>
          <w:i/>
          <w:iCs/>
          <w:sz w:val="20"/>
          <w:szCs w:val="20"/>
          <w:lang w:val="en-GB" w:eastAsia="en-GB"/>
        </w:rPr>
      </w:pPr>
      <w:r>
        <w:rPr>
          <w:rFonts w:eastAsia="SimSun"/>
          <w:b/>
          <w:bCs/>
          <w:i/>
          <w:iCs/>
          <w:sz w:val="20"/>
          <w:szCs w:val="20"/>
          <w:lang w:val="en-GB" w:eastAsia="en-GB"/>
        </w:rPr>
        <w:t xml:space="preserve">Observation #1: </w:t>
      </w:r>
      <w:r>
        <w:rPr>
          <w:rFonts w:eastAsia="SimSun"/>
          <w:i/>
          <w:iCs/>
          <w:sz w:val="20"/>
          <w:szCs w:val="20"/>
          <w:lang w:val="en-GB" w:eastAsia="en-GB"/>
        </w:rPr>
        <w:t>With disabled HARQ feature, HARQ is disabled for some of the HARQ processes, not all.</w:t>
      </w:r>
    </w:p>
    <w:p w14:paraId="4E0FE242" w14:textId="77777777" w:rsidR="00F2175C" w:rsidRDefault="00F2175C" w:rsidP="00F2175C">
      <w:pPr>
        <w:spacing w:after="120"/>
        <w:rPr>
          <w:rFonts w:eastAsia="SimSun"/>
          <w:i/>
          <w:iCs/>
          <w:sz w:val="20"/>
          <w:szCs w:val="20"/>
          <w:lang w:val="en-GB" w:eastAsia="en-GB"/>
        </w:rPr>
      </w:pPr>
      <w:r>
        <w:rPr>
          <w:rFonts w:eastAsia="SimSun"/>
          <w:b/>
          <w:bCs/>
          <w:i/>
          <w:iCs/>
          <w:sz w:val="20"/>
          <w:szCs w:val="20"/>
          <w:lang w:val="en-GB" w:eastAsia="en-GB"/>
        </w:rPr>
        <w:t xml:space="preserve">Observation #2: </w:t>
      </w:r>
      <w:r w:rsidRPr="00B91876">
        <w:rPr>
          <w:rFonts w:eastAsia="SimSun"/>
          <w:i/>
          <w:iCs/>
          <w:sz w:val="20"/>
          <w:szCs w:val="20"/>
          <w:lang w:val="en-GB" w:eastAsia="en-GB"/>
        </w:rPr>
        <w:t>With</w:t>
      </w:r>
      <w:r>
        <w:rPr>
          <w:rFonts w:eastAsia="SimSun"/>
          <w:b/>
          <w:bCs/>
          <w:sz w:val="20"/>
          <w:szCs w:val="20"/>
          <w:lang w:val="en-GB" w:eastAsia="en-GB"/>
        </w:rPr>
        <w:t xml:space="preserve"> </w:t>
      </w:r>
      <w:r w:rsidRPr="00B91876">
        <w:rPr>
          <w:rFonts w:eastAsia="SimSun"/>
          <w:i/>
          <w:iCs/>
          <w:sz w:val="20"/>
          <w:szCs w:val="20"/>
          <w:lang w:val="en-GB" w:eastAsia="en-GB"/>
        </w:rPr>
        <w:t>some processes with disabled HARQ</w:t>
      </w:r>
      <w:r>
        <w:rPr>
          <w:rFonts w:eastAsia="SimSun"/>
          <w:i/>
          <w:iCs/>
          <w:sz w:val="20"/>
          <w:szCs w:val="20"/>
          <w:lang w:val="en-GB" w:eastAsia="en-GB"/>
        </w:rPr>
        <w:t xml:space="preserve"> and some with HAR-ACK enabled with no re-transmissions</w:t>
      </w:r>
      <w:r>
        <w:rPr>
          <w:rFonts w:eastAsia="SimSun"/>
          <w:b/>
          <w:bCs/>
          <w:sz w:val="20"/>
          <w:szCs w:val="20"/>
          <w:lang w:val="en-GB" w:eastAsia="en-GB"/>
        </w:rPr>
        <w:t xml:space="preserve">, </w:t>
      </w:r>
      <w:r w:rsidRPr="00F2175C">
        <w:rPr>
          <w:rFonts w:eastAsia="SimSun"/>
          <w:i/>
          <w:iCs/>
          <w:sz w:val="20"/>
          <w:szCs w:val="20"/>
          <w:lang w:val="en-GB" w:eastAsia="en-GB"/>
        </w:rPr>
        <w:t xml:space="preserve">the functionality </w:t>
      </w:r>
      <w:r>
        <w:rPr>
          <w:rFonts w:eastAsia="SimSun"/>
          <w:i/>
          <w:iCs/>
          <w:sz w:val="20"/>
          <w:szCs w:val="20"/>
          <w:lang w:val="en-GB" w:eastAsia="en-GB"/>
        </w:rPr>
        <w:t xml:space="preserve">and performance will be verified with disabled HARQ feature. </w:t>
      </w:r>
      <w:r w:rsidRPr="00F2175C">
        <w:rPr>
          <w:rFonts w:eastAsia="SimSun"/>
          <w:i/>
          <w:iCs/>
          <w:sz w:val="20"/>
          <w:szCs w:val="20"/>
          <w:lang w:val="en-GB" w:eastAsia="en-GB"/>
        </w:rPr>
        <w:t xml:space="preserve">  </w:t>
      </w:r>
    </w:p>
    <w:p w14:paraId="5267DAE3" w14:textId="77777777" w:rsidR="00F2175C" w:rsidRDefault="00F2175C" w:rsidP="00F2175C">
      <w:pPr>
        <w:spacing w:after="120"/>
        <w:rPr>
          <w:rFonts w:eastAsia="SimSun"/>
          <w:b/>
          <w:bCs/>
          <w:sz w:val="20"/>
          <w:szCs w:val="20"/>
          <w:lang w:eastAsia="en-GB"/>
        </w:rPr>
      </w:pPr>
      <w:r>
        <w:rPr>
          <w:rFonts w:eastAsia="SimSun"/>
          <w:b/>
          <w:bCs/>
          <w:sz w:val="20"/>
          <w:szCs w:val="20"/>
          <w:lang w:val="en-GB" w:eastAsia="en-GB"/>
        </w:rPr>
        <w:t xml:space="preserve">Proposal #1: Define requirements with </w:t>
      </w:r>
      <w:r w:rsidRPr="003B7D70">
        <w:rPr>
          <w:rFonts w:eastAsia="SimSun"/>
          <w:b/>
          <w:bCs/>
          <w:sz w:val="20"/>
          <w:szCs w:val="20"/>
          <w:lang w:eastAsia="en-GB"/>
        </w:rPr>
        <w:t>4 disabled, 12 enabled in 16 HARQ processes</w:t>
      </w:r>
      <w:r>
        <w:rPr>
          <w:rFonts w:eastAsia="SimSun"/>
          <w:b/>
          <w:bCs/>
          <w:sz w:val="20"/>
          <w:szCs w:val="20"/>
          <w:lang w:eastAsia="en-GB"/>
        </w:rPr>
        <w:t xml:space="preserve"> for disabled HARQ test cases. Throughput shall be measured on processes with HARQ enabled. </w:t>
      </w:r>
    </w:p>
    <w:p w14:paraId="7E663DFD" w14:textId="77777777" w:rsidR="003B7D70" w:rsidRPr="005B410D" w:rsidRDefault="003B7D70" w:rsidP="005B410D">
      <w:pPr>
        <w:spacing w:after="120"/>
        <w:rPr>
          <w:sz w:val="20"/>
          <w:szCs w:val="20"/>
        </w:rPr>
      </w:pPr>
    </w:p>
    <w:p w14:paraId="43538C86" w14:textId="77777777" w:rsidR="009F52D7" w:rsidRDefault="009F52D7" w:rsidP="009F52D7">
      <w:pPr>
        <w:pStyle w:val="Heading1"/>
        <w:ind w:left="432" w:hanging="432"/>
        <w:rPr>
          <w:lang w:val="en-US"/>
        </w:rPr>
      </w:pPr>
      <w:r>
        <w:rPr>
          <w:lang w:val="en-US"/>
        </w:rPr>
        <w:t>Reference</w:t>
      </w:r>
    </w:p>
    <w:p w14:paraId="509A2F1D" w14:textId="2C59EC71" w:rsidR="00C94AC7" w:rsidRDefault="00BF5D1B" w:rsidP="00C94AC7">
      <w:pPr>
        <w:pStyle w:val="ListParagraph"/>
        <w:numPr>
          <w:ilvl w:val="0"/>
          <w:numId w:val="2"/>
        </w:numPr>
        <w:spacing w:after="120"/>
        <w:ind w:firstLineChars="0"/>
        <w:jc w:val="both"/>
        <w:rPr>
          <w:rFonts w:ascii="Times New Roman" w:hAnsi="Times New Roman" w:cs="Times New Roman"/>
          <w:sz w:val="20"/>
          <w:szCs w:val="20"/>
        </w:rPr>
      </w:pPr>
      <w:r w:rsidRPr="00BF5D1B">
        <w:rPr>
          <w:rFonts w:ascii="Times New Roman" w:hAnsi="Times New Roman" w:cs="Times New Roman"/>
          <w:sz w:val="20"/>
          <w:szCs w:val="20"/>
        </w:rPr>
        <w:t>R4-</w:t>
      </w:r>
      <w:r w:rsidR="00E60F95" w:rsidRPr="00E60F95">
        <w:rPr>
          <w:rFonts w:ascii="Times New Roman" w:hAnsi="Times New Roman" w:cs="Times New Roman"/>
          <w:sz w:val="20"/>
          <w:szCs w:val="20"/>
        </w:rPr>
        <w:t>2217344</w:t>
      </w:r>
      <w:r w:rsidR="00C94AC7" w:rsidRPr="00B760DD">
        <w:rPr>
          <w:rFonts w:ascii="Times New Roman" w:hAnsi="Times New Roman" w:cs="Times New Roman"/>
          <w:sz w:val="20"/>
          <w:szCs w:val="20"/>
        </w:rPr>
        <w:t>, “</w:t>
      </w:r>
      <w:r w:rsidRPr="00BF5D1B">
        <w:rPr>
          <w:rFonts w:ascii="Times New Roman" w:hAnsi="Times New Roman" w:cs="Times New Roman"/>
          <w:sz w:val="20"/>
          <w:szCs w:val="20"/>
        </w:rPr>
        <w:t>WF for NTN demodulation requirements - general and PDSCH</w:t>
      </w:r>
      <w:r w:rsidR="00C94AC7" w:rsidRPr="00B760DD">
        <w:rPr>
          <w:rFonts w:ascii="Times New Roman" w:hAnsi="Times New Roman" w:cs="Times New Roman"/>
          <w:sz w:val="20"/>
          <w:szCs w:val="20"/>
        </w:rPr>
        <w:t xml:space="preserve">”, </w:t>
      </w:r>
      <w:r w:rsidR="004F2D07" w:rsidRPr="00B760DD">
        <w:rPr>
          <w:rFonts w:ascii="Times New Roman" w:hAnsi="Times New Roman" w:cs="Times New Roman"/>
          <w:sz w:val="20"/>
          <w:szCs w:val="20"/>
        </w:rPr>
        <w:t>Qualcomm Incorporated</w:t>
      </w:r>
      <w:r w:rsidR="00C94AC7" w:rsidRPr="00B760DD">
        <w:rPr>
          <w:rFonts w:ascii="Times New Roman" w:hAnsi="Times New Roman" w:cs="Times New Roman"/>
          <w:sz w:val="20"/>
          <w:szCs w:val="20"/>
        </w:rPr>
        <w:t xml:space="preserve">.  </w:t>
      </w:r>
    </w:p>
    <w:p w14:paraId="56E792EE" w14:textId="77777777" w:rsidR="009F52D7" w:rsidRDefault="009F52D7" w:rsidP="009F52D7"/>
    <w:p w14:paraId="57796A25" w14:textId="77777777" w:rsidR="00924CB2" w:rsidRDefault="00924CB2"/>
    <w:sectPr w:rsidR="00924CB2" w:rsidSect="00B10FA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4D"/>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6DD15E3"/>
    <w:multiLevelType w:val="multilevel"/>
    <w:tmpl w:val="B8669092"/>
    <w:lvl w:ilvl="0">
      <w:start w:val="2"/>
      <w:numFmt w:val="decimal"/>
      <w:lvlText w:val="%1"/>
      <w:lvlJc w:val="left"/>
      <w:pPr>
        <w:ind w:left="465" w:hanging="465"/>
      </w:pPr>
      <w:rPr>
        <w:rFonts w:hint="default"/>
      </w:rPr>
    </w:lvl>
    <w:lvl w:ilvl="1">
      <w:start w:val="1"/>
      <w:numFmt w:val="decimal"/>
      <w:pStyle w:val="Heading2"/>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 w15:restartNumberingAfterBreak="0">
    <w:nsid w:val="548B2FB3"/>
    <w:multiLevelType w:val="multilevel"/>
    <w:tmpl w:val="6A387B8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strike w:val="0"/>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num w:numId="1" w16cid:durableId="259338048">
    <w:abstractNumId w:val="0"/>
  </w:num>
  <w:num w:numId="2" w16cid:durableId="1198423226">
    <w:abstractNumId w:val="1"/>
  </w:num>
  <w:num w:numId="3" w16cid:durableId="183718591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9"/>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138B"/>
    <w:rsid w:val="000A1C95"/>
    <w:rsid w:val="000B21A7"/>
    <w:rsid w:val="000C5B38"/>
    <w:rsid w:val="00121828"/>
    <w:rsid w:val="00150312"/>
    <w:rsid w:val="00161735"/>
    <w:rsid w:val="00177147"/>
    <w:rsid w:val="00192B57"/>
    <w:rsid w:val="001A63CC"/>
    <w:rsid w:val="001A784A"/>
    <w:rsid w:val="001B5D0A"/>
    <w:rsid w:val="001C663E"/>
    <w:rsid w:val="001E7393"/>
    <w:rsid w:val="001F524D"/>
    <w:rsid w:val="00205832"/>
    <w:rsid w:val="0023091F"/>
    <w:rsid w:val="002503E7"/>
    <w:rsid w:val="002531D2"/>
    <w:rsid w:val="002870EA"/>
    <w:rsid w:val="002F4FA3"/>
    <w:rsid w:val="00335EE6"/>
    <w:rsid w:val="003A7ACF"/>
    <w:rsid w:val="003B7D70"/>
    <w:rsid w:val="003D0E4A"/>
    <w:rsid w:val="003E73EE"/>
    <w:rsid w:val="00446E4D"/>
    <w:rsid w:val="004D1584"/>
    <w:rsid w:val="004E4716"/>
    <w:rsid w:val="004F1F14"/>
    <w:rsid w:val="004F2D07"/>
    <w:rsid w:val="005671B2"/>
    <w:rsid w:val="0057184D"/>
    <w:rsid w:val="005B410D"/>
    <w:rsid w:val="005C73A6"/>
    <w:rsid w:val="005D1B1F"/>
    <w:rsid w:val="005F3779"/>
    <w:rsid w:val="0060160A"/>
    <w:rsid w:val="0060446A"/>
    <w:rsid w:val="00626BDE"/>
    <w:rsid w:val="00644B1D"/>
    <w:rsid w:val="006778BE"/>
    <w:rsid w:val="006F511A"/>
    <w:rsid w:val="00714386"/>
    <w:rsid w:val="007159BD"/>
    <w:rsid w:val="00741E9B"/>
    <w:rsid w:val="0076491E"/>
    <w:rsid w:val="00775238"/>
    <w:rsid w:val="007A2D45"/>
    <w:rsid w:val="007A3BE1"/>
    <w:rsid w:val="007B3F11"/>
    <w:rsid w:val="007C626C"/>
    <w:rsid w:val="00820D01"/>
    <w:rsid w:val="008631FF"/>
    <w:rsid w:val="008B4021"/>
    <w:rsid w:val="008B60FB"/>
    <w:rsid w:val="00924CB2"/>
    <w:rsid w:val="00932C93"/>
    <w:rsid w:val="00951300"/>
    <w:rsid w:val="00970536"/>
    <w:rsid w:val="00977AED"/>
    <w:rsid w:val="009D1152"/>
    <w:rsid w:val="009D596C"/>
    <w:rsid w:val="009D67DD"/>
    <w:rsid w:val="009F1766"/>
    <w:rsid w:val="009F474C"/>
    <w:rsid w:val="009F52D7"/>
    <w:rsid w:val="00A211CC"/>
    <w:rsid w:val="00A530F9"/>
    <w:rsid w:val="00A64B58"/>
    <w:rsid w:val="00A70565"/>
    <w:rsid w:val="00B0326A"/>
    <w:rsid w:val="00B23E5A"/>
    <w:rsid w:val="00B44C45"/>
    <w:rsid w:val="00B760DD"/>
    <w:rsid w:val="00B778CE"/>
    <w:rsid w:val="00B8567C"/>
    <w:rsid w:val="00B91876"/>
    <w:rsid w:val="00BF0807"/>
    <w:rsid w:val="00BF5D1B"/>
    <w:rsid w:val="00C053A4"/>
    <w:rsid w:val="00C37430"/>
    <w:rsid w:val="00C94AC7"/>
    <w:rsid w:val="00CA0670"/>
    <w:rsid w:val="00CA46FC"/>
    <w:rsid w:val="00CD0F63"/>
    <w:rsid w:val="00D06F7A"/>
    <w:rsid w:val="00D55A34"/>
    <w:rsid w:val="00D757DA"/>
    <w:rsid w:val="00DA7077"/>
    <w:rsid w:val="00DB6943"/>
    <w:rsid w:val="00DE0C07"/>
    <w:rsid w:val="00DF1ED2"/>
    <w:rsid w:val="00E20DC3"/>
    <w:rsid w:val="00E274A4"/>
    <w:rsid w:val="00E278C3"/>
    <w:rsid w:val="00E42A18"/>
    <w:rsid w:val="00E44247"/>
    <w:rsid w:val="00E47798"/>
    <w:rsid w:val="00E479B1"/>
    <w:rsid w:val="00E5586A"/>
    <w:rsid w:val="00E60F95"/>
    <w:rsid w:val="00E9138B"/>
    <w:rsid w:val="00E975BD"/>
    <w:rsid w:val="00EF56AD"/>
    <w:rsid w:val="00F2175C"/>
    <w:rsid w:val="00F25290"/>
    <w:rsid w:val="00F372BF"/>
    <w:rsid w:val="00F441E8"/>
    <w:rsid w:val="00F91A8D"/>
    <w:rsid w:val="00F923EA"/>
    <w:rsid w:val="00FC47BE"/>
    <w:rsid w:val="00FC7001"/>
    <w:rsid w:val="00FD0BBD"/>
    <w:rsid w:val="00FF2DC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B482B5"/>
  <w15:chartTrackingRefBased/>
  <w15:docId w15:val="{44CD0774-F86E-3746-8146-00D832BFEB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44C45"/>
    <w:rPr>
      <w:rFonts w:ascii="Times New Roman" w:eastAsia="Times New Roman" w:hAnsi="Times New Roman" w:cs="Times New Roman"/>
    </w:rPr>
  </w:style>
  <w:style w:type="paragraph" w:styleId="Heading1">
    <w:name w:val="heading 1"/>
    <w:next w:val="Normal"/>
    <w:link w:val="Heading1Char"/>
    <w:qFormat/>
    <w:rsid w:val="009F52D7"/>
    <w:pPr>
      <w:keepNext/>
      <w:keepLines/>
      <w:pBdr>
        <w:top w:val="single" w:sz="12" w:space="3" w:color="auto"/>
      </w:pBdr>
      <w:spacing w:before="240" w:after="180"/>
      <w:ind w:left="1134" w:hanging="1134"/>
      <w:outlineLvl w:val="0"/>
    </w:pPr>
    <w:rPr>
      <w:rFonts w:ascii="Arial" w:eastAsia="SimSun" w:hAnsi="Arial" w:cs="Times New Roman"/>
      <w:sz w:val="36"/>
      <w:szCs w:val="20"/>
      <w:lang w:val="en-GB"/>
    </w:rPr>
  </w:style>
  <w:style w:type="paragraph" w:styleId="Heading2">
    <w:name w:val="heading 2"/>
    <w:basedOn w:val="Normal"/>
    <w:next w:val="Normal"/>
    <w:link w:val="Heading2Char"/>
    <w:uiPriority w:val="9"/>
    <w:unhideWhenUsed/>
    <w:qFormat/>
    <w:rsid w:val="009F52D7"/>
    <w:pPr>
      <w:keepNext/>
      <w:keepLines/>
      <w:numPr>
        <w:ilvl w:val="1"/>
        <w:numId w:val="1"/>
      </w:numPr>
      <w:tabs>
        <w:tab w:val="left" w:pos="851"/>
      </w:tabs>
      <w:overflowPunct w:val="0"/>
      <w:autoSpaceDE w:val="0"/>
      <w:autoSpaceDN w:val="0"/>
      <w:adjustRightInd w:val="0"/>
      <w:spacing w:before="180" w:after="180"/>
      <w:textAlignment w:val="baseline"/>
      <w:outlineLvl w:val="1"/>
    </w:pPr>
    <w:rPr>
      <w:rFonts w:ascii="Arial" w:eastAsia="SimSun" w:hAnsi="Arial" w:cs="Arial"/>
      <w:sz w:val="28"/>
      <w:szCs w:val="1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F52D7"/>
    <w:rPr>
      <w:rFonts w:ascii="Arial" w:eastAsia="SimSun" w:hAnsi="Arial" w:cs="Times New Roman"/>
      <w:sz w:val="36"/>
      <w:szCs w:val="20"/>
      <w:lang w:val="en-GB"/>
    </w:rPr>
  </w:style>
  <w:style w:type="character" w:customStyle="1" w:styleId="Heading2Char">
    <w:name w:val="Heading 2 Char"/>
    <w:basedOn w:val="DefaultParagraphFont"/>
    <w:link w:val="Heading2"/>
    <w:uiPriority w:val="9"/>
    <w:rsid w:val="009F52D7"/>
    <w:rPr>
      <w:rFonts w:ascii="Arial" w:eastAsia="SimSun" w:hAnsi="Arial" w:cs="Arial"/>
      <w:sz w:val="28"/>
      <w:szCs w:val="18"/>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basedOn w:val="Normal"/>
    <w:link w:val="HeaderChar"/>
    <w:rsid w:val="009F52D7"/>
    <w:pPr>
      <w:tabs>
        <w:tab w:val="center" w:pos="4153"/>
        <w:tab w:val="right" w:pos="8306"/>
      </w:tabs>
      <w:jc w:val="both"/>
    </w:pPr>
    <w:rPr>
      <w:rFonts w:eastAsia="MS Mincho"/>
      <w:sz w:val="20"/>
      <w:szCs w:val="2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rsid w:val="009F52D7"/>
    <w:rPr>
      <w:rFonts w:ascii="Times New Roman" w:eastAsia="MS Mincho" w:hAnsi="Times New Roman" w:cs="Times New Roman"/>
      <w:sz w:val="20"/>
      <w:szCs w:val="20"/>
    </w:rPr>
  </w:style>
  <w:style w:type="paragraph" w:customStyle="1" w:styleId="CH">
    <w:name w:val="CH"/>
    <w:basedOn w:val="Normal"/>
    <w:rsid w:val="009F52D7"/>
    <w:pPr>
      <w:tabs>
        <w:tab w:val="left" w:pos="2268"/>
        <w:tab w:val="right" w:pos="7920"/>
        <w:tab w:val="right" w:pos="9639"/>
      </w:tabs>
      <w:jc w:val="both"/>
    </w:pPr>
    <w:rPr>
      <w:rFonts w:ascii="Arial" w:eastAsia="SimSun" w:hAnsi="Arial" w:cs="Arial"/>
      <w:b/>
      <w:sz w:val="21"/>
      <w:szCs w:val="20"/>
      <w:lang w:val="en-GB"/>
    </w:rPr>
  </w:style>
  <w:style w:type="paragraph" w:styleId="ListParagraph">
    <w:name w:val="List Paragraph"/>
    <w:aliases w:val="R4_bullets,- Bullets,?? ??,?????,????,リスト段落,Lista1,列出段落1,中等深浅网格 1 - 着色 21,列表段落1,—ño’i—Ž,¥¡¡¡¡ì¬º¥¹¥È¶ÎÂä,ÁÐ³ö¶ÎÂä,¥ê¥¹¥È¶ÎÂä,1st level - Bullet List Paragraph,Lettre d'introduction,Paragrafo elenco,Normal bullet 2,列表段落11,清單段落1,목록단락,列"/>
    <w:basedOn w:val="Normal"/>
    <w:link w:val="ListParagraphChar"/>
    <w:uiPriority w:val="34"/>
    <w:qFormat/>
    <w:rsid w:val="009F52D7"/>
    <w:pPr>
      <w:ind w:firstLineChars="200" w:firstLine="420"/>
    </w:pPr>
    <w:rPr>
      <w:rFonts w:ascii="SimSun" w:eastAsia="SimSun" w:hAnsi="SimSun" w:cs="SimSun"/>
      <w:lang w:eastAsia="zh-CN"/>
    </w:rPr>
  </w:style>
  <w:style w:type="character" w:customStyle="1" w:styleId="ListParagraphChar">
    <w:name w:val="List Paragraph Char"/>
    <w:aliases w:val="R4_bullets Char,- Bullets Char,?? ?? Char,????? Char,???? Char,リスト段落 Char,Lista1 Char,列出段落1 Char,中等深浅网格 1 - 着色 21 Char,列表段落1 Char,—ño’i—Ž Char,¥¡¡¡¡ì¬º¥¹¥È¶ÎÂä Char,ÁÐ³ö¶ÎÂä Char,¥ê¥¹¥È¶ÎÂä Char,Lettre d'introduction Char,清單段落1 Char"/>
    <w:link w:val="ListParagraph"/>
    <w:uiPriority w:val="34"/>
    <w:qFormat/>
    <w:rsid w:val="009F52D7"/>
    <w:rPr>
      <w:rFonts w:ascii="SimSun" w:eastAsia="SimSun" w:hAnsi="SimSun" w:cs="SimSun"/>
      <w:lang w:eastAsia="zh-CN"/>
    </w:rPr>
  </w:style>
  <w:style w:type="paragraph" w:styleId="BalloonText">
    <w:name w:val="Balloon Text"/>
    <w:basedOn w:val="Normal"/>
    <w:link w:val="BalloonTextChar"/>
    <w:uiPriority w:val="99"/>
    <w:semiHidden/>
    <w:unhideWhenUsed/>
    <w:rsid w:val="00FF2DCA"/>
    <w:pPr>
      <w:jc w:val="both"/>
    </w:pPr>
    <w:rPr>
      <w:rFonts w:eastAsiaTheme="minorHAnsi"/>
      <w:sz w:val="18"/>
      <w:szCs w:val="18"/>
    </w:rPr>
  </w:style>
  <w:style w:type="character" w:customStyle="1" w:styleId="BalloonTextChar">
    <w:name w:val="Balloon Text Char"/>
    <w:basedOn w:val="DefaultParagraphFont"/>
    <w:link w:val="BalloonText"/>
    <w:uiPriority w:val="99"/>
    <w:semiHidden/>
    <w:rsid w:val="00FF2DCA"/>
    <w:rPr>
      <w:rFonts w:ascii="Times New Roman" w:hAnsi="Times New Roman" w:cs="Times New Roman"/>
      <w:sz w:val="18"/>
      <w:szCs w:val="18"/>
    </w:rPr>
  </w:style>
  <w:style w:type="table" w:styleId="TableGrid">
    <w:name w:val="Table Grid"/>
    <w:aliases w:val="TableGrid"/>
    <w:basedOn w:val="TableNormal"/>
    <w:qFormat/>
    <w:rsid w:val="00A64B5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TAC"/>
    <w:link w:val="TAHCar"/>
    <w:qFormat/>
    <w:rsid w:val="00B0326A"/>
    <w:rPr>
      <w:b/>
    </w:rPr>
  </w:style>
  <w:style w:type="paragraph" w:customStyle="1" w:styleId="TAC">
    <w:name w:val="TAC"/>
    <w:basedOn w:val="Normal"/>
    <w:link w:val="TACChar"/>
    <w:qFormat/>
    <w:rsid w:val="00B0326A"/>
    <w:pPr>
      <w:keepNext/>
      <w:keepLines/>
      <w:jc w:val="center"/>
    </w:pPr>
    <w:rPr>
      <w:rFonts w:ascii="Arial" w:eastAsiaTheme="minorHAnsi" w:hAnsi="Arial" w:cstheme="minorBidi"/>
      <w:sz w:val="18"/>
    </w:rPr>
  </w:style>
  <w:style w:type="character" w:customStyle="1" w:styleId="TACChar">
    <w:name w:val="TAC Char"/>
    <w:link w:val="TAC"/>
    <w:qFormat/>
    <w:rsid w:val="00B0326A"/>
    <w:rPr>
      <w:rFonts w:ascii="Arial" w:hAnsi="Arial"/>
      <w:sz w:val="18"/>
    </w:rPr>
  </w:style>
  <w:style w:type="character" w:customStyle="1" w:styleId="TAHCar">
    <w:name w:val="TAH Car"/>
    <w:link w:val="TAH"/>
    <w:qFormat/>
    <w:rsid w:val="00B0326A"/>
    <w:rPr>
      <w:rFonts w:ascii="Arial" w:hAnsi="Arial"/>
      <w:b/>
      <w:sz w:val="18"/>
    </w:rPr>
  </w:style>
  <w:style w:type="paragraph" w:styleId="Caption">
    <w:name w:val="caption"/>
    <w:basedOn w:val="Normal"/>
    <w:next w:val="Normal"/>
    <w:uiPriority w:val="35"/>
    <w:unhideWhenUsed/>
    <w:qFormat/>
    <w:rsid w:val="009F1766"/>
    <w:pPr>
      <w:spacing w:after="200"/>
      <w:jc w:val="both"/>
    </w:pPr>
    <w:rPr>
      <w:rFonts w:eastAsiaTheme="minorHAnsi"/>
      <w:i/>
      <w:iCs/>
      <w:color w:val="44546A" w:themeColor="text2"/>
      <w:sz w:val="18"/>
      <w:szCs w:val="18"/>
    </w:rPr>
  </w:style>
  <w:style w:type="paragraph" w:styleId="NormalWeb">
    <w:name w:val="Normal (Web)"/>
    <w:basedOn w:val="Normal"/>
    <w:uiPriority w:val="99"/>
    <w:semiHidden/>
    <w:unhideWhenUsed/>
    <w:rsid w:val="00B44C45"/>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7823378">
      <w:bodyDiv w:val="1"/>
      <w:marLeft w:val="0"/>
      <w:marRight w:val="0"/>
      <w:marTop w:val="0"/>
      <w:marBottom w:val="0"/>
      <w:divBdr>
        <w:top w:val="none" w:sz="0" w:space="0" w:color="auto"/>
        <w:left w:val="none" w:sz="0" w:space="0" w:color="auto"/>
        <w:bottom w:val="none" w:sz="0" w:space="0" w:color="auto"/>
        <w:right w:val="none" w:sz="0" w:space="0" w:color="auto"/>
      </w:divBdr>
      <w:divsChild>
        <w:div w:id="327708734">
          <w:marLeft w:val="1267"/>
          <w:marRight w:val="0"/>
          <w:marTop w:val="60"/>
          <w:marBottom w:val="60"/>
          <w:divBdr>
            <w:top w:val="none" w:sz="0" w:space="0" w:color="auto"/>
            <w:left w:val="none" w:sz="0" w:space="0" w:color="auto"/>
            <w:bottom w:val="none" w:sz="0" w:space="0" w:color="auto"/>
            <w:right w:val="none" w:sz="0" w:space="0" w:color="auto"/>
          </w:divBdr>
        </w:div>
      </w:divsChild>
    </w:div>
    <w:div w:id="311717274">
      <w:bodyDiv w:val="1"/>
      <w:marLeft w:val="0"/>
      <w:marRight w:val="0"/>
      <w:marTop w:val="0"/>
      <w:marBottom w:val="0"/>
      <w:divBdr>
        <w:top w:val="none" w:sz="0" w:space="0" w:color="auto"/>
        <w:left w:val="none" w:sz="0" w:space="0" w:color="auto"/>
        <w:bottom w:val="none" w:sz="0" w:space="0" w:color="auto"/>
        <w:right w:val="none" w:sz="0" w:space="0" w:color="auto"/>
      </w:divBdr>
    </w:div>
    <w:div w:id="359094275">
      <w:bodyDiv w:val="1"/>
      <w:marLeft w:val="0"/>
      <w:marRight w:val="0"/>
      <w:marTop w:val="0"/>
      <w:marBottom w:val="0"/>
      <w:divBdr>
        <w:top w:val="none" w:sz="0" w:space="0" w:color="auto"/>
        <w:left w:val="none" w:sz="0" w:space="0" w:color="auto"/>
        <w:bottom w:val="none" w:sz="0" w:space="0" w:color="auto"/>
        <w:right w:val="none" w:sz="0" w:space="0" w:color="auto"/>
      </w:divBdr>
      <w:divsChild>
        <w:div w:id="1441336021">
          <w:marLeft w:val="1800"/>
          <w:marRight w:val="0"/>
          <w:marTop w:val="120"/>
          <w:marBottom w:val="0"/>
          <w:divBdr>
            <w:top w:val="none" w:sz="0" w:space="0" w:color="auto"/>
            <w:left w:val="none" w:sz="0" w:space="0" w:color="auto"/>
            <w:bottom w:val="none" w:sz="0" w:space="0" w:color="auto"/>
            <w:right w:val="none" w:sz="0" w:space="0" w:color="auto"/>
          </w:divBdr>
        </w:div>
      </w:divsChild>
    </w:div>
    <w:div w:id="471487116">
      <w:bodyDiv w:val="1"/>
      <w:marLeft w:val="0"/>
      <w:marRight w:val="0"/>
      <w:marTop w:val="0"/>
      <w:marBottom w:val="0"/>
      <w:divBdr>
        <w:top w:val="none" w:sz="0" w:space="0" w:color="auto"/>
        <w:left w:val="none" w:sz="0" w:space="0" w:color="auto"/>
        <w:bottom w:val="none" w:sz="0" w:space="0" w:color="auto"/>
        <w:right w:val="none" w:sz="0" w:space="0" w:color="auto"/>
      </w:divBdr>
    </w:div>
    <w:div w:id="515735412">
      <w:bodyDiv w:val="1"/>
      <w:marLeft w:val="0"/>
      <w:marRight w:val="0"/>
      <w:marTop w:val="0"/>
      <w:marBottom w:val="0"/>
      <w:divBdr>
        <w:top w:val="none" w:sz="0" w:space="0" w:color="auto"/>
        <w:left w:val="none" w:sz="0" w:space="0" w:color="auto"/>
        <w:bottom w:val="none" w:sz="0" w:space="0" w:color="auto"/>
        <w:right w:val="none" w:sz="0" w:space="0" w:color="auto"/>
      </w:divBdr>
      <w:divsChild>
        <w:div w:id="568613758">
          <w:marLeft w:val="1267"/>
          <w:marRight w:val="0"/>
          <w:marTop w:val="60"/>
          <w:marBottom w:val="60"/>
          <w:divBdr>
            <w:top w:val="none" w:sz="0" w:space="0" w:color="auto"/>
            <w:left w:val="none" w:sz="0" w:space="0" w:color="auto"/>
            <w:bottom w:val="none" w:sz="0" w:space="0" w:color="auto"/>
            <w:right w:val="none" w:sz="0" w:space="0" w:color="auto"/>
          </w:divBdr>
        </w:div>
      </w:divsChild>
    </w:div>
    <w:div w:id="798188423">
      <w:bodyDiv w:val="1"/>
      <w:marLeft w:val="0"/>
      <w:marRight w:val="0"/>
      <w:marTop w:val="0"/>
      <w:marBottom w:val="0"/>
      <w:divBdr>
        <w:top w:val="none" w:sz="0" w:space="0" w:color="auto"/>
        <w:left w:val="none" w:sz="0" w:space="0" w:color="auto"/>
        <w:bottom w:val="none" w:sz="0" w:space="0" w:color="auto"/>
        <w:right w:val="none" w:sz="0" w:space="0" w:color="auto"/>
      </w:divBdr>
    </w:div>
    <w:div w:id="1092161697">
      <w:bodyDiv w:val="1"/>
      <w:marLeft w:val="0"/>
      <w:marRight w:val="0"/>
      <w:marTop w:val="0"/>
      <w:marBottom w:val="0"/>
      <w:divBdr>
        <w:top w:val="none" w:sz="0" w:space="0" w:color="auto"/>
        <w:left w:val="none" w:sz="0" w:space="0" w:color="auto"/>
        <w:bottom w:val="none" w:sz="0" w:space="0" w:color="auto"/>
        <w:right w:val="none" w:sz="0" w:space="0" w:color="auto"/>
      </w:divBdr>
    </w:div>
    <w:div w:id="1117213885">
      <w:bodyDiv w:val="1"/>
      <w:marLeft w:val="0"/>
      <w:marRight w:val="0"/>
      <w:marTop w:val="0"/>
      <w:marBottom w:val="0"/>
      <w:divBdr>
        <w:top w:val="none" w:sz="0" w:space="0" w:color="auto"/>
        <w:left w:val="none" w:sz="0" w:space="0" w:color="auto"/>
        <w:bottom w:val="none" w:sz="0" w:space="0" w:color="auto"/>
        <w:right w:val="none" w:sz="0" w:space="0" w:color="auto"/>
      </w:divBdr>
      <w:divsChild>
        <w:div w:id="933902325">
          <w:marLeft w:val="1267"/>
          <w:marRight w:val="0"/>
          <w:marTop w:val="60"/>
          <w:marBottom w:val="60"/>
          <w:divBdr>
            <w:top w:val="none" w:sz="0" w:space="0" w:color="auto"/>
            <w:left w:val="none" w:sz="0" w:space="0" w:color="auto"/>
            <w:bottom w:val="none" w:sz="0" w:space="0" w:color="auto"/>
            <w:right w:val="none" w:sz="0" w:space="0" w:color="auto"/>
          </w:divBdr>
        </w:div>
      </w:divsChild>
    </w:div>
    <w:div w:id="1321735586">
      <w:bodyDiv w:val="1"/>
      <w:marLeft w:val="0"/>
      <w:marRight w:val="0"/>
      <w:marTop w:val="0"/>
      <w:marBottom w:val="0"/>
      <w:divBdr>
        <w:top w:val="none" w:sz="0" w:space="0" w:color="auto"/>
        <w:left w:val="none" w:sz="0" w:space="0" w:color="auto"/>
        <w:bottom w:val="none" w:sz="0" w:space="0" w:color="auto"/>
        <w:right w:val="none" w:sz="0" w:space="0" w:color="auto"/>
      </w:divBdr>
    </w:div>
    <w:div w:id="1479955845">
      <w:bodyDiv w:val="1"/>
      <w:marLeft w:val="0"/>
      <w:marRight w:val="0"/>
      <w:marTop w:val="0"/>
      <w:marBottom w:val="0"/>
      <w:divBdr>
        <w:top w:val="none" w:sz="0" w:space="0" w:color="auto"/>
        <w:left w:val="none" w:sz="0" w:space="0" w:color="auto"/>
        <w:bottom w:val="none" w:sz="0" w:space="0" w:color="auto"/>
        <w:right w:val="none" w:sz="0" w:space="0" w:color="auto"/>
      </w:divBdr>
    </w:div>
    <w:div w:id="1489127893">
      <w:bodyDiv w:val="1"/>
      <w:marLeft w:val="0"/>
      <w:marRight w:val="0"/>
      <w:marTop w:val="0"/>
      <w:marBottom w:val="0"/>
      <w:divBdr>
        <w:top w:val="none" w:sz="0" w:space="0" w:color="auto"/>
        <w:left w:val="none" w:sz="0" w:space="0" w:color="auto"/>
        <w:bottom w:val="none" w:sz="0" w:space="0" w:color="auto"/>
        <w:right w:val="none" w:sz="0" w:space="0" w:color="auto"/>
      </w:divBdr>
    </w:div>
    <w:div w:id="21257262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781</Words>
  <Characters>3954</Characters>
  <Application>Microsoft Office Word</Application>
  <DocSecurity>0</DocSecurity>
  <Lines>395</Lines>
  <Paragraphs>249</Paragraphs>
  <ScaleCrop>false</ScaleCrop>
  <HeadingPairs>
    <vt:vector size="2" baseType="variant">
      <vt:variant>
        <vt:lpstr>Title</vt:lpstr>
      </vt:variant>
      <vt:variant>
        <vt:i4>1</vt:i4>
      </vt:variant>
    </vt:vector>
  </HeadingPairs>
  <TitlesOfParts>
    <vt:vector size="1" baseType="lpstr">
      <vt:lpstr/>
    </vt:vector>
  </TitlesOfParts>
  <Company>Apple, Inc</Company>
  <LinksUpToDate>false</LinksUpToDate>
  <CharactersWithSpaces>4486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Apple</dc:creator>
  <cp:keywords/>
  <dc:description/>
  <cp:lastModifiedBy>Apple_105 (Manasa)</cp:lastModifiedBy>
  <cp:revision>3</cp:revision>
  <dcterms:created xsi:type="dcterms:W3CDTF">2022-11-04T20:50:00Z</dcterms:created>
  <dcterms:modified xsi:type="dcterms:W3CDTF">2022-11-07T19:04:00Z</dcterms:modified>
</cp:coreProperties>
</file>