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BCAF5" w14:textId="77777777" w:rsidR="005F5CBB" w:rsidRDefault="005F5CBB">
      <w:bookmarkStart w:id="0" w:name="_Toc113002747"/>
    </w:p>
    <w:p w14:paraId="385BCAF6" w14:textId="1805B7F8" w:rsidR="005F5CBB" w:rsidRDefault="0055390A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40"/>
      <w:bookmarkStart w:id="2" w:name="OLE_LINK147"/>
      <w:bookmarkStart w:id="3" w:name="OLE_LINK9"/>
      <w:bookmarkStart w:id="4" w:name="OLE_LINK41"/>
      <w:bookmarkStart w:id="5" w:name="OLE_LINK146"/>
      <w:bookmarkStart w:id="6" w:name="_Toc5938268"/>
      <w:bookmarkStart w:id="7" w:name="_Toc9865820"/>
      <w:r>
        <w:rPr>
          <w:sz w:val="24"/>
          <w:lang w:eastAsia="zh-CN"/>
        </w:rPr>
        <w:t xml:space="preserve">3GPP TSG-RAN WG4 Meeting #104-bis-e                           </w:t>
      </w:r>
      <w:bookmarkEnd w:id="1"/>
      <w:bookmarkEnd w:id="2"/>
      <w:bookmarkEnd w:id="3"/>
      <w:bookmarkEnd w:id="4"/>
      <w:bookmarkEnd w:id="5"/>
      <w:r>
        <w:rPr>
          <w:sz w:val="24"/>
          <w:lang w:eastAsia="zh-CN"/>
        </w:rPr>
        <w:t xml:space="preserve">               </w:t>
      </w:r>
      <w:r w:rsidR="0087158B">
        <w:rPr>
          <w:sz w:val="24"/>
          <w:lang w:eastAsia="zh-CN"/>
        </w:rPr>
        <w:tab/>
      </w:r>
      <w:r>
        <w:rPr>
          <w:sz w:val="24"/>
          <w:lang w:eastAsia="zh-CN"/>
        </w:rPr>
        <w:t>R4-2217365</w:t>
      </w:r>
    </w:p>
    <w:p w14:paraId="385BCAF7" w14:textId="77777777" w:rsidR="005F5CBB" w:rsidRDefault="0055390A">
      <w:pPr>
        <w:pStyle w:val="Header"/>
        <w:tabs>
          <w:tab w:val="left" w:pos="779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>
        <w:rPr>
          <w:sz w:val="24"/>
          <w:lang w:eastAsia="zh-CN"/>
        </w:rPr>
        <w:t>10 October– 19 October</w:t>
      </w:r>
      <w:r>
        <w:rPr>
          <w:rFonts w:cs="Arial"/>
          <w:sz w:val="24"/>
          <w:szCs w:val="24"/>
        </w:rPr>
        <w:t>, 2022</w:t>
      </w:r>
    </w:p>
    <w:p w14:paraId="385BCAF8" w14:textId="77777777" w:rsidR="005F5CBB" w:rsidRDefault="005F5CBB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85BCAF9" w14:textId="77777777" w:rsidR="005F5CBB" w:rsidRDefault="005F5CBB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85BCAFA" w14:textId="77777777" w:rsidR="005F5CBB" w:rsidRDefault="0055390A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sz w:val="22"/>
        </w:rPr>
        <w:t>Huawei</w:t>
      </w:r>
    </w:p>
    <w:p w14:paraId="385BCAFB" w14:textId="77777777" w:rsidR="005F5CBB" w:rsidRDefault="0055390A">
      <w:pPr>
        <w:ind w:left="1985" w:hanging="1985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Title: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>
        <w:rPr>
          <w:rFonts w:ascii="Arial" w:hAnsi="Arial" w:cs="Arial"/>
          <w:color w:val="000000" w:themeColor="text1"/>
          <w:sz w:val="22"/>
        </w:rPr>
        <w:tab/>
        <w:t>WF on work-split</w:t>
      </w:r>
    </w:p>
    <w:p w14:paraId="385BCAFC" w14:textId="77777777" w:rsidR="005F5CBB" w:rsidRDefault="0055390A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</w:rPr>
        <w:t>Agen</w:t>
      </w:r>
      <w:r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>
        <w:rPr>
          <w:rFonts w:ascii="Arial" w:hAnsi="Arial" w:cs="Arial"/>
          <w:b/>
          <w:color w:val="000000" w:themeColor="text1"/>
          <w:sz w:val="22"/>
        </w:rPr>
        <w:t>a Item:</w:t>
      </w:r>
      <w:r>
        <w:rPr>
          <w:rFonts w:ascii="Arial" w:hAnsi="Arial" w:cs="Arial"/>
          <w:color w:val="000000" w:themeColor="text1"/>
          <w:sz w:val="22"/>
        </w:rPr>
        <w:tab/>
        <w:t>4.3.4.1</w:t>
      </w:r>
    </w:p>
    <w:p w14:paraId="385BCAFD" w14:textId="77777777" w:rsidR="005F5CBB" w:rsidRDefault="0055390A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b/>
          <w:color w:val="000000" w:themeColor="text1"/>
          <w:sz w:val="22"/>
        </w:rPr>
        <w:t>Document for:</w:t>
      </w:r>
      <w:r>
        <w:rPr>
          <w:rFonts w:ascii="Arial" w:hAnsi="Arial" w:cs="Arial"/>
          <w:color w:val="000000" w:themeColor="text1"/>
          <w:sz w:val="22"/>
        </w:rPr>
        <w:tab/>
        <w:t xml:space="preserve">Approval </w:t>
      </w:r>
    </w:p>
    <w:p w14:paraId="385BCAFE" w14:textId="77777777" w:rsidR="005F5CBB" w:rsidRDefault="005539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385BCAFF" w14:textId="77777777" w:rsidR="005F5CBB" w:rsidRDefault="0055390A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During RAN4#104-bis-e meeting, multiple TPs to the TS 38.141-2 and TR 37.941 were submitted [2-5]. </w:t>
      </w:r>
    </w:p>
    <w:p w14:paraId="385BCB00" w14:textId="77777777" w:rsidR="005F5CBB" w:rsidRDefault="0055390A">
      <w:pPr>
        <w:pStyle w:val="xxmsonormal"/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In order to ensure smooth progress of the work and to avoid unnecessary overload, work-split shall be arranged among interested companies, to share the work-load related to the implementation of the FR2-2 into the TS 38.141-2 specification, as well as to the related TR 37.941.</w:t>
      </w:r>
    </w:p>
    <w:bookmarkEnd w:id="6"/>
    <w:bookmarkEnd w:id="7"/>
    <w:p w14:paraId="385BCB01" w14:textId="77777777" w:rsidR="005F5CBB" w:rsidRDefault="005539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Discussion</w:t>
      </w:r>
    </w:p>
    <w:p w14:paraId="385BCB02" w14:textId="77777777" w:rsidR="005F5CBB" w:rsidRDefault="0055390A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following work split is proposed for the TS 38.141-2: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0"/>
        <w:gridCol w:w="4640"/>
        <w:gridCol w:w="2040"/>
      </w:tblGrid>
      <w:tr w:rsidR="005F5CBB" w14:paraId="385BCB07" w14:textId="77777777">
        <w:tc>
          <w:tcPr>
            <w:tcW w:w="0" w:type="auto"/>
          </w:tcPr>
          <w:p w14:paraId="385BCB03" w14:textId="77777777" w:rsidR="005F5CBB" w:rsidRDefault="005539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Section number</w:t>
            </w:r>
          </w:p>
        </w:tc>
        <w:tc>
          <w:tcPr>
            <w:tcW w:w="0" w:type="auto"/>
          </w:tcPr>
          <w:p w14:paraId="385BCB04" w14:textId="77777777" w:rsidR="005F5CBB" w:rsidRDefault="005539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Section name in TS 38.141-2</w:t>
            </w:r>
          </w:p>
        </w:tc>
        <w:tc>
          <w:tcPr>
            <w:tcW w:w="0" w:type="auto"/>
          </w:tcPr>
          <w:p w14:paraId="385BCB05" w14:textId="77777777" w:rsidR="005F5CBB" w:rsidRDefault="0055390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Assigned company</w:t>
            </w:r>
          </w:p>
          <w:p w14:paraId="385BCB06" w14:textId="0371CA84" w:rsidR="005F5CBB" w:rsidRDefault="005F5CBB">
            <w:pPr>
              <w:pStyle w:val="TAH"/>
              <w:rPr>
                <w:lang w:val="en-US"/>
              </w:rPr>
            </w:pPr>
          </w:p>
        </w:tc>
      </w:tr>
      <w:tr w:rsidR="005F5CBB" w14:paraId="385BCB0B" w14:textId="77777777">
        <w:tc>
          <w:tcPr>
            <w:tcW w:w="0" w:type="auto"/>
          </w:tcPr>
          <w:p w14:paraId="385BCB08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14:paraId="385BCB09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Scope</w:t>
            </w:r>
          </w:p>
        </w:tc>
        <w:tc>
          <w:tcPr>
            <w:tcW w:w="0" w:type="auto"/>
            <w:vMerge w:val="restart"/>
          </w:tcPr>
          <w:p w14:paraId="385BCB0A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Spec editor (Huawei)</w:t>
            </w:r>
          </w:p>
        </w:tc>
      </w:tr>
      <w:tr w:rsidR="005F5CBB" w14:paraId="385BCB0F" w14:textId="77777777">
        <w:tc>
          <w:tcPr>
            <w:tcW w:w="0" w:type="auto"/>
          </w:tcPr>
          <w:p w14:paraId="385BCB0C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385BCB0D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References</w:t>
            </w:r>
          </w:p>
        </w:tc>
        <w:tc>
          <w:tcPr>
            <w:tcW w:w="0" w:type="auto"/>
            <w:vMerge/>
          </w:tcPr>
          <w:p w14:paraId="385BCB0E" w14:textId="77777777" w:rsidR="005F5CBB" w:rsidRDefault="005F5CBB">
            <w:pPr>
              <w:pStyle w:val="TAL"/>
              <w:rPr>
                <w:lang w:val="en-US"/>
              </w:rPr>
            </w:pPr>
          </w:p>
        </w:tc>
      </w:tr>
      <w:tr w:rsidR="005F5CBB" w14:paraId="385BCB13" w14:textId="77777777">
        <w:tc>
          <w:tcPr>
            <w:tcW w:w="0" w:type="auto"/>
          </w:tcPr>
          <w:p w14:paraId="385BCB10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</w:tcPr>
          <w:p w14:paraId="385BCB11" w14:textId="77777777" w:rsidR="005F5CBB" w:rsidRDefault="0055390A">
            <w:pPr>
              <w:pStyle w:val="TAL"/>
              <w:rPr>
                <w:lang w:val="en-US"/>
              </w:rPr>
            </w:pPr>
            <w:r>
              <w:t>Definitions, symbols and abbreviations</w:t>
            </w:r>
          </w:p>
        </w:tc>
        <w:tc>
          <w:tcPr>
            <w:tcW w:w="0" w:type="auto"/>
            <w:vMerge/>
          </w:tcPr>
          <w:p w14:paraId="385BCB12" w14:textId="77777777" w:rsidR="005F5CBB" w:rsidRDefault="005F5CBB">
            <w:pPr>
              <w:pStyle w:val="TAL"/>
              <w:rPr>
                <w:lang w:val="en-US"/>
              </w:rPr>
            </w:pPr>
          </w:p>
        </w:tc>
      </w:tr>
      <w:tr w:rsidR="005F5CBB" w14:paraId="385BCB17" w14:textId="77777777">
        <w:tc>
          <w:tcPr>
            <w:tcW w:w="0" w:type="auto"/>
          </w:tcPr>
          <w:p w14:paraId="385BCB14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 (except 4.1.2.2 and 4.1.2.3)</w:t>
            </w:r>
          </w:p>
        </w:tc>
        <w:tc>
          <w:tcPr>
            <w:tcW w:w="0" w:type="auto"/>
          </w:tcPr>
          <w:p w14:paraId="385BCB15" w14:textId="77777777" w:rsidR="005F5CBB" w:rsidRDefault="0055390A">
            <w:pPr>
              <w:pStyle w:val="TAL"/>
            </w:pPr>
            <w:r>
              <w:t>General radiated test conditions and declarations</w:t>
            </w:r>
          </w:p>
        </w:tc>
        <w:tc>
          <w:tcPr>
            <w:tcW w:w="0" w:type="auto"/>
          </w:tcPr>
          <w:p w14:paraId="385BCB16" w14:textId="671E9C81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5F5CBB" w14:paraId="385BCB1D" w14:textId="77777777">
        <w:tc>
          <w:tcPr>
            <w:tcW w:w="0" w:type="auto"/>
          </w:tcPr>
          <w:p w14:paraId="385BCB18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4.1.2.2</w:t>
            </w:r>
          </w:p>
          <w:p w14:paraId="385BCB19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4.1.2.3</w:t>
            </w:r>
          </w:p>
        </w:tc>
        <w:tc>
          <w:tcPr>
            <w:tcW w:w="0" w:type="auto"/>
          </w:tcPr>
          <w:p w14:paraId="385BCB1A" w14:textId="77777777" w:rsidR="005F5CBB" w:rsidRDefault="0055390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Measurement of transmitter</w:t>
            </w:r>
          </w:p>
          <w:p w14:paraId="385BCB1B" w14:textId="77777777" w:rsidR="005F5CBB" w:rsidRDefault="0055390A">
            <w:pPr>
              <w:pStyle w:val="TAL"/>
            </w:pPr>
            <w:r>
              <w:rPr>
                <w:lang w:eastAsia="sv-SE"/>
              </w:rPr>
              <w:t>Measurement of receiver</w:t>
            </w:r>
          </w:p>
        </w:tc>
        <w:tc>
          <w:tcPr>
            <w:tcW w:w="0" w:type="auto"/>
          </w:tcPr>
          <w:p w14:paraId="385BCB1C" w14:textId="3F72EB84" w:rsidR="005F5CBB" w:rsidRDefault="005F5CBB">
            <w:pPr>
              <w:pStyle w:val="TAL"/>
              <w:rPr>
                <w:lang w:val="en-US"/>
              </w:rPr>
            </w:pPr>
          </w:p>
        </w:tc>
      </w:tr>
      <w:tr w:rsidR="005F5CBB" w14:paraId="385BCB21" w14:textId="77777777">
        <w:tc>
          <w:tcPr>
            <w:tcW w:w="0" w:type="auto"/>
          </w:tcPr>
          <w:p w14:paraId="385BCB1E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14:paraId="385BCB1F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Operating bands and channel arrangement</w:t>
            </w:r>
          </w:p>
        </w:tc>
        <w:tc>
          <w:tcPr>
            <w:tcW w:w="0" w:type="auto"/>
          </w:tcPr>
          <w:p w14:paraId="385BCB20" w14:textId="77777777" w:rsidR="005F5CBB" w:rsidRPr="0055390A" w:rsidRDefault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n/a</w:t>
            </w:r>
          </w:p>
        </w:tc>
      </w:tr>
      <w:tr w:rsidR="005F5CBB" w14:paraId="385BCB25" w14:textId="77777777">
        <w:tc>
          <w:tcPr>
            <w:tcW w:w="0" w:type="auto"/>
          </w:tcPr>
          <w:p w14:paraId="385BCB22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0" w:type="auto"/>
          </w:tcPr>
          <w:p w14:paraId="385BCB23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Radiated transmit power (EIRP)</w:t>
            </w:r>
          </w:p>
        </w:tc>
        <w:tc>
          <w:tcPr>
            <w:tcW w:w="0" w:type="auto"/>
          </w:tcPr>
          <w:p w14:paraId="385BCB24" w14:textId="77777777" w:rsidR="005F5CBB" w:rsidRPr="0055390A" w:rsidRDefault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Ericsson</w:t>
            </w:r>
          </w:p>
        </w:tc>
      </w:tr>
      <w:tr w:rsidR="005F5CBB" w14:paraId="385BCB29" w14:textId="77777777">
        <w:tc>
          <w:tcPr>
            <w:tcW w:w="0" w:type="auto"/>
          </w:tcPr>
          <w:p w14:paraId="385BCB26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0" w:type="auto"/>
          </w:tcPr>
          <w:p w14:paraId="385BCB27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OTA base station output power (TRP)</w:t>
            </w:r>
          </w:p>
        </w:tc>
        <w:tc>
          <w:tcPr>
            <w:tcW w:w="0" w:type="auto"/>
          </w:tcPr>
          <w:p w14:paraId="385BCB28" w14:textId="77777777" w:rsidR="005F5CBB" w:rsidRPr="0055390A" w:rsidRDefault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Nokia</w:t>
            </w:r>
          </w:p>
        </w:tc>
      </w:tr>
      <w:tr w:rsidR="005F5CBB" w14:paraId="385BCB2D" w14:textId="77777777">
        <w:tc>
          <w:tcPr>
            <w:tcW w:w="0" w:type="auto"/>
          </w:tcPr>
          <w:p w14:paraId="385BCB2A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0" w:type="auto"/>
          </w:tcPr>
          <w:p w14:paraId="385BCB2B" w14:textId="77777777" w:rsidR="005F5CBB" w:rsidRDefault="0055390A">
            <w:pPr>
              <w:pStyle w:val="TAL"/>
              <w:rPr>
                <w:lang w:val="en-US"/>
              </w:rPr>
            </w:pPr>
            <w:r>
              <w:t>OTA output power dynamics</w:t>
            </w:r>
          </w:p>
        </w:tc>
        <w:tc>
          <w:tcPr>
            <w:tcW w:w="0" w:type="auto"/>
          </w:tcPr>
          <w:p w14:paraId="385BCB2C" w14:textId="77777777" w:rsidR="005F5CBB" w:rsidRPr="0055390A" w:rsidRDefault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Nokia</w:t>
            </w:r>
          </w:p>
        </w:tc>
      </w:tr>
      <w:tr w:rsidR="005F5CBB" w14:paraId="385BCB31" w14:textId="77777777">
        <w:tc>
          <w:tcPr>
            <w:tcW w:w="0" w:type="auto"/>
          </w:tcPr>
          <w:p w14:paraId="385BCB2E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0" w:type="auto"/>
          </w:tcPr>
          <w:p w14:paraId="385BCB2F" w14:textId="77777777" w:rsidR="005F5CBB" w:rsidRDefault="0055390A">
            <w:pPr>
              <w:pStyle w:val="TAL"/>
              <w:rPr>
                <w:lang w:val="en-US"/>
              </w:rPr>
            </w:pPr>
            <w:r>
              <w:t>OTA transmit ON/OFF power</w:t>
            </w:r>
          </w:p>
        </w:tc>
        <w:tc>
          <w:tcPr>
            <w:tcW w:w="0" w:type="auto"/>
          </w:tcPr>
          <w:p w14:paraId="385BCB30" w14:textId="77777777" w:rsidR="005F5CBB" w:rsidRPr="0055390A" w:rsidRDefault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Nokia</w:t>
            </w:r>
          </w:p>
        </w:tc>
      </w:tr>
      <w:tr w:rsidR="005F5CBB" w14:paraId="385BCB38" w14:textId="77777777">
        <w:tc>
          <w:tcPr>
            <w:tcW w:w="0" w:type="auto"/>
          </w:tcPr>
          <w:p w14:paraId="385BCB32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  <w:p w14:paraId="385BCB33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Annex L</w:t>
            </w:r>
          </w:p>
        </w:tc>
        <w:tc>
          <w:tcPr>
            <w:tcW w:w="0" w:type="auto"/>
          </w:tcPr>
          <w:p w14:paraId="385BCB34" w14:textId="77777777" w:rsidR="005F5CBB" w:rsidRDefault="0055390A">
            <w:pPr>
              <w:pStyle w:val="TAL"/>
            </w:pPr>
            <w:r>
              <w:t>OTA transmitted signal quality</w:t>
            </w:r>
          </w:p>
          <w:p w14:paraId="385BCB35" w14:textId="77777777" w:rsidR="005F5CBB" w:rsidRDefault="0055390A">
            <w:pPr>
              <w:pStyle w:val="TAL"/>
              <w:rPr>
                <w:lang w:val="en-US"/>
              </w:rPr>
            </w:pPr>
            <w:r>
              <w:t>Annex L (normative): In-channel TX tests</w:t>
            </w:r>
          </w:p>
        </w:tc>
        <w:tc>
          <w:tcPr>
            <w:tcW w:w="0" w:type="auto"/>
          </w:tcPr>
          <w:p w14:paraId="385BCB37" w14:textId="661E64DE" w:rsidR="005F5CBB" w:rsidRPr="0055390A" w:rsidRDefault="0055390A" w:rsidP="00142333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Keysight</w:t>
            </w:r>
          </w:p>
        </w:tc>
      </w:tr>
      <w:tr w:rsidR="005F5CBB" w14:paraId="385BCB41" w14:textId="77777777">
        <w:trPr>
          <w:trHeight w:val="56"/>
        </w:trPr>
        <w:tc>
          <w:tcPr>
            <w:tcW w:w="0" w:type="auto"/>
          </w:tcPr>
          <w:p w14:paraId="385BCB39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6.7.1</w:t>
            </w:r>
          </w:p>
          <w:p w14:paraId="385BCB3A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6.7.2</w:t>
            </w:r>
          </w:p>
          <w:p w14:paraId="385BCB3B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6.7.3</w:t>
            </w:r>
          </w:p>
        </w:tc>
        <w:tc>
          <w:tcPr>
            <w:tcW w:w="0" w:type="auto"/>
          </w:tcPr>
          <w:p w14:paraId="385BCB3C" w14:textId="77777777" w:rsidR="005F5CBB" w:rsidRDefault="0055390A">
            <w:pPr>
              <w:pStyle w:val="TAL"/>
            </w:pPr>
            <w:r>
              <w:t>OTA unwanted emissions: General</w:t>
            </w:r>
          </w:p>
          <w:p w14:paraId="385BCB3D" w14:textId="77777777" w:rsidR="005F5CBB" w:rsidRDefault="0055390A">
            <w:pPr>
              <w:pStyle w:val="TAL"/>
            </w:pPr>
            <w:r>
              <w:t>OTA occupied bandwidth</w:t>
            </w:r>
          </w:p>
          <w:p w14:paraId="385BCB3E" w14:textId="77777777" w:rsidR="005F5CBB" w:rsidRDefault="0055390A">
            <w:pPr>
              <w:pStyle w:val="TAL"/>
              <w:rPr>
                <w:lang w:val="en-US"/>
              </w:rPr>
            </w:pPr>
            <w:r>
              <w:t>OTA Adjacent Channel Leakage Power Ratio (ACLR)</w:t>
            </w:r>
          </w:p>
        </w:tc>
        <w:tc>
          <w:tcPr>
            <w:tcW w:w="0" w:type="auto"/>
          </w:tcPr>
          <w:p w14:paraId="385BCB40" w14:textId="47572507" w:rsidR="005F5CBB" w:rsidRPr="0055390A" w:rsidRDefault="0055390A" w:rsidP="00142333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Huawei</w:t>
            </w:r>
            <w:bookmarkStart w:id="8" w:name="_GoBack"/>
            <w:bookmarkEnd w:id="8"/>
          </w:p>
        </w:tc>
      </w:tr>
      <w:tr w:rsidR="005F5CBB" w14:paraId="385BCB45" w14:textId="77777777">
        <w:tc>
          <w:tcPr>
            <w:tcW w:w="0" w:type="auto"/>
          </w:tcPr>
          <w:p w14:paraId="385BCB42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6.7.4</w:t>
            </w:r>
          </w:p>
        </w:tc>
        <w:tc>
          <w:tcPr>
            <w:tcW w:w="0" w:type="auto"/>
          </w:tcPr>
          <w:p w14:paraId="385BCB43" w14:textId="77777777" w:rsidR="005F5CBB" w:rsidRDefault="0055390A">
            <w:pPr>
              <w:pStyle w:val="TAL"/>
              <w:rPr>
                <w:lang w:val="en-US"/>
              </w:rPr>
            </w:pPr>
            <w:r>
              <w:t>OTA operating band unwanted emissions</w:t>
            </w:r>
          </w:p>
        </w:tc>
        <w:tc>
          <w:tcPr>
            <w:tcW w:w="0" w:type="auto"/>
          </w:tcPr>
          <w:p w14:paraId="385BCB44" w14:textId="77777777" w:rsidR="005F5CBB" w:rsidRPr="0055390A" w:rsidRDefault="0055390A" w:rsidP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Huawei</w:t>
            </w:r>
          </w:p>
        </w:tc>
      </w:tr>
      <w:tr w:rsidR="005F5CBB" w14:paraId="385BCB4C" w14:textId="77777777">
        <w:tc>
          <w:tcPr>
            <w:tcW w:w="0" w:type="auto"/>
          </w:tcPr>
          <w:p w14:paraId="385BCB46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6.7.5</w:t>
            </w:r>
          </w:p>
          <w:p w14:paraId="385BCB47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0" w:type="auto"/>
          </w:tcPr>
          <w:p w14:paraId="385BCB48" w14:textId="77777777" w:rsidR="005F5CBB" w:rsidRDefault="0055390A">
            <w:pPr>
              <w:pStyle w:val="TAL"/>
            </w:pPr>
            <w:r>
              <w:t>OTA transmitter spurious emissions</w:t>
            </w:r>
          </w:p>
          <w:p w14:paraId="385BCB49" w14:textId="77777777" w:rsidR="005F5CBB" w:rsidRDefault="0055390A">
            <w:pPr>
              <w:pStyle w:val="TAL"/>
              <w:rPr>
                <w:lang w:val="en-US"/>
              </w:rPr>
            </w:pPr>
            <w:r>
              <w:t>OTA transmitter intermodulation</w:t>
            </w:r>
          </w:p>
        </w:tc>
        <w:tc>
          <w:tcPr>
            <w:tcW w:w="0" w:type="auto"/>
          </w:tcPr>
          <w:p w14:paraId="385BCB4B" w14:textId="4651ECD7" w:rsidR="005F5CBB" w:rsidRPr="0055390A" w:rsidRDefault="0055390A" w:rsidP="00142333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Ericsson</w:t>
            </w:r>
          </w:p>
        </w:tc>
      </w:tr>
      <w:tr w:rsidR="005F5CBB" w14:paraId="385BCB55" w14:textId="77777777">
        <w:tc>
          <w:tcPr>
            <w:tcW w:w="0" w:type="auto"/>
          </w:tcPr>
          <w:p w14:paraId="385BCB4D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  <w:p w14:paraId="385BCB4E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  <w:p w14:paraId="385BCB4F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0" w:type="auto"/>
          </w:tcPr>
          <w:p w14:paraId="385BCB50" w14:textId="77777777" w:rsidR="005F5CBB" w:rsidRDefault="0055390A">
            <w:pPr>
              <w:pStyle w:val="TAL"/>
            </w:pPr>
            <w:r>
              <w:t>Radiated receiver characteristics: General</w:t>
            </w:r>
          </w:p>
          <w:p w14:paraId="385BCB51" w14:textId="77777777" w:rsidR="005F5CBB" w:rsidRDefault="0055390A">
            <w:pPr>
              <w:pStyle w:val="TAL"/>
            </w:pPr>
            <w:r>
              <w:t>OTA sensitivity</w:t>
            </w:r>
          </w:p>
          <w:p w14:paraId="385BCB52" w14:textId="77777777" w:rsidR="005F5CBB" w:rsidRDefault="0055390A">
            <w:pPr>
              <w:pStyle w:val="TAL"/>
              <w:rPr>
                <w:lang w:val="en-US"/>
              </w:rPr>
            </w:pPr>
            <w:r>
              <w:t>OTA reference sensitivity level</w:t>
            </w:r>
          </w:p>
        </w:tc>
        <w:tc>
          <w:tcPr>
            <w:tcW w:w="0" w:type="auto"/>
          </w:tcPr>
          <w:p w14:paraId="385BCB54" w14:textId="17B05051" w:rsidR="005F5CBB" w:rsidRPr="0055390A" w:rsidRDefault="0055390A" w:rsidP="00142333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CATT</w:t>
            </w:r>
          </w:p>
        </w:tc>
      </w:tr>
      <w:tr w:rsidR="005F5CBB" w14:paraId="385BCB5C" w14:textId="77777777">
        <w:tc>
          <w:tcPr>
            <w:tcW w:w="0" w:type="auto"/>
          </w:tcPr>
          <w:p w14:paraId="385BCB56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  <w:p w14:paraId="385BCB57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0" w:type="auto"/>
          </w:tcPr>
          <w:p w14:paraId="385BCB58" w14:textId="77777777" w:rsidR="005F5CBB" w:rsidRDefault="0055390A">
            <w:pPr>
              <w:pStyle w:val="TAL"/>
            </w:pPr>
            <w:r>
              <w:t>OTA dynamic range</w:t>
            </w:r>
          </w:p>
          <w:p w14:paraId="385BCB59" w14:textId="77777777" w:rsidR="005F5CBB" w:rsidRDefault="0055390A">
            <w:pPr>
              <w:pStyle w:val="TAL"/>
            </w:pPr>
            <w:r>
              <w:t>OTA in-band selectivity and blocking</w:t>
            </w:r>
          </w:p>
        </w:tc>
        <w:tc>
          <w:tcPr>
            <w:tcW w:w="0" w:type="auto"/>
          </w:tcPr>
          <w:p w14:paraId="385BCB5B" w14:textId="670B4048" w:rsidR="005F5CBB" w:rsidRPr="0055390A" w:rsidRDefault="0055390A" w:rsidP="00142333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CATT</w:t>
            </w:r>
          </w:p>
        </w:tc>
      </w:tr>
      <w:tr w:rsidR="005F5CBB" w14:paraId="385BCB60" w14:textId="77777777">
        <w:tc>
          <w:tcPr>
            <w:tcW w:w="0" w:type="auto"/>
          </w:tcPr>
          <w:p w14:paraId="385BCB5D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7.6</w:t>
            </w:r>
          </w:p>
        </w:tc>
        <w:tc>
          <w:tcPr>
            <w:tcW w:w="0" w:type="auto"/>
          </w:tcPr>
          <w:p w14:paraId="385BCB5E" w14:textId="77777777" w:rsidR="005F5CBB" w:rsidRDefault="0055390A">
            <w:pPr>
              <w:pStyle w:val="TAL"/>
            </w:pPr>
            <w:r>
              <w:t>OTA out-of-band blocking</w:t>
            </w:r>
          </w:p>
        </w:tc>
        <w:tc>
          <w:tcPr>
            <w:tcW w:w="0" w:type="auto"/>
          </w:tcPr>
          <w:p w14:paraId="385BCB5F" w14:textId="77777777" w:rsidR="005F5CBB" w:rsidRPr="0055390A" w:rsidRDefault="0055390A" w:rsidP="0055390A">
            <w:pPr>
              <w:pStyle w:val="TAL"/>
              <w:rPr>
                <w:lang w:val="en-US"/>
              </w:rPr>
            </w:pPr>
            <w:r w:rsidRPr="0055390A">
              <w:rPr>
                <w:lang w:val="en-US"/>
              </w:rPr>
              <w:t>Huawei</w:t>
            </w:r>
          </w:p>
        </w:tc>
      </w:tr>
      <w:tr w:rsidR="005F5CBB" w14:paraId="385BCB67" w14:textId="77777777">
        <w:tc>
          <w:tcPr>
            <w:tcW w:w="0" w:type="auto"/>
          </w:tcPr>
          <w:p w14:paraId="385BCB61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7.7</w:t>
            </w:r>
          </w:p>
          <w:p w14:paraId="385BCB62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7.8</w:t>
            </w:r>
          </w:p>
        </w:tc>
        <w:tc>
          <w:tcPr>
            <w:tcW w:w="0" w:type="auto"/>
          </w:tcPr>
          <w:p w14:paraId="385BCB63" w14:textId="77777777" w:rsidR="005F5CBB" w:rsidRDefault="0055390A">
            <w:pPr>
              <w:pStyle w:val="TAL"/>
            </w:pPr>
            <w:r>
              <w:t>OTA receiver spurious emissions</w:t>
            </w:r>
          </w:p>
          <w:p w14:paraId="385BCB64" w14:textId="77777777" w:rsidR="005F5CBB" w:rsidRDefault="0055390A">
            <w:pPr>
              <w:pStyle w:val="TAL"/>
            </w:pPr>
            <w:r>
              <w:t>OTA receiver intermodulation</w:t>
            </w:r>
          </w:p>
        </w:tc>
        <w:tc>
          <w:tcPr>
            <w:tcW w:w="0" w:type="auto"/>
          </w:tcPr>
          <w:p w14:paraId="385BCB66" w14:textId="6E493F36" w:rsidR="005F5CBB" w:rsidRPr="0055390A" w:rsidRDefault="0055390A" w:rsidP="00142333">
            <w:pPr>
              <w:pStyle w:val="TAL"/>
              <w:rPr>
                <w:lang w:val="en-US" w:eastAsia="zh-CN"/>
              </w:rPr>
            </w:pPr>
            <w:r w:rsidRPr="0055390A">
              <w:rPr>
                <w:rFonts w:hint="eastAsia"/>
                <w:lang w:val="en-US" w:eastAsia="zh-CN"/>
              </w:rPr>
              <w:t>ZTE</w:t>
            </w:r>
          </w:p>
        </w:tc>
      </w:tr>
      <w:tr w:rsidR="005F5CBB" w14:paraId="385BCB6B" w14:textId="77777777">
        <w:tc>
          <w:tcPr>
            <w:tcW w:w="0" w:type="auto"/>
          </w:tcPr>
          <w:p w14:paraId="385BCB68" w14:textId="77777777" w:rsidR="005F5CBB" w:rsidRDefault="0055390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7.9</w:t>
            </w:r>
          </w:p>
        </w:tc>
        <w:tc>
          <w:tcPr>
            <w:tcW w:w="0" w:type="auto"/>
          </w:tcPr>
          <w:p w14:paraId="385BCB69" w14:textId="77777777" w:rsidR="005F5CBB" w:rsidRDefault="0055390A">
            <w:pPr>
              <w:pStyle w:val="TAL"/>
            </w:pPr>
            <w:r>
              <w:t>OTA in-channel selectivity</w:t>
            </w:r>
          </w:p>
        </w:tc>
        <w:tc>
          <w:tcPr>
            <w:tcW w:w="0" w:type="auto"/>
          </w:tcPr>
          <w:p w14:paraId="385BCB6A" w14:textId="77777777" w:rsidR="005F5CBB" w:rsidRPr="0055390A" w:rsidRDefault="0055390A">
            <w:pPr>
              <w:pStyle w:val="TAL"/>
              <w:rPr>
                <w:lang w:val="en-US" w:eastAsia="zh-CN"/>
              </w:rPr>
            </w:pPr>
            <w:r w:rsidRPr="0055390A">
              <w:rPr>
                <w:rFonts w:hint="eastAsia"/>
                <w:lang w:val="en-US" w:eastAsia="zh-CN"/>
              </w:rPr>
              <w:t>ZTE</w:t>
            </w:r>
          </w:p>
        </w:tc>
      </w:tr>
      <w:tr w:rsidR="005F5CBB" w14:paraId="385BCB6F" w14:textId="77777777">
        <w:tc>
          <w:tcPr>
            <w:tcW w:w="0" w:type="auto"/>
          </w:tcPr>
          <w:p w14:paraId="385BCB6C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</w:tcPr>
          <w:p w14:paraId="385BCB6D" w14:textId="77777777" w:rsidR="005F5CBB" w:rsidRDefault="0055390A">
            <w:pPr>
              <w:pStyle w:val="TAN"/>
              <w:rPr>
                <w:lang w:val="en-US"/>
              </w:rPr>
            </w:pPr>
            <w:r>
              <w:t>Radiated performance requirements</w:t>
            </w:r>
          </w:p>
        </w:tc>
        <w:tc>
          <w:tcPr>
            <w:tcW w:w="0" w:type="auto"/>
          </w:tcPr>
          <w:p w14:paraId="385BCB6E" w14:textId="77777777" w:rsidR="005F5CBB" w:rsidRPr="0055390A" w:rsidRDefault="0055390A">
            <w:pPr>
              <w:pStyle w:val="TAN"/>
              <w:rPr>
                <w:lang w:val="en-US"/>
              </w:rPr>
            </w:pPr>
            <w:r w:rsidRPr="0055390A">
              <w:rPr>
                <w:lang w:val="en-US"/>
              </w:rPr>
              <w:t>n/a</w:t>
            </w:r>
          </w:p>
        </w:tc>
      </w:tr>
      <w:tr w:rsidR="005F5CBB" w14:paraId="385BCB73" w14:textId="77777777">
        <w:tc>
          <w:tcPr>
            <w:tcW w:w="0" w:type="auto"/>
          </w:tcPr>
          <w:p w14:paraId="385BCB70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Annex A</w:t>
            </w:r>
          </w:p>
        </w:tc>
        <w:tc>
          <w:tcPr>
            <w:tcW w:w="0" w:type="auto"/>
          </w:tcPr>
          <w:p w14:paraId="385BCB71" w14:textId="77777777" w:rsidR="005F5CBB" w:rsidRDefault="0055390A">
            <w:pPr>
              <w:pStyle w:val="TAN"/>
              <w:rPr>
                <w:lang w:val="en-US"/>
              </w:rPr>
            </w:pPr>
            <w:r>
              <w:t>Reference measurement channels</w:t>
            </w:r>
          </w:p>
        </w:tc>
        <w:tc>
          <w:tcPr>
            <w:tcW w:w="0" w:type="auto"/>
          </w:tcPr>
          <w:p w14:paraId="385BCB72" w14:textId="77777777" w:rsidR="005F5CBB" w:rsidRPr="0055390A" w:rsidRDefault="0055390A">
            <w:pPr>
              <w:pStyle w:val="TAN"/>
              <w:rPr>
                <w:lang w:val="en-US" w:eastAsia="zh-CN"/>
              </w:rPr>
            </w:pPr>
            <w:r w:rsidRPr="0055390A">
              <w:rPr>
                <w:rFonts w:hint="eastAsia"/>
                <w:lang w:val="en-US" w:eastAsia="zh-CN"/>
              </w:rPr>
              <w:t>ZTE</w:t>
            </w:r>
          </w:p>
        </w:tc>
      </w:tr>
      <w:tr w:rsidR="005F5CBB" w14:paraId="385BCB77" w14:textId="77777777">
        <w:tc>
          <w:tcPr>
            <w:tcW w:w="0" w:type="auto"/>
          </w:tcPr>
          <w:p w14:paraId="385BCB74" w14:textId="77777777" w:rsidR="005F5CBB" w:rsidRPr="0055390A" w:rsidRDefault="0055390A">
            <w:pPr>
              <w:pStyle w:val="TAN"/>
              <w:rPr>
                <w:lang w:val="sv-SE"/>
              </w:rPr>
            </w:pPr>
            <w:r w:rsidRPr="0055390A">
              <w:rPr>
                <w:lang w:val="sv-SE"/>
              </w:rPr>
              <w:t>Annex B, G, H, I, J, K</w:t>
            </w:r>
          </w:p>
        </w:tc>
        <w:tc>
          <w:tcPr>
            <w:tcW w:w="0" w:type="auto"/>
          </w:tcPr>
          <w:p w14:paraId="385BCB75" w14:textId="77777777" w:rsidR="005F5CBB" w:rsidRPr="0055390A" w:rsidRDefault="005F5CBB">
            <w:pPr>
              <w:pStyle w:val="TAN"/>
              <w:rPr>
                <w:lang w:val="sv-SE"/>
              </w:rPr>
            </w:pPr>
          </w:p>
        </w:tc>
        <w:tc>
          <w:tcPr>
            <w:tcW w:w="0" w:type="auto"/>
          </w:tcPr>
          <w:p w14:paraId="385BCB76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5F5CBB" w14:paraId="385BCB7C" w14:textId="77777777">
        <w:tc>
          <w:tcPr>
            <w:tcW w:w="0" w:type="auto"/>
          </w:tcPr>
          <w:p w14:paraId="385BCB78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Annex C</w:t>
            </w:r>
          </w:p>
        </w:tc>
        <w:tc>
          <w:tcPr>
            <w:tcW w:w="0" w:type="auto"/>
          </w:tcPr>
          <w:p w14:paraId="385BCB79" w14:textId="77777777" w:rsidR="005F5CBB" w:rsidRDefault="0055390A">
            <w:pPr>
              <w:pStyle w:val="TAN"/>
            </w:pPr>
            <w:r>
              <w:t>Test tolerances and derivation of test requirements</w:t>
            </w:r>
          </w:p>
        </w:tc>
        <w:tc>
          <w:tcPr>
            <w:tcW w:w="0" w:type="auto"/>
          </w:tcPr>
          <w:p w14:paraId="385BCB7B" w14:textId="3C094148" w:rsidR="005F5CBB" w:rsidRPr="00DB4F6E" w:rsidRDefault="0055390A" w:rsidP="00142333">
            <w:pPr>
              <w:pStyle w:val="TAL"/>
              <w:rPr>
                <w:lang w:val="en-US"/>
              </w:rPr>
            </w:pPr>
            <w:r w:rsidRPr="00DB4F6E">
              <w:rPr>
                <w:lang w:val="en-US"/>
              </w:rPr>
              <w:t>All</w:t>
            </w:r>
          </w:p>
        </w:tc>
      </w:tr>
      <w:tr w:rsidR="005F5CBB" w14:paraId="385BCB80" w14:textId="77777777">
        <w:tc>
          <w:tcPr>
            <w:tcW w:w="0" w:type="auto"/>
          </w:tcPr>
          <w:p w14:paraId="385BCB7D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Annex D</w:t>
            </w:r>
          </w:p>
        </w:tc>
        <w:tc>
          <w:tcPr>
            <w:tcW w:w="0" w:type="auto"/>
          </w:tcPr>
          <w:p w14:paraId="385BCB7E" w14:textId="77777777" w:rsidR="005F5CBB" w:rsidRDefault="0055390A">
            <w:pPr>
              <w:pStyle w:val="TAN"/>
            </w:pPr>
            <w:r>
              <w:t>Calibration</w:t>
            </w:r>
          </w:p>
        </w:tc>
        <w:tc>
          <w:tcPr>
            <w:tcW w:w="0" w:type="auto"/>
          </w:tcPr>
          <w:p w14:paraId="385BCB7F" w14:textId="77777777" w:rsidR="005F5CBB" w:rsidRPr="00DB4F6E" w:rsidRDefault="0055390A">
            <w:pPr>
              <w:pStyle w:val="TAN"/>
              <w:rPr>
                <w:lang w:val="en-US"/>
              </w:rPr>
            </w:pPr>
            <w:r w:rsidRPr="00DB4F6E">
              <w:rPr>
                <w:lang w:val="en-US"/>
              </w:rPr>
              <w:t>TBD</w:t>
            </w:r>
          </w:p>
        </w:tc>
      </w:tr>
      <w:tr w:rsidR="005F5CBB" w14:paraId="385BCB84" w14:textId="77777777">
        <w:tc>
          <w:tcPr>
            <w:tcW w:w="0" w:type="auto"/>
          </w:tcPr>
          <w:p w14:paraId="385BCB81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Annex E</w:t>
            </w:r>
          </w:p>
        </w:tc>
        <w:tc>
          <w:tcPr>
            <w:tcW w:w="0" w:type="auto"/>
          </w:tcPr>
          <w:p w14:paraId="385BCB82" w14:textId="77777777" w:rsidR="005F5CBB" w:rsidRDefault="0055390A">
            <w:pPr>
              <w:pStyle w:val="TAN"/>
            </w:pPr>
            <w:r>
              <w:t>OTA measurement system set-up</w:t>
            </w:r>
          </w:p>
        </w:tc>
        <w:tc>
          <w:tcPr>
            <w:tcW w:w="0" w:type="auto"/>
          </w:tcPr>
          <w:p w14:paraId="385BCB83" w14:textId="77777777" w:rsidR="005F5CBB" w:rsidRPr="00DB4F6E" w:rsidRDefault="0055390A">
            <w:pPr>
              <w:pStyle w:val="TAN"/>
              <w:rPr>
                <w:lang w:val="en-US"/>
              </w:rPr>
            </w:pPr>
            <w:r w:rsidRPr="00DB4F6E">
              <w:rPr>
                <w:lang w:val="en-US"/>
              </w:rPr>
              <w:t>TBD</w:t>
            </w:r>
          </w:p>
        </w:tc>
      </w:tr>
      <w:tr w:rsidR="005F5CBB" w14:paraId="385BCB88" w14:textId="77777777">
        <w:tc>
          <w:tcPr>
            <w:tcW w:w="0" w:type="auto"/>
          </w:tcPr>
          <w:p w14:paraId="385BCB85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Annex M</w:t>
            </w:r>
          </w:p>
        </w:tc>
        <w:tc>
          <w:tcPr>
            <w:tcW w:w="0" w:type="auto"/>
          </w:tcPr>
          <w:p w14:paraId="385BCB86" w14:textId="77777777" w:rsidR="005F5CBB" w:rsidRDefault="0055390A">
            <w:pPr>
              <w:pStyle w:val="TAN"/>
            </w:pPr>
            <w:r>
              <w:t>General rules for statistical testing</w:t>
            </w:r>
          </w:p>
        </w:tc>
        <w:tc>
          <w:tcPr>
            <w:tcW w:w="0" w:type="auto"/>
          </w:tcPr>
          <w:p w14:paraId="385BCB87" w14:textId="77777777" w:rsidR="005F5CBB" w:rsidRPr="00DB4F6E" w:rsidRDefault="0055390A">
            <w:pPr>
              <w:pStyle w:val="TAN"/>
              <w:rPr>
                <w:lang w:val="en-US"/>
              </w:rPr>
            </w:pPr>
            <w:r w:rsidRPr="00DB4F6E">
              <w:rPr>
                <w:lang w:val="en-US"/>
              </w:rPr>
              <w:t>n/a</w:t>
            </w:r>
          </w:p>
        </w:tc>
      </w:tr>
      <w:tr w:rsidR="005F5CBB" w14:paraId="385BCB8C" w14:textId="77777777">
        <w:tc>
          <w:tcPr>
            <w:tcW w:w="0" w:type="auto"/>
            <w:gridSpan w:val="3"/>
          </w:tcPr>
          <w:p w14:paraId="385BCB89" w14:textId="77777777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1: </w:t>
            </w:r>
            <w:r>
              <w:rPr>
                <w:lang w:val="en-US"/>
              </w:rPr>
              <w:tab/>
              <w:t xml:space="preserve">Companies responsible for specific Tx/Rx requirement in section 6 and 7, are expected to additionally update related requirement’s specific MU and TT values in sections 4.1.2.2, 4.1.2.3, as well as in Annex C.1/C.2 – single tdoc is advised. </w:t>
            </w:r>
          </w:p>
          <w:p w14:paraId="385BCB8A" w14:textId="3EF4598A" w:rsidR="005F5CBB" w:rsidRDefault="0055390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2: </w:t>
            </w:r>
            <w:r>
              <w:rPr>
                <w:lang w:val="en-US"/>
              </w:rPr>
              <w:tab/>
              <w:t xml:space="preserve">A single </w:t>
            </w:r>
            <w:r w:rsidR="002971D9">
              <w:rPr>
                <w:lang w:val="en-US"/>
              </w:rPr>
              <w:t xml:space="preserve">draft CR </w:t>
            </w:r>
            <w:r>
              <w:rPr>
                <w:lang w:val="en-US"/>
              </w:rPr>
              <w:t xml:space="preserve">per </w:t>
            </w:r>
            <w:r w:rsidR="002971D9">
              <w:rPr>
                <w:lang w:val="en-US"/>
              </w:rPr>
              <w:t>company</w:t>
            </w:r>
            <w:r>
              <w:rPr>
                <w:lang w:val="en-US"/>
              </w:rPr>
              <w:t xml:space="preserve"> is advised.</w:t>
            </w:r>
          </w:p>
          <w:p w14:paraId="385BCB8B" w14:textId="77777777" w:rsidR="005F5CBB" w:rsidRDefault="0055390A">
            <w:pPr>
              <w:pStyle w:val="TAN"/>
              <w:rPr>
                <w:color w:val="000000" w:themeColor="text1"/>
                <w:highlight w:val="yellow"/>
                <w:lang w:val="en-US"/>
              </w:rPr>
            </w:pPr>
            <w:r>
              <w:t xml:space="preserve">NOTE 3: </w:t>
            </w:r>
            <w:r>
              <w:tab/>
            </w:r>
            <w:r>
              <w:rPr>
                <w:lang w:val="en-US"/>
              </w:rPr>
              <w:t>Companies responsible for specific Tx/Rx requirement in section 6 and 7, are expected to additionally update respective MU derivation section in TR 37.941.</w:t>
            </w:r>
          </w:p>
        </w:tc>
      </w:tr>
    </w:tbl>
    <w:p w14:paraId="385BCB8D" w14:textId="77777777" w:rsidR="005F5CBB" w:rsidRDefault="005F5CBB">
      <w:pPr>
        <w:pStyle w:val="TOC1"/>
        <w:rPr>
          <w:highlight w:val="cyan"/>
        </w:rPr>
      </w:pPr>
    </w:p>
    <w:p w14:paraId="385BCB8E" w14:textId="77777777" w:rsidR="005F5CBB" w:rsidRDefault="0055390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Conclusions </w:t>
      </w:r>
    </w:p>
    <w:p w14:paraId="385BCB8F" w14:textId="77777777" w:rsidR="005F5CBB" w:rsidRDefault="0055390A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above, the following proposal was formulated: </w:t>
      </w:r>
    </w:p>
    <w:p w14:paraId="385BCB90" w14:textId="77777777" w:rsidR="005F5CBB" w:rsidRDefault="005F5CBB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85BCB91" w14:textId="77777777" w:rsidR="005F5CBB" w:rsidRDefault="0055390A">
      <w:pPr>
        <w:rPr>
          <w:color w:val="000000" w:themeColor="text1"/>
        </w:rPr>
      </w:pPr>
      <w:r>
        <w:rPr>
          <w:b/>
          <w:color w:val="000000" w:themeColor="text1"/>
        </w:rPr>
        <w:t>Proposal 1</w:t>
      </w:r>
      <w:r>
        <w:rPr>
          <w:color w:val="000000" w:themeColor="text1"/>
        </w:rPr>
        <w:t xml:space="preserve">: Approve the above work-split for the FR2-2 NR BS conformance testing for the RF related work. </w:t>
      </w:r>
    </w:p>
    <w:p w14:paraId="385BCB92" w14:textId="77777777" w:rsidR="005F5CBB" w:rsidRDefault="0055390A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References</w:t>
      </w:r>
    </w:p>
    <w:p w14:paraId="385BCB93" w14:textId="77777777" w:rsidR="005F5CBB" w:rsidRDefault="0055390A">
      <w:r>
        <w:t>[1]</w:t>
      </w:r>
      <w:r>
        <w:tab/>
        <w:t xml:space="preserve"> R4-2217482</w:t>
      </w:r>
      <w:r>
        <w:tab/>
        <w:t>Email discussion summary for [104-bis-e][306] NR_exto71GHz_BSRF, Huawei</w:t>
      </w:r>
    </w:p>
    <w:p w14:paraId="385BCB94" w14:textId="77777777" w:rsidR="005F5CBB" w:rsidRDefault="0055390A">
      <w:r>
        <w:t>[2]</w:t>
      </w:r>
      <w:r>
        <w:tab/>
        <w:t>R4-2215830</w:t>
      </w:r>
      <w:r>
        <w:tab/>
        <w:t>Draft CR to TR 37.941: Addition of aspects related to EIRP measurement in CATR relevant for FR2-2 in sub-clause 7.3, 8.3, 9.2.3 and 9.2.7</w:t>
      </w:r>
      <w:r>
        <w:tab/>
        <w:t>Ericsson</w:t>
      </w:r>
    </w:p>
    <w:p w14:paraId="385BCB95" w14:textId="77777777" w:rsidR="005F5CBB" w:rsidRDefault="0055390A">
      <w:r>
        <w:lastRenderedPageBreak/>
        <w:t>[3]</w:t>
      </w:r>
      <w:r>
        <w:tab/>
        <w:t>R4-2215836</w:t>
      </w:r>
      <w:r>
        <w:tab/>
        <w:t>Draft CR to TS 38.141-2: Addition of FR2-2 aspects in clause 4</w:t>
      </w:r>
      <w:r>
        <w:tab/>
        <w:t>Ericsson</w:t>
      </w:r>
    </w:p>
    <w:p w14:paraId="385BCB96" w14:textId="77777777" w:rsidR="005F5CBB" w:rsidRDefault="0055390A">
      <w:r>
        <w:t>[4]</w:t>
      </w:r>
      <w:r>
        <w:tab/>
        <w:t>R4-2215828</w:t>
      </w:r>
      <w:r>
        <w:tab/>
        <w:t>Draft CR to TS 38.141-2: Addition of FR2-2 transmitter support in clause 6</w:t>
      </w:r>
      <w:r>
        <w:tab/>
        <w:t>Ericsson</w:t>
      </w:r>
    </w:p>
    <w:p w14:paraId="385BCB97" w14:textId="77777777" w:rsidR="005F5CBB" w:rsidRDefault="0055390A">
      <w:pPr>
        <w:rPr>
          <w:lang w:val="en-US"/>
        </w:rPr>
      </w:pPr>
      <w:r>
        <w:t>[5]</w:t>
      </w:r>
      <w:r>
        <w:tab/>
        <w:t>R4-2215829</w:t>
      </w:r>
      <w:r>
        <w:tab/>
        <w:t>Draft CR to TS 38.141-2: Addition of FR2-2 receiver support in clause 7</w:t>
      </w:r>
      <w:r>
        <w:tab/>
        <w:t>Ericsson</w:t>
      </w:r>
      <w:bookmarkEnd w:id="0"/>
    </w:p>
    <w:sectPr w:rsidR="005F5C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FDF81" w14:textId="77777777" w:rsidR="00D739AF" w:rsidRDefault="00D739AF" w:rsidP="002971D9">
      <w:pPr>
        <w:spacing w:after="0"/>
      </w:pPr>
      <w:r>
        <w:separator/>
      </w:r>
    </w:p>
  </w:endnote>
  <w:endnote w:type="continuationSeparator" w:id="0">
    <w:p w14:paraId="49A6FCB8" w14:textId="77777777" w:rsidR="00D739AF" w:rsidRDefault="00D739AF" w:rsidP="00297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2D9A5" w14:textId="77777777" w:rsidR="00D739AF" w:rsidRDefault="00D739AF" w:rsidP="002971D9">
      <w:pPr>
        <w:spacing w:after="0"/>
      </w:pPr>
      <w:r>
        <w:separator/>
      </w:r>
    </w:p>
  </w:footnote>
  <w:footnote w:type="continuationSeparator" w:id="0">
    <w:p w14:paraId="65012BAD" w14:textId="77777777" w:rsidR="00D739AF" w:rsidRDefault="00D739AF" w:rsidP="002971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12073"/>
    <w:rsid w:val="00021B53"/>
    <w:rsid w:val="00021BA6"/>
    <w:rsid w:val="00022E07"/>
    <w:rsid w:val="0002658C"/>
    <w:rsid w:val="00026A09"/>
    <w:rsid w:val="000355F6"/>
    <w:rsid w:val="00036DC8"/>
    <w:rsid w:val="0004187F"/>
    <w:rsid w:val="00041FE8"/>
    <w:rsid w:val="00043F4B"/>
    <w:rsid w:val="00045377"/>
    <w:rsid w:val="000454A2"/>
    <w:rsid w:val="0004714A"/>
    <w:rsid w:val="00047FCC"/>
    <w:rsid w:val="00053EC4"/>
    <w:rsid w:val="00055A23"/>
    <w:rsid w:val="000564F1"/>
    <w:rsid w:val="0005729F"/>
    <w:rsid w:val="000679AE"/>
    <w:rsid w:val="0007156E"/>
    <w:rsid w:val="00073CCD"/>
    <w:rsid w:val="0007557F"/>
    <w:rsid w:val="0008173A"/>
    <w:rsid w:val="000873A4"/>
    <w:rsid w:val="0009129F"/>
    <w:rsid w:val="00093417"/>
    <w:rsid w:val="00095B0B"/>
    <w:rsid w:val="00096617"/>
    <w:rsid w:val="000A168E"/>
    <w:rsid w:val="000A2213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0D04"/>
    <w:rsid w:val="000E31BD"/>
    <w:rsid w:val="000E4829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4EFE"/>
    <w:rsid w:val="00105C0E"/>
    <w:rsid w:val="00106434"/>
    <w:rsid w:val="00107F07"/>
    <w:rsid w:val="00113821"/>
    <w:rsid w:val="00122CFA"/>
    <w:rsid w:val="0012647B"/>
    <w:rsid w:val="001329AA"/>
    <w:rsid w:val="00132F95"/>
    <w:rsid w:val="00142333"/>
    <w:rsid w:val="0014330D"/>
    <w:rsid w:val="00144660"/>
    <w:rsid w:val="00154F93"/>
    <w:rsid w:val="00155E84"/>
    <w:rsid w:val="00157AD9"/>
    <w:rsid w:val="00163E25"/>
    <w:rsid w:val="0016720E"/>
    <w:rsid w:val="00167B19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A73"/>
    <w:rsid w:val="00193BB8"/>
    <w:rsid w:val="00195649"/>
    <w:rsid w:val="00195719"/>
    <w:rsid w:val="0019603B"/>
    <w:rsid w:val="0019665A"/>
    <w:rsid w:val="00197B3D"/>
    <w:rsid w:val="001A47A8"/>
    <w:rsid w:val="001A6885"/>
    <w:rsid w:val="001A7DAF"/>
    <w:rsid w:val="001B2C4A"/>
    <w:rsid w:val="001B3690"/>
    <w:rsid w:val="001C45B3"/>
    <w:rsid w:val="001C487D"/>
    <w:rsid w:val="001C7DF5"/>
    <w:rsid w:val="001D0D9B"/>
    <w:rsid w:val="001D11E7"/>
    <w:rsid w:val="001D1F32"/>
    <w:rsid w:val="001D4BAD"/>
    <w:rsid w:val="001D6015"/>
    <w:rsid w:val="001D73E2"/>
    <w:rsid w:val="001E2113"/>
    <w:rsid w:val="001E2729"/>
    <w:rsid w:val="001E46FB"/>
    <w:rsid w:val="001E6688"/>
    <w:rsid w:val="001E7033"/>
    <w:rsid w:val="001F1676"/>
    <w:rsid w:val="001F2C0E"/>
    <w:rsid w:val="001F768F"/>
    <w:rsid w:val="001F7900"/>
    <w:rsid w:val="00201929"/>
    <w:rsid w:val="00205891"/>
    <w:rsid w:val="00210475"/>
    <w:rsid w:val="00212D72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89B"/>
    <w:rsid w:val="00254AC8"/>
    <w:rsid w:val="00257C1F"/>
    <w:rsid w:val="002609FE"/>
    <w:rsid w:val="002663D2"/>
    <w:rsid w:val="00274B29"/>
    <w:rsid w:val="00274C0A"/>
    <w:rsid w:val="002757FC"/>
    <w:rsid w:val="002817DE"/>
    <w:rsid w:val="00281A0C"/>
    <w:rsid w:val="00284B67"/>
    <w:rsid w:val="002877BF"/>
    <w:rsid w:val="00291AF2"/>
    <w:rsid w:val="00293944"/>
    <w:rsid w:val="00294427"/>
    <w:rsid w:val="0029665F"/>
    <w:rsid w:val="002971D9"/>
    <w:rsid w:val="002A0531"/>
    <w:rsid w:val="002B61CF"/>
    <w:rsid w:val="002B68D9"/>
    <w:rsid w:val="002B6961"/>
    <w:rsid w:val="002B6CDF"/>
    <w:rsid w:val="002B6D12"/>
    <w:rsid w:val="002C50B5"/>
    <w:rsid w:val="002D2AE8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52CFD"/>
    <w:rsid w:val="00355D94"/>
    <w:rsid w:val="003605C0"/>
    <w:rsid w:val="0036098D"/>
    <w:rsid w:val="00360D09"/>
    <w:rsid w:val="00360DF2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1902"/>
    <w:rsid w:val="003D3350"/>
    <w:rsid w:val="003D7CD2"/>
    <w:rsid w:val="003E31C2"/>
    <w:rsid w:val="003F4205"/>
    <w:rsid w:val="003F53AF"/>
    <w:rsid w:val="003F5E24"/>
    <w:rsid w:val="003F73D8"/>
    <w:rsid w:val="00400424"/>
    <w:rsid w:val="00405EF8"/>
    <w:rsid w:val="00407B26"/>
    <w:rsid w:val="00415C30"/>
    <w:rsid w:val="00420A04"/>
    <w:rsid w:val="00421776"/>
    <w:rsid w:val="004250A5"/>
    <w:rsid w:val="00425B43"/>
    <w:rsid w:val="004304E4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50CD"/>
    <w:rsid w:val="00476F7C"/>
    <w:rsid w:val="0048078F"/>
    <w:rsid w:val="00494285"/>
    <w:rsid w:val="004947BD"/>
    <w:rsid w:val="00495EB2"/>
    <w:rsid w:val="00497E3E"/>
    <w:rsid w:val="004A016B"/>
    <w:rsid w:val="004A2035"/>
    <w:rsid w:val="004A2200"/>
    <w:rsid w:val="004B4EAA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4F7EB5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37E1C"/>
    <w:rsid w:val="00540731"/>
    <w:rsid w:val="00540EB7"/>
    <w:rsid w:val="00541326"/>
    <w:rsid w:val="0055390A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8ED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5F5CBB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3B3C"/>
    <w:rsid w:val="00635047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A1B"/>
    <w:rsid w:val="00724BE2"/>
    <w:rsid w:val="007304D1"/>
    <w:rsid w:val="00733ECB"/>
    <w:rsid w:val="007377C1"/>
    <w:rsid w:val="0074412A"/>
    <w:rsid w:val="007475BE"/>
    <w:rsid w:val="00751DDA"/>
    <w:rsid w:val="00762C2A"/>
    <w:rsid w:val="00770F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3734"/>
    <w:rsid w:val="007C40C8"/>
    <w:rsid w:val="007D0F46"/>
    <w:rsid w:val="007D3570"/>
    <w:rsid w:val="007E0302"/>
    <w:rsid w:val="007E2628"/>
    <w:rsid w:val="007E3D12"/>
    <w:rsid w:val="007E52F2"/>
    <w:rsid w:val="007E6696"/>
    <w:rsid w:val="007E6A30"/>
    <w:rsid w:val="007F1520"/>
    <w:rsid w:val="007F2EF1"/>
    <w:rsid w:val="007F65D9"/>
    <w:rsid w:val="007F7251"/>
    <w:rsid w:val="00802D69"/>
    <w:rsid w:val="0080437A"/>
    <w:rsid w:val="00810DDA"/>
    <w:rsid w:val="008116D7"/>
    <w:rsid w:val="00814F1C"/>
    <w:rsid w:val="00814F82"/>
    <w:rsid w:val="0081544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1C9F"/>
    <w:rsid w:val="00857332"/>
    <w:rsid w:val="0085773A"/>
    <w:rsid w:val="00857BDC"/>
    <w:rsid w:val="00860467"/>
    <w:rsid w:val="00860BAC"/>
    <w:rsid w:val="00860F1A"/>
    <w:rsid w:val="00861254"/>
    <w:rsid w:val="008706E7"/>
    <w:rsid w:val="0087158B"/>
    <w:rsid w:val="008740D3"/>
    <w:rsid w:val="00874919"/>
    <w:rsid w:val="00875D1C"/>
    <w:rsid w:val="00880D75"/>
    <w:rsid w:val="00882253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2504"/>
    <w:rsid w:val="008E34C4"/>
    <w:rsid w:val="008E4F2D"/>
    <w:rsid w:val="008E5A94"/>
    <w:rsid w:val="00900E89"/>
    <w:rsid w:val="00901EEB"/>
    <w:rsid w:val="009034B4"/>
    <w:rsid w:val="00905A4A"/>
    <w:rsid w:val="00906D02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1C76"/>
    <w:rsid w:val="0096374C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03AC"/>
    <w:rsid w:val="009C145B"/>
    <w:rsid w:val="009C1FCC"/>
    <w:rsid w:val="009C2D14"/>
    <w:rsid w:val="009C4123"/>
    <w:rsid w:val="009C4A25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687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128F"/>
    <w:rsid w:val="00A93BA9"/>
    <w:rsid w:val="00AA1E4B"/>
    <w:rsid w:val="00AB229B"/>
    <w:rsid w:val="00AB3BB7"/>
    <w:rsid w:val="00AB49CF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17DEA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86108"/>
    <w:rsid w:val="00B937B1"/>
    <w:rsid w:val="00B944B8"/>
    <w:rsid w:val="00B979B1"/>
    <w:rsid w:val="00BA0BB7"/>
    <w:rsid w:val="00BA56D1"/>
    <w:rsid w:val="00BA71E9"/>
    <w:rsid w:val="00BA7454"/>
    <w:rsid w:val="00BC29E5"/>
    <w:rsid w:val="00BD0906"/>
    <w:rsid w:val="00BD2D4E"/>
    <w:rsid w:val="00BE4542"/>
    <w:rsid w:val="00BE6BE6"/>
    <w:rsid w:val="00BF0B37"/>
    <w:rsid w:val="00BF40D3"/>
    <w:rsid w:val="00BF6D6A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2E66"/>
    <w:rsid w:val="00C4419B"/>
    <w:rsid w:val="00C45893"/>
    <w:rsid w:val="00C5565F"/>
    <w:rsid w:val="00C706B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021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211BC"/>
    <w:rsid w:val="00D2401E"/>
    <w:rsid w:val="00D3463F"/>
    <w:rsid w:val="00D34969"/>
    <w:rsid w:val="00D35042"/>
    <w:rsid w:val="00D400DF"/>
    <w:rsid w:val="00D4120B"/>
    <w:rsid w:val="00D419DA"/>
    <w:rsid w:val="00D51696"/>
    <w:rsid w:val="00D53944"/>
    <w:rsid w:val="00D56F4A"/>
    <w:rsid w:val="00D57171"/>
    <w:rsid w:val="00D61019"/>
    <w:rsid w:val="00D739AF"/>
    <w:rsid w:val="00D7620E"/>
    <w:rsid w:val="00D76659"/>
    <w:rsid w:val="00D77844"/>
    <w:rsid w:val="00D800A3"/>
    <w:rsid w:val="00D818DF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4F6E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1A9B"/>
    <w:rsid w:val="00DF594E"/>
    <w:rsid w:val="00E006E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77ABE"/>
    <w:rsid w:val="00E826B3"/>
    <w:rsid w:val="00E87617"/>
    <w:rsid w:val="00E908E1"/>
    <w:rsid w:val="00E92F19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EF2C1D"/>
    <w:rsid w:val="00EF487A"/>
    <w:rsid w:val="00F0278C"/>
    <w:rsid w:val="00F060D3"/>
    <w:rsid w:val="00F13316"/>
    <w:rsid w:val="00F13874"/>
    <w:rsid w:val="00F216D3"/>
    <w:rsid w:val="00F220E2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86539"/>
    <w:rsid w:val="00F9053E"/>
    <w:rsid w:val="00F9057A"/>
    <w:rsid w:val="00F96432"/>
    <w:rsid w:val="00FA0C8D"/>
    <w:rsid w:val="00FA138E"/>
    <w:rsid w:val="00FB0815"/>
    <w:rsid w:val="00FB0FEE"/>
    <w:rsid w:val="00FB1946"/>
    <w:rsid w:val="00FB1AFA"/>
    <w:rsid w:val="00FB4DC0"/>
    <w:rsid w:val="00FB5584"/>
    <w:rsid w:val="00FC0D27"/>
    <w:rsid w:val="00FC1745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  <w:rsid w:val="5558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BCAF5"/>
  <w15:docId w15:val="{84CE40E1-EB15-4E82-A72A-3DD24DC3F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/>
    <w:lsdException w:name="toc 2" w:uiPriority="0"/>
    <w:lsdException w:name="toc 3" w:uiPriority="0" w:unhideWhenUsed="1" w:qFormat="1"/>
    <w:lsdException w:name="toc 4" w:uiPriority="0" w:unhideWhenUsed="1"/>
    <w:lsdException w:name="toc 5" w:uiPriority="0" w:unhideWhenUsed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uiPriority="0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40" w:lineRule="auto"/>
    </w:pPr>
    <w:rPr>
      <w:rFonts w:ascii="Times New Roman" w:eastAsia="DengXi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en-GB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rFonts w:eastAsia="Times New Roman"/>
      <w:lang w:eastAsia="en-GB"/>
    </w:rPr>
  </w:style>
  <w:style w:type="paragraph" w:styleId="TOC5">
    <w:name w:val="toc 5"/>
    <w:basedOn w:val="Normal"/>
    <w:next w:val="Normal"/>
    <w:unhideWhenUsed/>
    <w:pPr>
      <w:spacing w:after="100"/>
      <w:ind w:left="80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TOC3">
    <w:name w:val="toc 3"/>
    <w:basedOn w:val="Normal"/>
    <w:next w:val="Normal"/>
    <w:unhideWhenUsed/>
    <w:qFormat/>
    <w:pPr>
      <w:spacing w:after="100"/>
      <w:ind w:left="40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eastAsia="Times New Roman"/>
      <w:b/>
      <w:sz w:val="22"/>
      <w:lang w:eastAsia="en-GB"/>
    </w:rPr>
  </w:style>
  <w:style w:type="paragraph" w:styleId="TOC1">
    <w:name w:val="toc 1"/>
    <w:basedOn w:val="Normal"/>
    <w:next w:val="Normal"/>
    <w:unhideWhenUsed/>
    <w:pPr>
      <w:spacing w:after="100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i/>
      <w:lang w:eastAsia="en-GB"/>
    </w:rPr>
  </w:style>
  <w:style w:type="paragraph" w:styleId="Header">
    <w:name w:val="header"/>
    <w:link w:val="HeaderChar"/>
    <w:qFormat/>
    <w:pPr>
      <w:widowControl w:val="0"/>
      <w:spacing w:after="0" w:line="240" w:lineRule="auto"/>
    </w:pPr>
    <w:rPr>
      <w:rFonts w:ascii="Arial" w:hAnsi="Arial" w:cs="Times New Roman"/>
      <w:b/>
      <w:sz w:val="18"/>
      <w:lang w:val="en-GB" w:eastAsia="en-US"/>
    </w:rPr>
  </w:style>
  <w:style w:type="paragraph" w:styleId="TOC4">
    <w:name w:val="toc 4"/>
    <w:basedOn w:val="Normal"/>
    <w:next w:val="Normal"/>
    <w:unhideWhenUsed/>
    <w:pPr>
      <w:spacing w:after="100"/>
      <w:ind w:left="600"/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2">
    <w:name w:val="toc 2"/>
    <w:basedOn w:val="TOC1"/>
    <w:next w:val="Normal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 w:cs="Times New Roman"/>
      <w:b/>
      <w:bCs/>
      <w:szCs w:val="20"/>
      <w:lang w:val="en-GB" w:eastAsia="en-US"/>
    </w:rPr>
  </w:style>
  <w:style w:type="paragraph" w:customStyle="1" w:styleId="xxmsonormal">
    <w:name w:val="x_x_msonormal"/>
    <w:basedOn w:val="Normal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32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qFormat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lang w:val="en-GB" w:eastAsia="en-GB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link w:val="EditorsNoteCar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sz w:val="40"/>
      <w:lang w:val="en-GB" w:eastAsia="en-GB"/>
    </w:rPr>
  </w:style>
  <w:style w:type="character" w:customStyle="1" w:styleId="ZAChar">
    <w:name w:val="ZA Char"/>
    <w:basedOn w:val="DefaultParagraphFont"/>
    <w:link w:val="ZA"/>
    <w:qFormat/>
    <w:rPr>
      <w:rFonts w:ascii="Arial" w:eastAsia="Times New Roman" w:hAnsi="Arial" w:cs="Times New Roman"/>
      <w:sz w:val="40"/>
      <w:szCs w:val="2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SimSun" w:eastAsia="SimSun" w:hAnsi="Times New Roman" w:cs="Times New Roman"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character" w:customStyle="1" w:styleId="CaptionChar">
    <w:name w:val="Caption Char"/>
    <w:link w:val="Caption"/>
    <w:qFormat/>
    <w:rPr>
      <w:rFonts w:ascii="Cambria" w:eastAsia="SimHei" w:hAnsi="Cambria" w:cs="Times New Roman"/>
      <w:sz w:val="20"/>
      <w:szCs w:val="20"/>
      <w:lang w:val="en-GB" w:eastAsia="en-GB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 w:cs="Times New Roman"/>
      <w:sz w:val="20"/>
      <w:szCs w:val="20"/>
      <w:lang w:val="nb-NO" w:eastAsia="zh-CN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pPr>
      <w:spacing w:after="0" w:line="240" w:lineRule="auto"/>
    </w:pPr>
    <w:rPr>
      <w:rFonts w:ascii="Times New Roman" w:eastAsia="Batang" w:hAnsi="Times New Roman" w:cs="Times New Roman"/>
      <w:lang w:val="en-GB" w:eastAsia="en-US"/>
    </w:rPr>
  </w:style>
  <w:style w:type="paragraph" w:customStyle="1" w:styleId="1">
    <w:name w:val="修订1"/>
    <w:hidden/>
    <w:semiHidden/>
    <w:qFormat/>
    <w:pPr>
      <w:spacing w:after="0" w:line="240" w:lineRule="auto"/>
    </w:pPr>
    <w:rPr>
      <w:rFonts w:ascii="Times New Roman" w:eastAsia="Batang" w:hAnsi="Times New Roman" w:cs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1">
    <w:name w:val="変更箇所"/>
    <w:hidden/>
    <w:semiHidden/>
    <w:qFormat/>
    <w:pPr>
      <w:spacing w:after="0" w:line="240" w:lineRule="auto"/>
    </w:pPr>
    <w:rPr>
      <w:rFonts w:ascii="Times New Roman" w:eastAsia="MS Mincho" w:hAnsi="Times New Roman" w:cs="Times New Roman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GB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 w:line="240" w:lineRule="auto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pPr>
      <w:spacing w:after="0" w:line="240" w:lineRule="auto"/>
    </w:pPr>
    <w:rPr>
      <w:rFonts w:ascii="Arial" w:eastAsia="Times New Roman" w:hAnsi="Arial" w:cs="Times New Roman"/>
      <w:sz w:val="24"/>
      <w:lang w:val="en-GB" w:eastAsia="en-US"/>
    </w:rPr>
  </w:style>
  <w:style w:type="paragraph" w:customStyle="1" w:styleId="msonormal0">
    <w:name w:val="msonorm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a-DK" w:eastAsia="da-DK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CG Times (WN)" w:eastAsia="SimSun" w:hAnsi="CG Times (WN)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180"/>
    </w:pPr>
    <w:rPr>
      <w:rFonts w:ascii="CG Times (WN)" w:eastAsia="SimSun" w:hAnsi="CG Times (WN)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DC241E-72D1-4C3D-9212-EAFD364D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Szydelko, Huawei</dc:creator>
  <cp:lastModifiedBy>Michal Szydelko, Huawei</cp:lastModifiedBy>
  <cp:revision>3</cp:revision>
  <dcterms:created xsi:type="dcterms:W3CDTF">2022-10-18T19:52:00Z</dcterms:created>
  <dcterms:modified xsi:type="dcterms:W3CDTF">2022-10-18T20:05:00Z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1666094771</vt:lpwstr>
  </property>
</Properties>
</file>