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54BC4CA1"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B50056">
        <w:rPr>
          <w:rFonts w:asciiTheme="minorHAnsi" w:hAnsiTheme="minorHAnsi" w:cstheme="minorHAnsi"/>
          <w:sz w:val="24"/>
          <w:szCs w:val="24"/>
        </w:rPr>
        <w:t>4</w:t>
      </w:r>
      <w:r w:rsidR="000B425F">
        <w:rPr>
          <w:rFonts w:asciiTheme="minorHAnsi" w:hAnsiTheme="minorHAnsi" w:cstheme="minorHAnsi"/>
          <w:sz w:val="24"/>
          <w:szCs w:val="24"/>
        </w:rPr>
        <w:t>bis</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027BB1">
        <w:rPr>
          <w:rFonts w:asciiTheme="minorHAnsi" w:hAnsiTheme="minorHAnsi" w:cstheme="minorHAnsi"/>
          <w:sz w:val="24"/>
          <w:szCs w:val="24"/>
        </w:rPr>
        <w:t>1</w:t>
      </w:r>
      <w:r w:rsidR="00BD2D47">
        <w:rPr>
          <w:rFonts w:asciiTheme="minorHAnsi" w:hAnsiTheme="minorHAnsi" w:cstheme="minorHAnsi"/>
          <w:sz w:val="24"/>
          <w:szCs w:val="24"/>
        </w:rPr>
        <w:t>6836</w:t>
      </w:r>
    </w:p>
    <w:p w14:paraId="56A5A245" w14:textId="545E7F43"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B50056">
        <w:rPr>
          <w:rFonts w:asciiTheme="minorHAnsi" w:eastAsia="SimSun" w:hAnsiTheme="minorHAnsi" w:cstheme="minorHAnsi"/>
          <w:sz w:val="24"/>
          <w:szCs w:val="24"/>
          <w:lang w:eastAsia="zh-CN"/>
        </w:rPr>
        <w:t>1</w:t>
      </w:r>
      <w:r w:rsidR="000B425F">
        <w:rPr>
          <w:rFonts w:asciiTheme="minorHAnsi" w:eastAsia="SimSun" w:hAnsiTheme="minorHAnsi" w:cstheme="minorHAnsi"/>
          <w:sz w:val="24"/>
          <w:szCs w:val="24"/>
          <w:lang w:eastAsia="zh-CN"/>
        </w:rPr>
        <w:t>0</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w:t>
      </w:r>
      <w:r w:rsidR="000B425F">
        <w:rPr>
          <w:rFonts w:asciiTheme="minorHAnsi" w:eastAsia="SimSun" w:hAnsiTheme="minorHAnsi" w:cstheme="minorHAnsi"/>
          <w:sz w:val="24"/>
          <w:szCs w:val="24"/>
          <w:lang w:eastAsia="zh-CN"/>
        </w:rPr>
        <w:t>19</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sidR="00F84B00">
        <w:rPr>
          <w:rFonts w:asciiTheme="minorHAnsi" w:eastAsia="SimSun" w:hAnsiTheme="minorHAnsi" w:cstheme="minorHAnsi"/>
          <w:sz w:val="24"/>
          <w:szCs w:val="24"/>
          <w:lang w:eastAsia="zh-CN"/>
        </w:rPr>
        <w:t>October</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526276E6"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4A47D1">
        <w:rPr>
          <w:rFonts w:asciiTheme="minorHAnsi" w:eastAsia="SimSun" w:hAnsiTheme="minorHAnsi" w:cstheme="minorHAnsi"/>
          <w:b/>
          <w:sz w:val="24"/>
          <w:szCs w:val="24"/>
          <w:lang w:val="en-US" w:eastAsia="zh-CN"/>
        </w:rPr>
        <w:t xml:space="preserve">Duplex enhancements </w:t>
      </w:r>
      <w:r w:rsidR="000E108C">
        <w:rPr>
          <w:rFonts w:asciiTheme="minorHAnsi" w:eastAsia="SimSun" w:hAnsiTheme="minorHAnsi" w:cstheme="minorHAnsi"/>
          <w:b/>
          <w:sz w:val="24"/>
          <w:szCs w:val="24"/>
          <w:lang w:val="en-US" w:eastAsia="zh-CN"/>
        </w:rPr>
        <w:t>UE-UE CLI</w:t>
      </w:r>
      <w:r w:rsidR="004A47D1">
        <w:rPr>
          <w:rFonts w:asciiTheme="minorHAnsi" w:eastAsia="SimSun" w:hAnsiTheme="minorHAnsi" w:cstheme="minorHAnsi"/>
          <w:b/>
          <w:sz w:val="24"/>
          <w:szCs w:val="24"/>
          <w:lang w:val="en-US" w:eastAsia="zh-CN"/>
        </w:rPr>
        <w:t xml:space="preserve"> modelling</w:t>
      </w:r>
      <w:r w:rsidR="000B425F">
        <w:rPr>
          <w:rFonts w:asciiTheme="minorHAnsi" w:eastAsia="SimSun" w:hAnsiTheme="minorHAnsi" w:cstheme="minorHAnsi"/>
          <w:b/>
          <w:sz w:val="24"/>
          <w:szCs w:val="24"/>
          <w:lang w:val="en-US" w:eastAsia="zh-CN"/>
        </w:rPr>
        <w:t xml:space="preserve"> remaining aspects</w:t>
      </w:r>
    </w:p>
    <w:p w14:paraId="2B4F11BA" w14:textId="2F76E71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BD2D47">
        <w:rPr>
          <w:rFonts w:asciiTheme="minorHAnsi" w:eastAsia="SimSun" w:hAnsiTheme="minorHAnsi" w:cstheme="minorHAnsi"/>
          <w:b/>
          <w:sz w:val="24"/>
          <w:szCs w:val="24"/>
          <w:lang w:val="en-US" w:eastAsia="zh-CN"/>
        </w:rPr>
        <w:t>6.17.</w:t>
      </w:r>
      <w:r w:rsidR="00B50056">
        <w:rPr>
          <w:rFonts w:asciiTheme="minorHAnsi" w:eastAsia="SimSun" w:hAnsiTheme="minorHAnsi" w:cstheme="minorHAnsi"/>
          <w:b/>
          <w:sz w:val="24"/>
          <w:szCs w:val="24"/>
          <w:lang w:val="en-US" w:eastAsia="zh-CN"/>
        </w:rPr>
        <w:t>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FCEA99E" w:rsidR="00D8482C" w:rsidRPr="00890126" w:rsidRDefault="00F84B00" w:rsidP="000B4517">
      <w:pPr>
        <w:jc w:val="both"/>
        <w:rPr>
          <w:lang w:eastAsia="zh-TW"/>
        </w:rPr>
      </w:pPr>
      <w:r>
        <w:rPr>
          <w:lang w:eastAsia="zh-TW"/>
        </w:rPr>
        <w:t xml:space="preserve">At RAN4#104-e, RAN4 responded in [1] to the RAN1 request for information on how to model CLI at </w:t>
      </w:r>
      <w:proofErr w:type="spellStart"/>
      <w:r>
        <w:rPr>
          <w:lang w:eastAsia="zh-TW"/>
        </w:rPr>
        <w:t>gNB</w:t>
      </w:r>
      <w:proofErr w:type="spellEnd"/>
      <w:r>
        <w:rPr>
          <w:lang w:eastAsia="zh-TW"/>
        </w:rPr>
        <w:t xml:space="preserve"> and UE for sub-band full duplex (SBFD) configurations and captured related agreements in [2]</w:t>
      </w:r>
      <w:r w:rsidR="00D8482C" w:rsidRPr="00890126">
        <w:rPr>
          <w:lang w:eastAsia="zh-TW"/>
        </w:rPr>
        <w:t>.</w:t>
      </w:r>
      <w:r>
        <w:rPr>
          <w:lang w:eastAsia="zh-TW"/>
        </w:rPr>
        <w:t xml:space="preserve"> There were some remaining issues left for further discussion and this document provides further considerations and analysis on those points for UE-UE CLI.</w:t>
      </w:r>
    </w:p>
    <w:p w14:paraId="01997AEF" w14:textId="0F89FB10" w:rsidR="00D8482C" w:rsidRDefault="00F84B00" w:rsidP="005033C3">
      <w:pPr>
        <w:pStyle w:val="Heading9"/>
        <w:numPr>
          <w:ilvl w:val="0"/>
          <w:numId w:val="1"/>
        </w:numPr>
        <w:rPr>
          <w:rFonts w:ascii="Calibri" w:hAnsi="Calibri" w:cs="Calibri"/>
          <w:sz w:val="32"/>
          <w:lang w:eastAsia="zh-TW"/>
        </w:rPr>
      </w:pPr>
      <w:r>
        <w:rPr>
          <w:rFonts w:ascii="Calibri" w:hAnsi="Calibri" w:cs="Calibri"/>
          <w:sz w:val="32"/>
          <w:lang w:eastAsia="zh-TW"/>
        </w:rPr>
        <w:t>Remaining issues on UE-UE CLI</w:t>
      </w:r>
    </w:p>
    <w:p w14:paraId="3B7146CA" w14:textId="5DEE96C0" w:rsidR="00F84B00" w:rsidRPr="00F84B00" w:rsidRDefault="00F84B00" w:rsidP="00F84B00">
      <w:pPr>
        <w:rPr>
          <w:lang w:eastAsia="zh-TW"/>
        </w:rPr>
      </w:pPr>
      <w:r>
        <w:rPr>
          <w:lang w:eastAsia="zh-TW"/>
        </w:rPr>
        <w:t xml:space="preserve">The following from copies the status from [2], with the remaining open issues are highlighted in </w:t>
      </w:r>
      <w:r w:rsidRPr="00F84B00">
        <w:rPr>
          <w:highlight w:val="yellow"/>
          <w:lang w:eastAsia="zh-TW"/>
        </w:rPr>
        <w:t>yellow</w:t>
      </w:r>
      <w:r>
        <w:rPr>
          <w:lang w:eastAsia="zh-TW"/>
        </w:rPr>
        <w:t>.</w:t>
      </w:r>
    </w:p>
    <w:p w14:paraId="2D737E9B" w14:textId="2951BC68" w:rsidR="00F84B00" w:rsidRPr="00F84B00" w:rsidRDefault="00F84B00" w:rsidP="00F84B00">
      <w:pPr>
        <w:spacing w:afterLines="50" w:after="120"/>
        <w:rPr>
          <w:b/>
          <w:i/>
          <w:iCs/>
          <w:lang w:eastAsia="zh-CN"/>
        </w:rPr>
      </w:pPr>
      <w:r w:rsidRPr="00F84B00">
        <w:rPr>
          <w:b/>
          <w:i/>
          <w:iCs/>
          <w:u w:val="single"/>
          <w:lang w:eastAsia="zh-CN"/>
        </w:rPr>
        <w:t>Co-channel</w:t>
      </w:r>
      <w:r>
        <w:rPr>
          <w:b/>
          <w:i/>
          <w:iCs/>
          <w:lang w:eastAsia="zh-CN"/>
        </w:rPr>
        <w:t xml:space="preserve">: </w:t>
      </w:r>
      <w:r w:rsidRPr="00F84B00">
        <w:rPr>
          <w:b/>
          <w:i/>
          <w:iCs/>
          <w:lang w:eastAsia="zh-CN"/>
        </w:rPr>
        <w:t xml:space="preserve">Candidate considerations for UE-UE CLI model: </w:t>
      </w:r>
    </w:p>
    <w:p w14:paraId="42CCC578" w14:textId="77777777" w:rsidR="00F84B00" w:rsidRPr="00F84B00" w:rsidRDefault="00F84B00" w:rsidP="00F84B00">
      <w:pPr>
        <w:numPr>
          <w:ilvl w:val="0"/>
          <w:numId w:val="24"/>
        </w:numPr>
        <w:spacing w:afterLines="50" w:after="120"/>
        <w:rPr>
          <w:i/>
          <w:iCs/>
          <w:lang w:eastAsia="zh-CN"/>
        </w:rPr>
      </w:pPr>
      <w:r w:rsidRPr="00F84B00">
        <w:rPr>
          <w:i/>
          <w:iCs/>
          <w:lang w:eastAsia="zh-CN"/>
        </w:rPr>
        <w:t>TX model can refer to existing UE requirement in TS38.101-1 and TS38.101-2</w:t>
      </w:r>
    </w:p>
    <w:p w14:paraId="44C0592C" w14:textId="77777777" w:rsidR="00F84B00" w:rsidRPr="00F84B00" w:rsidRDefault="00F84B00" w:rsidP="00F84B00">
      <w:pPr>
        <w:numPr>
          <w:ilvl w:val="1"/>
          <w:numId w:val="24"/>
        </w:numPr>
        <w:spacing w:afterLines="50" w:after="120"/>
        <w:rPr>
          <w:i/>
          <w:iCs/>
          <w:lang w:eastAsia="zh-CN"/>
        </w:rPr>
      </w:pPr>
      <w:r w:rsidRPr="00F84B00">
        <w:rPr>
          <w:i/>
          <w:iCs/>
          <w:lang w:eastAsia="zh-CN"/>
        </w:rPr>
        <w:t>In band emission as starting point</w:t>
      </w:r>
    </w:p>
    <w:p w14:paraId="2229B8E4" w14:textId="77777777" w:rsidR="00F84B00" w:rsidRPr="00F84B00" w:rsidRDefault="00F84B00" w:rsidP="00F84B00">
      <w:pPr>
        <w:numPr>
          <w:ilvl w:val="1"/>
          <w:numId w:val="24"/>
        </w:numPr>
        <w:spacing w:afterLines="50" w:after="120"/>
        <w:rPr>
          <w:i/>
          <w:iCs/>
          <w:highlight w:val="yellow"/>
          <w:lang w:eastAsia="zh-CN"/>
        </w:rPr>
      </w:pPr>
      <w:r w:rsidRPr="00F84B00">
        <w:rPr>
          <w:i/>
          <w:iCs/>
          <w:highlight w:val="yellow"/>
          <w:lang w:eastAsia="zh-CN"/>
        </w:rPr>
        <w:t>FFS is not precluded for other candidates such as ACLR</w:t>
      </w:r>
    </w:p>
    <w:p w14:paraId="35A6B661" w14:textId="77777777" w:rsidR="00F84B00" w:rsidRPr="00F84B00" w:rsidRDefault="00F84B00" w:rsidP="00F84B00">
      <w:pPr>
        <w:numPr>
          <w:ilvl w:val="0"/>
          <w:numId w:val="24"/>
        </w:numPr>
        <w:spacing w:afterLines="50" w:after="120"/>
        <w:rPr>
          <w:i/>
          <w:iCs/>
          <w:lang w:eastAsia="zh-CN"/>
        </w:rPr>
      </w:pPr>
      <w:r w:rsidRPr="00F84B00">
        <w:rPr>
          <w:i/>
          <w:iCs/>
          <w:lang w:eastAsia="zh-CN"/>
        </w:rPr>
        <w:t>RX model can refer to existing UE requirement in TS38.101-1 and TS38.101-2</w:t>
      </w:r>
    </w:p>
    <w:p w14:paraId="57AF7FE1" w14:textId="77777777" w:rsidR="00F84B00" w:rsidRPr="00F84B00" w:rsidRDefault="00F84B00" w:rsidP="00F84B00">
      <w:pPr>
        <w:numPr>
          <w:ilvl w:val="1"/>
          <w:numId w:val="24"/>
        </w:numPr>
        <w:spacing w:afterLines="50" w:after="120"/>
        <w:rPr>
          <w:i/>
          <w:iCs/>
          <w:lang w:eastAsia="zh-CN"/>
        </w:rPr>
      </w:pPr>
      <w:r w:rsidRPr="00F84B00">
        <w:rPr>
          <w:i/>
          <w:iCs/>
          <w:lang w:eastAsia="zh-CN"/>
        </w:rPr>
        <w:t>Maximum input power as threshold based on above specification</w:t>
      </w:r>
    </w:p>
    <w:p w14:paraId="02C9B003" w14:textId="77777777" w:rsidR="00F84B00" w:rsidRPr="00F84B00" w:rsidRDefault="00F84B00" w:rsidP="00F84B00">
      <w:pPr>
        <w:numPr>
          <w:ilvl w:val="1"/>
          <w:numId w:val="24"/>
        </w:numPr>
        <w:spacing w:afterLines="50" w:after="120"/>
        <w:rPr>
          <w:b/>
          <w:i/>
          <w:iCs/>
          <w:highlight w:val="yellow"/>
          <w:lang w:eastAsia="zh-CN"/>
        </w:rPr>
      </w:pPr>
      <w:r w:rsidRPr="00F84B00">
        <w:rPr>
          <w:i/>
          <w:iCs/>
          <w:highlight w:val="yellow"/>
          <w:lang w:eastAsia="zh-CN"/>
        </w:rPr>
        <w:t xml:space="preserve">FFS is not precluded for other candidates such as ACS, ICI, and estimated RX model based on legacy UE. </w:t>
      </w:r>
    </w:p>
    <w:p w14:paraId="43602AA1" w14:textId="0B4F2FE7" w:rsidR="00F84B00" w:rsidRPr="00F84B00" w:rsidRDefault="00F84B00" w:rsidP="00F84B00">
      <w:pPr>
        <w:spacing w:after="120" w:line="256" w:lineRule="auto"/>
        <w:rPr>
          <w:b/>
          <w:i/>
          <w:iCs/>
          <w:lang w:eastAsia="zh-CN"/>
        </w:rPr>
      </w:pPr>
      <w:r w:rsidRPr="00F84B00">
        <w:rPr>
          <w:b/>
          <w:i/>
          <w:iCs/>
          <w:u w:val="single"/>
          <w:lang w:eastAsia="zh-CN"/>
        </w:rPr>
        <w:t>Adjacent channel</w:t>
      </w:r>
      <w:r>
        <w:rPr>
          <w:b/>
          <w:i/>
          <w:iCs/>
          <w:lang w:eastAsia="zh-CN"/>
        </w:rPr>
        <w:t xml:space="preserve">: </w:t>
      </w:r>
      <w:r w:rsidRPr="00F84B00">
        <w:rPr>
          <w:b/>
          <w:i/>
          <w:iCs/>
          <w:lang w:eastAsia="zh-CN"/>
        </w:rPr>
        <w:t>Agreement on feasibility and how to model UE-UE CLI modelling considering unwanted emission and receiver selectivity:</w:t>
      </w:r>
    </w:p>
    <w:p w14:paraId="5B50319C" w14:textId="77777777" w:rsidR="00F84B00" w:rsidRPr="00F84B00" w:rsidRDefault="00F84B00" w:rsidP="00F84B00">
      <w:pPr>
        <w:numPr>
          <w:ilvl w:val="0"/>
          <w:numId w:val="25"/>
        </w:numPr>
        <w:spacing w:afterLines="50" w:after="120"/>
        <w:rPr>
          <w:i/>
          <w:iCs/>
          <w:lang w:eastAsia="zh-CN"/>
        </w:rPr>
      </w:pPr>
      <w:r w:rsidRPr="00F84B00">
        <w:rPr>
          <w:i/>
          <w:iCs/>
          <w:lang w:eastAsia="zh-CN"/>
        </w:rPr>
        <w:t>Model as starting point : UE ACLR based model on TX and UE ACS based model on RX which is the same ACIR model as Rel-16 CLI study.</w:t>
      </w:r>
    </w:p>
    <w:p w14:paraId="2E8C26AF" w14:textId="77777777" w:rsidR="00F84B00" w:rsidRPr="00F84B00" w:rsidRDefault="00F84B00" w:rsidP="00F84B00">
      <w:pPr>
        <w:numPr>
          <w:ilvl w:val="0"/>
          <w:numId w:val="25"/>
        </w:numPr>
        <w:spacing w:afterLines="50" w:after="120"/>
        <w:rPr>
          <w:i/>
          <w:iCs/>
          <w:highlight w:val="yellow"/>
          <w:lang w:eastAsia="zh-CN"/>
        </w:rPr>
      </w:pPr>
      <w:r w:rsidRPr="00F84B00">
        <w:rPr>
          <w:i/>
          <w:iCs/>
          <w:highlight w:val="yellow"/>
          <w:lang w:eastAsia="zh-CN"/>
        </w:rPr>
        <w:t>FFS on below model</w:t>
      </w:r>
    </w:p>
    <w:p w14:paraId="51B4C876" w14:textId="77777777" w:rsidR="00F84B00" w:rsidRPr="00F84B00" w:rsidRDefault="00F84B00" w:rsidP="00F84B00">
      <w:pPr>
        <w:numPr>
          <w:ilvl w:val="1"/>
          <w:numId w:val="25"/>
        </w:numPr>
        <w:spacing w:afterLines="50" w:after="120"/>
        <w:rPr>
          <w:i/>
          <w:iCs/>
          <w:highlight w:val="yellow"/>
          <w:lang w:eastAsia="zh-CN"/>
        </w:rPr>
      </w:pPr>
      <w:r w:rsidRPr="00F84B00">
        <w:rPr>
          <w:i/>
          <w:iCs/>
          <w:highlight w:val="yellow"/>
          <w:lang w:eastAsia="zh-CN"/>
        </w:rPr>
        <w:t>UE ACLR model with 2step size(FR1 example: ACLR1/2=28/33dB) on TX</w:t>
      </w:r>
    </w:p>
    <w:p w14:paraId="1F7B3C3F" w14:textId="77777777" w:rsidR="00F84B00" w:rsidRPr="00F84B00" w:rsidRDefault="00F84B00" w:rsidP="00F84B00">
      <w:pPr>
        <w:numPr>
          <w:ilvl w:val="1"/>
          <w:numId w:val="25"/>
        </w:numPr>
        <w:rPr>
          <w:i/>
          <w:iCs/>
          <w:highlight w:val="yellow"/>
          <w:lang w:eastAsia="zh-CN"/>
        </w:rPr>
      </w:pPr>
      <w:r w:rsidRPr="00F84B00">
        <w:rPr>
          <w:i/>
          <w:iCs/>
          <w:highlight w:val="yellow"/>
          <w:lang w:eastAsia="zh-CN"/>
        </w:rPr>
        <w:t>UE ACS based model on RX if blocker is smaller than maximum input level of UE, and additional SNR degradation at the victim receiver due to receiver gain backoff</w:t>
      </w:r>
    </w:p>
    <w:p w14:paraId="5AB87E4F" w14:textId="55C30D82" w:rsidR="007929C9" w:rsidRPr="00F84B00" w:rsidRDefault="00F84B00" w:rsidP="00F84B00">
      <w:pPr>
        <w:jc w:val="both"/>
        <w:rPr>
          <w:bCs/>
          <w:i/>
          <w:iCs/>
          <w:lang w:eastAsia="zh-TW"/>
        </w:rPr>
      </w:pPr>
      <w:r w:rsidRPr="00F84B00">
        <w:rPr>
          <w:i/>
          <w:iCs/>
          <w:highlight w:val="yellow"/>
          <w:lang w:eastAsia="zh-CN"/>
        </w:rPr>
        <w:t>FFS on how the per-sub-band/RB aspect is characterised. Other aspect is also not precluded</w:t>
      </w:r>
    </w:p>
    <w:p w14:paraId="71F9ADF0" w14:textId="02FC0C8E" w:rsidR="00F567D7" w:rsidRDefault="00F84B00" w:rsidP="007929C9">
      <w:pPr>
        <w:pStyle w:val="Heading1"/>
        <w:numPr>
          <w:ilvl w:val="0"/>
          <w:numId w:val="1"/>
        </w:numPr>
        <w:rPr>
          <w:rFonts w:asciiTheme="minorHAnsi" w:hAnsiTheme="minorHAnsi" w:cstheme="minorHAnsi"/>
          <w:sz w:val="32"/>
          <w:szCs w:val="18"/>
          <w:lang w:eastAsia="zh-TW"/>
        </w:rPr>
      </w:pPr>
      <w:r>
        <w:rPr>
          <w:rFonts w:asciiTheme="minorHAnsi" w:hAnsiTheme="minorHAnsi" w:cstheme="minorHAnsi"/>
          <w:sz w:val="32"/>
          <w:szCs w:val="18"/>
          <w:lang w:eastAsia="zh-TW"/>
        </w:rPr>
        <w:t>UE-UE CLI co-channel further analysis</w:t>
      </w:r>
    </w:p>
    <w:p w14:paraId="2A2A2FEF" w14:textId="67984AB1" w:rsidR="00246636" w:rsidRDefault="00FB65EB" w:rsidP="00F84B00">
      <w:pPr>
        <w:pStyle w:val="Heading2"/>
        <w:snapToGrid w:val="0"/>
        <w:rPr>
          <w:rFonts w:asciiTheme="minorHAnsi" w:hAnsiTheme="minorHAnsi"/>
          <w:sz w:val="28"/>
          <w:szCs w:val="18"/>
          <w:lang w:eastAsia="zh-TW"/>
        </w:rPr>
      </w:pPr>
      <w:r>
        <w:rPr>
          <w:rFonts w:asciiTheme="minorHAnsi" w:hAnsiTheme="minorHAnsi"/>
          <w:sz w:val="28"/>
          <w:szCs w:val="18"/>
          <w:lang w:eastAsia="zh-TW"/>
        </w:rPr>
        <w:t>3.1</w:t>
      </w:r>
      <w:r>
        <w:rPr>
          <w:rFonts w:asciiTheme="minorHAnsi" w:hAnsiTheme="minorHAnsi"/>
          <w:sz w:val="28"/>
          <w:szCs w:val="18"/>
          <w:lang w:eastAsia="zh-TW"/>
        </w:rPr>
        <w:tab/>
      </w:r>
      <w:r w:rsidR="00F84B00">
        <w:rPr>
          <w:rFonts w:asciiTheme="minorHAnsi" w:hAnsiTheme="minorHAnsi"/>
          <w:sz w:val="28"/>
          <w:szCs w:val="18"/>
          <w:lang w:eastAsia="zh-TW"/>
        </w:rPr>
        <w:t>Consideration of UE ACLR and UE ACS requirements</w:t>
      </w:r>
    </w:p>
    <w:p w14:paraId="58A1F7C2" w14:textId="7CA5F21C" w:rsidR="00F84B00" w:rsidRDefault="00F84B00" w:rsidP="00F84B00">
      <w:pPr>
        <w:rPr>
          <w:lang w:eastAsia="zh-TW"/>
        </w:rPr>
      </w:pPr>
      <w:r>
        <w:rPr>
          <w:lang w:eastAsia="zh-TW"/>
        </w:rPr>
        <w:t>UE ACLR/ACS requirements consideration for co-channel modelling was proposed on the basis that the UE may be configured with a dedicated channel bandwidth in uplink and downlink direction that is smaller than the Base Station (system) bandwidth used, and therefore</w:t>
      </w:r>
      <w:r w:rsidR="00F663C6">
        <w:rPr>
          <w:lang w:eastAsia="zh-TW"/>
        </w:rPr>
        <w:t xml:space="preserve"> the UE channel bandwidth</w:t>
      </w:r>
      <w:r>
        <w:rPr>
          <w:lang w:eastAsia="zh-TW"/>
        </w:rPr>
        <w:t xml:space="preserve"> may be configured to be equal to the “sub-band” that the UE is operating. </w:t>
      </w:r>
    </w:p>
    <w:p w14:paraId="30E4E0A9" w14:textId="2EF223EC" w:rsidR="00F84B00" w:rsidRDefault="00F84B00" w:rsidP="00F84B00">
      <w:pPr>
        <w:rPr>
          <w:lang w:eastAsia="zh-TW"/>
        </w:rPr>
      </w:pPr>
      <w:r>
        <w:rPr>
          <w:lang w:eastAsia="zh-TW"/>
        </w:rPr>
        <w:t>There are the following drawbacks with this approach:</w:t>
      </w:r>
    </w:p>
    <w:p w14:paraId="1A58CF8F" w14:textId="3B9AFE76" w:rsidR="00F84B00" w:rsidRDefault="00F84B00" w:rsidP="00753219">
      <w:pPr>
        <w:pStyle w:val="ListParagraph"/>
        <w:numPr>
          <w:ilvl w:val="0"/>
          <w:numId w:val="26"/>
        </w:numPr>
        <w:rPr>
          <w:lang w:eastAsia="zh-TW"/>
        </w:rPr>
      </w:pPr>
      <w:r>
        <w:rPr>
          <w:lang w:eastAsia="zh-TW"/>
        </w:rPr>
        <w:t>Configuring a smaller UE DL channel bandwidth for the UE leads to scenarios whereby the UE may not be able to receive common channels such as SSB within its allocated channel bandwidth. This may lead to increased overhead being required within the system bandwidth (e.g. duplicated common channels) to avoid the need for the UE to retune (BWP-switching) to another part of the “system” bandwidth for common channel monitoring.</w:t>
      </w:r>
    </w:p>
    <w:p w14:paraId="0C070F17" w14:textId="08DEA11C" w:rsidR="00F84B00" w:rsidRDefault="00F84B00" w:rsidP="00753219">
      <w:pPr>
        <w:pStyle w:val="ListParagraph"/>
        <w:numPr>
          <w:ilvl w:val="0"/>
          <w:numId w:val="26"/>
        </w:numPr>
        <w:rPr>
          <w:lang w:eastAsia="zh-TW"/>
        </w:rPr>
      </w:pPr>
      <w:r>
        <w:rPr>
          <w:lang w:eastAsia="zh-TW"/>
        </w:rPr>
        <w:lastRenderedPageBreak/>
        <w:t xml:space="preserve">In order to overcome the above issue, one </w:t>
      </w:r>
      <w:r w:rsidR="00C034EF">
        <w:rPr>
          <w:lang w:eastAsia="zh-TW"/>
        </w:rPr>
        <w:t>may ask why not</w:t>
      </w:r>
      <w:r>
        <w:rPr>
          <w:lang w:eastAsia="zh-TW"/>
        </w:rPr>
        <w:t xml:space="preserve"> consider </w:t>
      </w:r>
      <w:r w:rsidR="00C034EF">
        <w:rPr>
          <w:lang w:eastAsia="zh-TW"/>
        </w:rPr>
        <w:t>“</w:t>
      </w:r>
      <w:r>
        <w:rPr>
          <w:lang w:eastAsia="zh-TW"/>
        </w:rPr>
        <w:t>asymmetric</w:t>
      </w:r>
      <w:r w:rsidR="00C034EF">
        <w:rPr>
          <w:lang w:eastAsia="zh-TW"/>
        </w:rPr>
        <w:t>”</w:t>
      </w:r>
      <w:r>
        <w:rPr>
          <w:lang w:eastAsia="zh-TW"/>
        </w:rPr>
        <w:t xml:space="preserve"> channel bandwidth configurations, e.g. a wide DL UE channel bandwidth and a narrower UL channel bandwidth</w:t>
      </w:r>
      <w:r w:rsidR="00C034EF">
        <w:rPr>
          <w:lang w:eastAsia="zh-TW"/>
        </w:rPr>
        <w:t>, as defined in TS38.101-1 clause 5</w:t>
      </w:r>
      <w:r>
        <w:rPr>
          <w:lang w:eastAsia="zh-TW"/>
        </w:rPr>
        <w:t>. However, such configurations are only defined today for a relatively small set of frequency bands (mostly FDD), and anyway these configurations are “optional” for the UE to support and may not be supported by legacy UEs.</w:t>
      </w:r>
      <w:r w:rsidR="00C034EF">
        <w:rPr>
          <w:lang w:eastAsia="zh-TW"/>
        </w:rPr>
        <w:t xml:space="preserve"> Therefore</w:t>
      </w:r>
      <w:r w:rsidR="00753219">
        <w:rPr>
          <w:lang w:eastAsia="zh-TW"/>
        </w:rPr>
        <w:t>,</w:t>
      </w:r>
      <w:r w:rsidR="00C034EF">
        <w:rPr>
          <w:lang w:eastAsia="zh-TW"/>
        </w:rPr>
        <w:t xml:space="preserve"> such configurations cannot be assumed for modelling legacy UE impacts.</w:t>
      </w:r>
    </w:p>
    <w:p w14:paraId="5FD75349" w14:textId="5DF298EA" w:rsidR="00753219" w:rsidRDefault="00753219" w:rsidP="00753219">
      <w:pPr>
        <w:pStyle w:val="ListParagraph"/>
        <w:numPr>
          <w:ilvl w:val="0"/>
          <w:numId w:val="26"/>
        </w:numPr>
        <w:rPr>
          <w:lang w:eastAsia="zh-TW"/>
        </w:rPr>
      </w:pPr>
      <w:r>
        <w:rPr>
          <w:lang w:eastAsia="zh-TW"/>
        </w:rPr>
        <w:t>Intra-band (non-contiguous) CA in DL could be considered to overcome the above issue, but intra-band CA combinations are optional for the UE, and band specific, so it cannot be assumed to be supported for legacy UE modelling.</w:t>
      </w:r>
    </w:p>
    <w:p w14:paraId="17C3E8C2" w14:textId="02463506" w:rsidR="00753219" w:rsidRDefault="00753219" w:rsidP="00753219">
      <w:pPr>
        <w:rPr>
          <w:b/>
          <w:bCs/>
          <w:lang w:eastAsia="zh-TW"/>
        </w:rPr>
      </w:pPr>
      <w:r w:rsidRPr="005A5898">
        <w:rPr>
          <w:b/>
          <w:bCs/>
          <w:u w:val="single"/>
          <w:lang w:eastAsia="zh-TW"/>
        </w:rPr>
        <w:t>Observation 1</w:t>
      </w:r>
      <w:r w:rsidRPr="00753219">
        <w:rPr>
          <w:b/>
          <w:bCs/>
          <w:lang w:eastAsia="zh-TW"/>
        </w:rPr>
        <w:t xml:space="preserve">: Direct application of </w:t>
      </w:r>
      <w:r w:rsidR="00251432">
        <w:rPr>
          <w:b/>
          <w:bCs/>
          <w:lang w:eastAsia="zh-TW"/>
        </w:rPr>
        <w:t xml:space="preserve">UE </w:t>
      </w:r>
      <w:r w:rsidRPr="00753219">
        <w:rPr>
          <w:b/>
          <w:bCs/>
          <w:lang w:eastAsia="zh-TW"/>
        </w:rPr>
        <w:t>ACLR</w:t>
      </w:r>
      <w:r w:rsidR="00251432">
        <w:rPr>
          <w:b/>
          <w:bCs/>
          <w:lang w:eastAsia="zh-TW"/>
        </w:rPr>
        <w:t>/</w:t>
      </w:r>
      <w:r w:rsidRPr="00753219">
        <w:rPr>
          <w:b/>
          <w:bCs/>
          <w:lang w:eastAsia="zh-TW"/>
        </w:rPr>
        <w:t>ACS requirements are not suitable for co-channel modelling of legacy UE impacts without adding additional system impacts</w:t>
      </w:r>
      <w:r w:rsidR="005A5898">
        <w:rPr>
          <w:b/>
          <w:bCs/>
          <w:lang w:eastAsia="zh-TW"/>
        </w:rPr>
        <w:t>/constraints</w:t>
      </w:r>
      <w:r w:rsidRPr="00753219">
        <w:rPr>
          <w:b/>
          <w:bCs/>
          <w:lang w:eastAsia="zh-TW"/>
        </w:rPr>
        <w:t xml:space="preserve"> that would need to be </w:t>
      </w:r>
      <w:r w:rsidR="005A5898">
        <w:rPr>
          <w:b/>
          <w:bCs/>
          <w:lang w:eastAsia="zh-TW"/>
        </w:rPr>
        <w:t>included in any performance modelling, such as defining one cell per sub-band</w:t>
      </w:r>
      <w:r w:rsidRPr="00753219">
        <w:rPr>
          <w:b/>
          <w:bCs/>
          <w:lang w:eastAsia="zh-TW"/>
        </w:rPr>
        <w:t>.</w:t>
      </w:r>
    </w:p>
    <w:p w14:paraId="6B1B7A5E" w14:textId="4B95B342" w:rsidR="007958B8" w:rsidRPr="00753219" w:rsidRDefault="007958B8" w:rsidP="00753219">
      <w:pPr>
        <w:rPr>
          <w:b/>
          <w:bCs/>
          <w:lang w:eastAsia="zh-TW"/>
        </w:rPr>
      </w:pPr>
      <w:r w:rsidRPr="007958B8">
        <w:rPr>
          <w:b/>
          <w:bCs/>
          <w:u w:val="single"/>
          <w:lang w:eastAsia="zh-TW"/>
        </w:rPr>
        <w:t>Proposal</w:t>
      </w:r>
      <w:r>
        <w:rPr>
          <w:b/>
          <w:bCs/>
          <w:u w:val="single"/>
          <w:lang w:eastAsia="zh-TW"/>
        </w:rPr>
        <w:t xml:space="preserve"> 1</w:t>
      </w:r>
      <w:r>
        <w:rPr>
          <w:b/>
          <w:bCs/>
          <w:lang w:eastAsia="zh-TW"/>
        </w:rPr>
        <w:t xml:space="preserve">: Do not directly use </w:t>
      </w:r>
      <w:r w:rsidR="00251432">
        <w:rPr>
          <w:b/>
          <w:bCs/>
          <w:lang w:eastAsia="zh-TW"/>
        </w:rPr>
        <w:t xml:space="preserve">UE </w:t>
      </w:r>
      <w:r>
        <w:rPr>
          <w:b/>
          <w:bCs/>
          <w:lang w:eastAsia="zh-TW"/>
        </w:rPr>
        <w:t>ACLR</w:t>
      </w:r>
      <w:r w:rsidR="00251432">
        <w:rPr>
          <w:b/>
          <w:bCs/>
          <w:lang w:eastAsia="zh-TW"/>
        </w:rPr>
        <w:t>/</w:t>
      </w:r>
      <w:r>
        <w:rPr>
          <w:b/>
          <w:bCs/>
          <w:lang w:eastAsia="zh-TW"/>
        </w:rPr>
        <w:t>ACS</w:t>
      </w:r>
      <w:r w:rsidR="00251432">
        <w:rPr>
          <w:b/>
          <w:bCs/>
          <w:lang w:eastAsia="zh-TW"/>
        </w:rPr>
        <w:t xml:space="preserve"> requirements</w:t>
      </w:r>
      <w:r>
        <w:rPr>
          <w:b/>
          <w:bCs/>
          <w:lang w:eastAsia="zh-TW"/>
        </w:rPr>
        <w:t xml:space="preserve"> to model the </w:t>
      </w:r>
      <w:r w:rsidR="00251432">
        <w:rPr>
          <w:b/>
          <w:bCs/>
          <w:lang w:eastAsia="zh-TW"/>
        </w:rPr>
        <w:t xml:space="preserve">UE-UE CLI in the </w:t>
      </w:r>
      <w:r>
        <w:rPr>
          <w:b/>
          <w:bCs/>
          <w:lang w:eastAsia="zh-TW"/>
        </w:rPr>
        <w:t>co-channel case.</w:t>
      </w:r>
    </w:p>
    <w:p w14:paraId="515F5CC1" w14:textId="64FD5EDC" w:rsidR="00E736EE" w:rsidRDefault="00E736EE" w:rsidP="00E736EE">
      <w:pPr>
        <w:pStyle w:val="Heading2"/>
        <w:snapToGrid w:val="0"/>
        <w:rPr>
          <w:rFonts w:asciiTheme="minorHAnsi" w:hAnsiTheme="minorHAnsi"/>
          <w:sz w:val="28"/>
          <w:szCs w:val="18"/>
          <w:lang w:eastAsia="zh-TW"/>
        </w:rPr>
      </w:pPr>
      <w:r>
        <w:rPr>
          <w:rFonts w:asciiTheme="minorHAnsi" w:hAnsiTheme="minorHAnsi"/>
          <w:sz w:val="28"/>
          <w:szCs w:val="18"/>
          <w:lang w:eastAsia="zh-TW"/>
        </w:rPr>
        <w:t>3.2</w:t>
      </w:r>
      <w:r>
        <w:rPr>
          <w:rFonts w:asciiTheme="minorHAnsi" w:hAnsiTheme="minorHAnsi"/>
          <w:sz w:val="28"/>
          <w:szCs w:val="18"/>
          <w:lang w:eastAsia="zh-TW"/>
        </w:rPr>
        <w:tab/>
        <w:t>Rejection at FFT of UL sub-band interference at the UE receiver</w:t>
      </w:r>
    </w:p>
    <w:p w14:paraId="3666F19E" w14:textId="0E3E3A6F" w:rsidR="00E736EE" w:rsidRDefault="00E736EE" w:rsidP="00786794">
      <w:pPr>
        <w:spacing w:after="0"/>
        <w:rPr>
          <w:bCs/>
        </w:rPr>
      </w:pPr>
      <w:r>
        <w:rPr>
          <w:bCs/>
        </w:rPr>
        <w:t xml:space="preserve">At the FFT stage for an Rx channel at the UE receiver, then </w:t>
      </w:r>
      <w:r w:rsidR="00191CDF">
        <w:rPr>
          <w:bCs/>
        </w:rPr>
        <w:t>we consider the case where the UE is configured to</w:t>
      </w:r>
      <w:r>
        <w:rPr>
          <w:bCs/>
        </w:rPr>
        <w:t xml:space="preserve"> receive a signal on a set of </w:t>
      </w:r>
      <w:r w:rsidR="00191CDF">
        <w:rPr>
          <w:bCs/>
        </w:rPr>
        <w:t xml:space="preserve">DL </w:t>
      </w:r>
      <w:r>
        <w:rPr>
          <w:bCs/>
        </w:rPr>
        <w:t xml:space="preserve">subcarriers </w:t>
      </w:r>
      <w:r w:rsidR="00191CDF">
        <w:rPr>
          <w:bCs/>
        </w:rPr>
        <w:t xml:space="preserve">(DL sub-band) </w:t>
      </w:r>
      <w:r>
        <w:rPr>
          <w:bCs/>
        </w:rPr>
        <w:t xml:space="preserve">in the presence of an UL interferer received in another set of orthogonal </w:t>
      </w:r>
      <w:r w:rsidR="00191CDF">
        <w:rPr>
          <w:bCs/>
        </w:rPr>
        <w:t xml:space="preserve">UL </w:t>
      </w:r>
      <w:r>
        <w:rPr>
          <w:bCs/>
        </w:rPr>
        <w:t>subcarriers</w:t>
      </w:r>
      <w:r w:rsidR="00191CDF">
        <w:rPr>
          <w:bCs/>
        </w:rPr>
        <w:t xml:space="preserve"> (UL sub-band)</w:t>
      </w:r>
      <w:r>
        <w:rPr>
          <w:bCs/>
        </w:rPr>
        <w:t>. If those 2 sets of subcarriers are mutually orthogonal, there may be no interference from the UL interferer to the DL received signal</w:t>
      </w:r>
      <w:r w:rsidR="00191CDF">
        <w:rPr>
          <w:bCs/>
        </w:rPr>
        <w:t xml:space="preserve"> post-FFT</w:t>
      </w:r>
      <w:r>
        <w:rPr>
          <w:bCs/>
        </w:rPr>
        <w:t xml:space="preserve">. However, in practice, due to the nature of the OFDM system, timing and frequency offsets will </w:t>
      </w:r>
      <w:r w:rsidR="00191CDF">
        <w:rPr>
          <w:bCs/>
        </w:rPr>
        <w:t xml:space="preserve">likely </w:t>
      </w:r>
      <w:r>
        <w:rPr>
          <w:bCs/>
        </w:rPr>
        <w:t>be present</w:t>
      </w:r>
      <w:r w:rsidR="00191CDF">
        <w:rPr>
          <w:bCs/>
        </w:rPr>
        <w:t xml:space="preserve"> – caused by </w:t>
      </w:r>
      <w:proofErr w:type="spellStart"/>
      <w:r w:rsidR="00191CDF">
        <w:rPr>
          <w:bCs/>
        </w:rPr>
        <w:t>e,g</w:t>
      </w:r>
      <w:proofErr w:type="spellEnd"/>
      <w:r w:rsidR="00191CDF">
        <w:rPr>
          <w:bCs/>
        </w:rPr>
        <w:t xml:space="preserve"> timing advance, doppler effects or UE frequency error</w:t>
      </w:r>
      <w:r>
        <w:rPr>
          <w:bCs/>
        </w:rPr>
        <w:t xml:space="preserve">. </w:t>
      </w:r>
    </w:p>
    <w:p w14:paraId="67FA4748" w14:textId="77777777" w:rsidR="00E736EE" w:rsidRDefault="00E736EE" w:rsidP="00786794">
      <w:pPr>
        <w:spacing w:after="0"/>
        <w:rPr>
          <w:bCs/>
        </w:rPr>
      </w:pPr>
    </w:p>
    <w:p w14:paraId="6F02819A" w14:textId="4CDA325F" w:rsidR="00191CDF" w:rsidRDefault="00E736EE" w:rsidP="00786794">
      <w:pPr>
        <w:spacing w:after="0"/>
        <w:rPr>
          <w:bCs/>
        </w:rPr>
      </w:pPr>
      <w:r>
        <w:rPr>
          <w:bCs/>
        </w:rPr>
        <w:t xml:space="preserve">We updated slightly the analysis provided in [3] at RAN4#104-e and provide some more detail. </w:t>
      </w:r>
      <w:r w:rsidR="002D653D" w:rsidRPr="00786794">
        <w:rPr>
          <w:bCs/>
        </w:rPr>
        <w:t xml:space="preserve">Figure 2 shows an example of the impact of a </w:t>
      </w:r>
      <w:r w:rsidR="00191CDF">
        <w:rPr>
          <w:bCs/>
        </w:rPr>
        <w:t>24</w:t>
      </w:r>
      <w:r w:rsidR="002D653D" w:rsidRPr="00786794">
        <w:rPr>
          <w:bCs/>
        </w:rPr>
        <w:t xml:space="preserve"> RB UL transmission bandwidth on the level of interference perceived by a UE attempting to receive RBs adjacent to this</w:t>
      </w:r>
      <w:r w:rsidR="006A266E" w:rsidRPr="00786794">
        <w:rPr>
          <w:bCs/>
        </w:rPr>
        <w:t xml:space="preserve"> with small and worst-case timing offsets</w:t>
      </w:r>
      <w:r w:rsidR="002D653D" w:rsidRPr="00786794">
        <w:rPr>
          <w:bCs/>
        </w:rPr>
        <w:t>.</w:t>
      </w:r>
      <w:r w:rsidR="007B01EC" w:rsidRPr="00786794">
        <w:rPr>
          <w:bCs/>
        </w:rPr>
        <w:t xml:space="preserve"> </w:t>
      </w:r>
      <w:r w:rsidR="003005BE" w:rsidRPr="00786794">
        <w:rPr>
          <w:bCs/>
        </w:rPr>
        <w:t>Larger interference close to the edge RBs of the UL signal can be observed with larger timing offset</w:t>
      </w:r>
      <w:r w:rsidR="00191CDF">
        <w:rPr>
          <w:bCs/>
        </w:rPr>
        <w:t xml:space="preserve">. The level of Rx interference is observed to be larger than the IBE minimum requirement in the first adjacent RB to the UL signal, and on average over an equivalent DL sub-band is 30dB lower than the UL Tx signal with 1 RB </w:t>
      </w:r>
      <w:proofErr w:type="spellStart"/>
      <w:r w:rsidR="00191CDF">
        <w:rPr>
          <w:bCs/>
        </w:rPr>
        <w:t>guardband</w:t>
      </w:r>
      <w:proofErr w:type="spellEnd"/>
      <w:r w:rsidR="003005BE" w:rsidRPr="00786794">
        <w:rPr>
          <w:bCs/>
        </w:rPr>
        <w:t xml:space="preserve">. </w:t>
      </w:r>
      <w:r w:rsidR="00191CDF">
        <w:rPr>
          <w:bCs/>
        </w:rPr>
        <w:t xml:space="preserve">After the first adjacent sub-band, the interference drops even further below </w:t>
      </w:r>
      <w:proofErr w:type="spellStart"/>
      <w:r w:rsidR="00191CDF">
        <w:rPr>
          <w:bCs/>
        </w:rPr>
        <w:t>below</w:t>
      </w:r>
      <w:proofErr w:type="spellEnd"/>
      <w:r w:rsidR="00191CDF">
        <w:rPr>
          <w:bCs/>
        </w:rPr>
        <w:t xml:space="preserve"> the IBE mask and does not dominate.</w:t>
      </w:r>
    </w:p>
    <w:p w14:paraId="0F663E14" w14:textId="77777777" w:rsidR="00191CDF" w:rsidRDefault="00191CDF" w:rsidP="00786794">
      <w:pPr>
        <w:spacing w:after="0"/>
        <w:rPr>
          <w:bCs/>
        </w:rPr>
      </w:pPr>
    </w:p>
    <w:p w14:paraId="71ADCBBC" w14:textId="4E32D6C6" w:rsidR="00392132" w:rsidRPr="00786794" w:rsidRDefault="006561B0" w:rsidP="00786794">
      <w:pPr>
        <w:spacing w:after="0"/>
        <w:rPr>
          <w:bCs/>
        </w:rPr>
      </w:pPr>
      <w:r w:rsidRPr="00786794">
        <w:rPr>
          <w:bCs/>
        </w:rPr>
        <w:t>W</w:t>
      </w:r>
      <w:r w:rsidR="000B296C" w:rsidRPr="00786794">
        <w:rPr>
          <w:bCs/>
        </w:rPr>
        <w:t xml:space="preserve">e </w:t>
      </w:r>
      <w:r w:rsidR="003005BE" w:rsidRPr="00786794">
        <w:rPr>
          <w:bCs/>
        </w:rPr>
        <w:t xml:space="preserve">also </w:t>
      </w:r>
      <w:r w:rsidR="000B296C" w:rsidRPr="00786794">
        <w:rPr>
          <w:bCs/>
        </w:rPr>
        <w:t>observed that the</w:t>
      </w:r>
      <w:r w:rsidR="007B01EC" w:rsidRPr="00786794">
        <w:rPr>
          <w:bCs/>
        </w:rPr>
        <w:t xml:space="preserve"> additional impact of increased frequency offset</w:t>
      </w:r>
      <w:r w:rsidR="006A266E" w:rsidRPr="00786794">
        <w:rPr>
          <w:bCs/>
        </w:rPr>
        <w:t xml:space="preserve"> </w:t>
      </w:r>
      <w:r w:rsidR="007B01EC" w:rsidRPr="00786794">
        <w:rPr>
          <w:bCs/>
        </w:rPr>
        <w:t>is small compared to the timing offset</w:t>
      </w:r>
      <w:r w:rsidR="006A266E" w:rsidRPr="00786794">
        <w:rPr>
          <w:bCs/>
        </w:rPr>
        <w:t xml:space="preserve"> impact</w:t>
      </w:r>
      <w:r w:rsidR="00B93BF5" w:rsidRPr="00786794">
        <w:rPr>
          <w:bCs/>
        </w:rPr>
        <w:t>, especially so with large timing offset</w:t>
      </w:r>
      <w:r w:rsidR="007B01EC" w:rsidRPr="00786794">
        <w:rPr>
          <w:bCs/>
        </w:rPr>
        <w:t>.</w:t>
      </w:r>
      <w:r w:rsidRPr="00786794">
        <w:rPr>
          <w:bCs/>
        </w:rPr>
        <w:t xml:space="preserve"> With very small timing offsets some differences close to the edge of the UL signal can be observed. </w:t>
      </w:r>
    </w:p>
    <w:p w14:paraId="42FF84CF" w14:textId="5F96D92E" w:rsidR="007B01EC" w:rsidRDefault="007B01EC" w:rsidP="00845F4A">
      <w:pPr>
        <w:spacing w:after="0"/>
        <w:rPr>
          <w:bCs/>
        </w:rPr>
      </w:pPr>
    </w:p>
    <w:p w14:paraId="3916ADB3" w14:textId="5013971A" w:rsidR="007B01EC" w:rsidRPr="00D47A61" w:rsidRDefault="007B01EC" w:rsidP="00D47A61">
      <w:pPr>
        <w:spacing w:after="0"/>
        <w:jc w:val="center"/>
        <w:rPr>
          <w:b/>
        </w:rPr>
      </w:pPr>
      <w:r w:rsidRPr="00D47A61">
        <w:rPr>
          <w:b/>
        </w:rPr>
        <w:t>Figure 2</w:t>
      </w:r>
      <w:r w:rsidR="00064D00">
        <w:rPr>
          <w:b/>
        </w:rPr>
        <w:t>a</w:t>
      </w:r>
      <w:r w:rsidRPr="00D47A61">
        <w:rPr>
          <w:b/>
        </w:rPr>
        <w:t xml:space="preserve">: ICI impact </w:t>
      </w:r>
      <w:r w:rsidR="00064D00">
        <w:rPr>
          <w:b/>
        </w:rPr>
        <w:t xml:space="preserve">of </w:t>
      </w:r>
      <w:r w:rsidR="00407E93">
        <w:rPr>
          <w:b/>
        </w:rPr>
        <w:t>24</w:t>
      </w:r>
      <w:r w:rsidR="00064D00">
        <w:rPr>
          <w:b/>
        </w:rPr>
        <w:t xml:space="preserve"> RB UL, 30kHz SCS with </w:t>
      </w:r>
      <w:r w:rsidR="00064D00" w:rsidRPr="00064D00">
        <w:rPr>
          <w:b/>
          <w:u w:val="single"/>
        </w:rPr>
        <w:t>2000</w:t>
      </w:r>
      <w:r w:rsidR="00064D00">
        <w:rPr>
          <w:b/>
        </w:rPr>
        <w:t xml:space="preserve"> samples timing offset, </w:t>
      </w:r>
      <w:r w:rsidR="00064D00" w:rsidRPr="00B93BF5">
        <w:rPr>
          <w:b/>
          <w:u w:val="single"/>
        </w:rPr>
        <w:t>500Hz</w:t>
      </w:r>
      <w:r w:rsidR="00064D00">
        <w:rPr>
          <w:b/>
        </w:rPr>
        <w:t xml:space="preserve"> frequency offset</w:t>
      </w:r>
    </w:p>
    <w:p w14:paraId="5BBCAE09" w14:textId="77777777" w:rsidR="00064D00" w:rsidRDefault="00064D00" w:rsidP="00D47A61">
      <w:pPr>
        <w:spacing w:after="0"/>
        <w:jc w:val="center"/>
        <w:rPr>
          <w:bCs/>
        </w:rPr>
      </w:pPr>
      <w:r>
        <w:rPr>
          <w:bCs/>
          <w:noProof/>
        </w:rPr>
        <w:drawing>
          <wp:inline distT="0" distB="0" distL="0" distR="0" wp14:anchorId="37EDFA1F" wp14:editId="3BA4A283">
            <wp:extent cx="4055900" cy="21259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1075" cy="2165384"/>
                    </a:xfrm>
                    <a:prstGeom prst="rect">
                      <a:avLst/>
                    </a:prstGeom>
                    <a:noFill/>
                    <a:ln>
                      <a:noFill/>
                    </a:ln>
                  </pic:spPr>
                </pic:pic>
              </a:graphicData>
            </a:graphic>
          </wp:inline>
        </w:drawing>
      </w:r>
    </w:p>
    <w:p w14:paraId="2030B49C" w14:textId="7E058B3A" w:rsidR="00B93BF5" w:rsidRPr="00D47A61" w:rsidRDefault="00B93BF5" w:rsidP="00B93BF5">
      <w:pPr>
        <w:spacing w:after="0"/>
        <w:jc w:val="center"/>
        <w:rPr>
          <w:b/>
        </w:rPr>
      </w:pPr>
      <w:r w:rsidRPr="00D47A61">
        <w:rPr>
          <w:b/>
        </w:rPr>
        <w:t>Figure 2</w:t>
      </w:r>
      <w:r>
        <w:rPr>
          <w:b/>
        </w:rPr>
        <w:t>b</w:t>
      </w:r>
      <w:r w:rsidRPr="00D47A61">
        <w:rPr>
          <w:b/>
        </w:rPr>
        <w:t xml:space="preserve">: ICI impact </w:t>
      </w:r>
      <w:r>
        <w:rPr>
          <w:b/>
        </w:rPr>
        <w:t xml:space="preserve">of </w:t>
      </w:r>
      <w:r w:rsidR="00407E93">
        <w:rPr>
          <w:b/>
        </w:rPr>
        <w:t>24</w:t>
      </w:r>
      <w:r>
        <w:rPr>
          <w:b/>
        </w:rPr>
        <w:t xml:space="preserve"> RB UL, 30kHz SCS with </w:t>
      </w:r>
      <w:r w:rsidRPr="00064D00">
        <w:rPr>
          <w:b/>
          <w:u w:val="single"/>
        </w:rPr>
        <w:t>2000</w:t>
      </w:r>
      <w:r>
        <w:rPr>
          <w:b/>
        </w:rPr>
        <w:t xml:space="preserve"> samples timing offset, </w:t>
      </w:r>
      <w:r w:rsidRPr="00B93BF5">
        <w:rPr>
          <w:b/>
          <w:u w:val="single"/>
        </w:rPr>
        <w:t>5</w:t>
      </w:r>
      <w:r>
        <w:rPr>
          <w:b/>
          <w:u w:val="single"/>
        </w:rPr>
        <w:t>k</w:t>
      </w:r>
      <w:r w:rsidRPr="00B93BF5">
        <w:rPr>
          <w:b/>
          <w:u w:val="single"/>
        </w:rPr>
        <w:t>Hz</w:t>
      </w:r>
      <w:r>
        <w:rPr>
          <w:b/>
        </w:rPr>
        <w:t xml:space="preserve"> frequency offset</w:t>
      </w:r>
    </w:p>
    <w:p w14:paraId="57D1EA3F" w14:textId="77777777" w:rsidR="00064D00" w:rsidRDefault="00064D00" w:rsidP="00064D00">
      <w:pPr>
        <w:spacing w:after="0"/>
        <w:jc w:val="center"/>
        <w:rPr>
          <w:b/>
        </w:rPr>
      </w:pPr>
    </w:p>
    <w:p w14:paraId="42AFAED8" w14:textId="68D35FEB" w:rsidR="00B93BF5" w:rsidRDefault="00B93BF5" w:rsidP="00064D00">
      <w:pPr>
        <w:spacing w:after="0"/>
        <w:jc w:val="center"/>
        <w:rPr>
          <w:b/>
        </w:rPr>
      </w:pPr>
      <w:r>
        <w:rPr>
          <w:bCs/>
          <w:noProof/>
        </w:rPr>
        <w:lastRenderedPageBreak/>
        <w:drawing>
          <wp:inline distT="0" distB="0" distL="0" distR="0" wp14:anchorId="1013B734" wp14:editId="5EBF7AD7">
            <wp:extent cx="3938947" cy="2074937"/>
            <wp:effectExtent l="0" t="0" r="444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9275" cy="2085645"/>
                    </a:xfrm>
                    <a:prstGeom prst="rect">
                      <a:avLst/>
                    </a:prstGeom>
                    <a:noFill/>
                    <a:ln>
                      <a:noFill/>
                    </a:ln>
                  </pic:spPr>
                </pic:pic>
              </a:graphicData>
            </a:graphic>
          </wp:inline>
        </w:drawing>
      </w:r>
    </w:p>
    <w:p w14:paraId="53EB89B2" w14:textId="248AED7A" w:rsidR="00064D00" w:rsidRPr="00D47A61" w:rsidRDefault="00064D00" w:rsidP="00064D00">
      <w:pPr>
        <w:spacing w:after="0"/>
        <w:jc w:val="center"/>
        <w:rPr>
          <w:b/>
        </w:rPr>
      </w:pPr>
      <w:r w:rsidRPr="00D47A61">
        <w:rPr>
          <w:b/>
        </w:rPr>
        <w:t>Figure 2</w:t>
      </w:r>
      <w:r w:rsidR="00B93BF5">
        <w:rPr>
          <w:b/>
        </w:rPr>
        <w:t>c</w:t>
      </w:r>
      <w:r w:rsidRPr="00D47A61">
        <w:rPr>
          <w:b/>
        </w:rPr>
        <w:t xml:space="preserve">: ICI impact </w:t>
      </w:r>
      <w:r>
        <w:rPr>
          <w:b/>
        </w:rPr>
        <w:t xml:space="preserve">of </w:t>
      </w:r>
      <w:r w:rsidR="00407E93">
        <w:rPr>
          <w:b/>
        </w:rPr>
        <w:t>24</w:t>
      </w:r>
      <w:r>
        <w:rPr>
          <w:b/>
        </w:rPr>
        <w:t xml:space="preserve"> RB UL, 30kHz SCS with </w:t>
      </w:r>
      <w:r w:rsidRPr="00064D00">
        <w:rPr>
          <w:b/>
          <w:u w:val="single"/>
        </w:rPr>
        <w:t>10</w:t>
      </w:r>
      <w:r>
        <w:rPr>
          <w:b/>
        </w:rPr>
        <w:t xml:space="preserve"> samples timing offset, </w:t>
      </w:r>
      <w:r w:rsidRPr="00B93BF5">
        <w:rPr>
          <w:b/>
          <w:u w:val="single"/>
        </w:rPr>
        <w:t>500Hz</w:t>
      </w:r>
      <w:r>
        <w:rPr>
          <w:b/>
        </w:rPr>
        <w:t xml:space="preserve"> frequency offset</w:t>
      </w:r>
    </w:p>
    <w:p w14:paraId="2FD68650" w14:textId="77777777" w:rsidR="00064D00" w:rsidRDefault="00064D00" w:rsidP="00D47A61">
      <w:pPr>
        <w:spacing w:after="0"/>
        <w:jc w:val="center"/>
        <w:rPr>
          <w:bCs/>
        </w:rPr>
      </w:pPr>
    </w:p>
    <w:p w14:paraId="336DD938" w14:textId="1481B020" w:rsidR="00392132" w:rsidRDefault="00064D00" w:rsidP="00D47A61">
      <w:pPr>
        <w:spacing w:after="0"/>
        <w:jc w:val="center"/>
        <w:rPr>
          <w:bCs/>
        </w:rPr>
      </w:pPr>
      <w:r>
        <w:rPr>
          <w:bCs/>
          <w:noProof/>
        </w:rPr>
        <w:drawing>
          <wp:inline distT="0" distB="0" distL="0" distR="0" wp14:anchorId="7AF6D2B0" wp14:editId="40958A7F">
            <wp:extent cx="3971631" cy="20412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173" cy="2055870"/>
                    </a:xfrm>
                    <a:prstGeom prst="rect">
                      <a:avLst/>
                    </a:prstGeom>
                    <a:noFill/>
                    <a:ln>
                      <a:noFill/>
                    </a:ln>
                  </pic:spPr>
                </pic:pic>
              </a:graphicData>
            </a:graphic>
          </wp:inline>
        </w:drawing>
      </w:r>
    </w:p>
    <w:p w14:paraId="6B475FA6" w14:textId="77777777" w:rsidR="00B93BF5" w:rsidRDefault="00B93BF5" w:rsidP="00B93BF5">
      <w:pPr>
        <w:spacing w:after="0"/>
        <w:jc w:val="center"/>
        <w:rPr>
          <w:b/>
        </w:rPr>
      </w:pPr>
    </w:p>
    <w:p w14:paraId="6191E387" w14:textId="77777777" w:rsidR="00B93BF5" w:rsidRDefault="00B93BF5" w:rsidP="00B93BF5">
      <w:pPr>
        <w:spacing w:after="0"/>
        <w:jc w:val="center"/>
        <w:rPr>
          <w:b/>
        </w:rPr>
      </w:pPr>
    </w:p>
    <w:p w14:paraId="0E7DB58F" w14:textId="77777777" w:rsidR="00B93BF5" w:rsidRDefault="00B93BF5" w:rsidP="00B93BF5">
      <w:pPr>
        <w:spacing w:after="0"/>
        <w:jc w:val="center"/>
        <w:rPr>
          <w:b/>
        </w:rPr>
      </w:pPr>
    </w:p>
    <w:p w14:paraId="41F99E8E" w14:textId="77777777" w:rsidR="00B93BF5" w:rsidRDefault="00B93BF5" w:rsidP="00B93BF5">
      <w:pPr>
        <w:spacing w:after="0"/>
        <w:jc w:val="center"/>
        <w:rPr>
          <w:b/>
        </w:rPr>
      </w:pPr>
    </w:p>
    <w:p w14:paraId="31C40D39" w14:textId="6AB12236" w:rsidR="00B93BF5" w:rsidRPr="00D47A61" w:rsidRDefault="00B93BF5" w:rsidP="00B93BF5">
      <w:pPr>
        <w:spacing w:after="0"/>
        <w:jc w:val="center"/>
        <w:rPr>
          <w:b/>
        </w:rPr>
      </w:pPr>
      <w:r w:rsidRPr="00D47A61">
        <w:rPr>
          <w:b/>
        </w:rPr>
        <w:t>Figure 2</w:t>
      </w:r>
      <w:r>
        <w:rPr>
          <w:b/>
        </w:rPr>
        <w:t>d</w:t>
      </w:r>
      <w:r w:rsidRPr="00D47A61">
        <w:rPr>
          <w:b/>
        </w:rPr>
        <w:t xml:space="preserve">: ICI impact </w:t>
      </w:r>
      <w:r>
        <w:rPr>
          <w:b/>
        </w:rPr>
        <w:t xml:space="preserve">of </w:t>
      </w:r>
      <w:r w:rsidR="00407E93">
        <w:rPr>
          <w:b/>
        </w:rPr>
        <w:t>24</w:t>
      </w:r>
      <w:r>
        <w:rPr>
          <w:b/>
        </w:rPr>
        <w:t xml:space="preserve"> RB UL, 30kHz SCS with </w:t>
      </w:r>
      <w:r w:rsidRPr="00064D00">
        <w:rPr>
          <w:b/>
          <w:u w:val="single"/>
        </w:rPr>
        <w:t>10</w:t>
      </w:r>
      <w:r>
        <w:rPr>
          <w:b/>
        </w:rPr>
        <w:t xml:space="preserve"> samples timing offset, </w:t>
      </w:r>
      <w:r w:rsidRPr="00B93BF5">
        <w:rPr>
          <w:b/>
          <w:u w:val="single"/>
        </w:rPr>
        <w:t>5kHz</w:t>
      </w:r>
      <w:r>
        <w:rPr>
          <w:b/>
        </w:rPr>
        <w:t xml:space="preserve"> frequency offset</w:t>
      </w:r>
    </w:p>
    <w:p w14:paraId="246E9022" w14:textId="77777777" w:rsidR="00392132" w:rsidRDefault="00392132" w:rsidP="00392132">
      <w:pPr>
        <w:spacing w:after="0"/>
        <w:rPr>
          <w:bCs/>
        </w:rPr>
      </w:pPr>
    </w:p>
    <w:p w14:paraId="31BC85BD" w14:textId="77777777" w:rsidR="00B93BF5" w:rsidRDefault="00B93BF5" w:rsidP="00B93BF5">
      <w:pPr>
        <w:spacing w:after="0"/>
        <w:jc w:val="center"/>
        <w:rPr>
          <w:bCs/>
        </w:rPr>
      </w:pPr>
      <w:r>
        <w:rPr>
          <w:bCs/>
          <w:noProof/>
        </w:rPr>
        <w:drawing>
          <wp:inline distT="0" distB="0" distL="0" distR="0" wp14:anchorId="60041C0F" wp14:editId="1C39FDEF">
            <wp:extent cx="4220531" cy="2131060"/>
            <wp:effectExtent l="0" t="0" r="889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5436" cy="2194128"/>
                    </a:xfrm>
                    <a:prstGeom prst="rect">
                      <a:avLst/>
                    </a:prstGeom>
                    <a:noFill/>
                    <a:ln>
                      <a:noFill/>
                    </a:ln>
                  </pic:spPr>
                </pic:pic>
              </a:graphicData>
            </a:graphic>
          </wp:inline>
        </w:drawing>
      </w:r>
    </w:p>
    <w:p w14:paraId="5B811988" w14:textId="134CAEAC" w:rsidR="00B93BF5" w:rsidRDefault="00B93BF5" w:rsidP="00B93BF5">
      <w:pPr>
        <w:spacing w:after="0"/>
        <w:jc w:val="center"/>
        <w:rPr>
          <w:bCs/>
        </w:rPr>
      </w:pPr>
    </w:p>
    <w:p w14:paraId="0563930A" w14:textId="77777777" w:rsidR="00E765D1" w:rsidRDefault="00E765D1" w:rsidP="00392132">
      <w:pPr>
        <w:spacing w:after="0"/>
        <w:rPr>
          <w:bCs/>
        </w:rPr>
      </w:pPr>
    </w:p>
    <w:p w14:paraId="6573E6E4" w14:textId="7ADB1281" w:rsidR="00255586" w:rsidRDefault="00032A66" w:rsidP="00255586">
      <w:pPr>
        <w:spacing w:after="0"/>
        <w:rPr>
          <w:b/>
        </w:rPr>
      </w:pPr>
      <w:r>
        <w:rPr>
          <w:b/>
          <w:u w:val="single"/>
        </w:rPr>
        <w:t>Observation 2</w:t>
      </w:r>
      <w:r w:rsidRPr="00DE3001">
        <w:rPr>
          <w:b/>
        </w:rPr>
        <w:t xml:space="preserve">: </w:t>
      </w:r>
      <w:r w:rsidR="00191CDF" w:rsidRPr="00DE3001">
        <w:rPr>
          <w:b/>
        </w:rPr>
        <w:t xml:space="preserve">For co-channel interference rejection at FFT, the level of Rx interference is observed to be </w:t>
      </w:r>
      <w:r w:rsidR="00191CDF" w:rsidRPr="00F663C6">
        <w:rPr>
          <w:b/>
          <w:u w:val="single"/>
        </w:rPr>
        <w:t>larger</w:t>
      </w:r>
      <w:r w:rsidR="00191CDF" w:rsidRPr="00DE3001">
        <w:rPr>
          <w:b/>
        </w:rPr>
        <w:t xml:space="preserve"> than the IBE m</w:t>
      </w:r>
      <w:r w:rsidR="00DE3001" w:rsidRPr="00DE3001">
        <w:rPr>
          <w:b/>
        </w:rPr>
        <w:t xml:space="preserve">ask </w:t>
      </w:r>
      <w:r w:rsidR="00191CDF" w:rsidRPr="00DE3001">
        <w:rPr>
          <w:b/>
        </w:rPr>
        <w:t xml:space="preserve">in the first adjacent RB to </w:t>
      </w:r>
      <w:r w:rsidR="00F663C6">
        <w:rPr>
          <w:b/>
        </w:rPr>
        <w:t>a</w:t>
      </w:r>
      <w:r w:rsidR="00191CDF" w:rsidRPr="00DE3001">
        <w:rPr>
          <w:b/>
        </w:rPr>
        <w:t xml:space="preserve"> </w:t>
      </w:r>
      <w:r w:rsidR="00F663C6">
        <w:rPr>
          <w:b/>
        </w:rPr>
        <w:t xml:space="preserve">24 RB </w:t>
      </w:r>
      <w:r w:rsidR="00191CDF" w:rsidRPr="00DE3001">
        <w:rPr>
          <w:b/>
        </w:rPr>
        <w:t>UL signal</w:t>
      </w:r>
      <w:r w:rsidR="00DE3001" w:rsidRPr="00DE3001">
        <w:rPr>
          <w:b/>
        </w:rPr>
        <w:t xml:space="preserve"> with typical timing offset</w:t>
      </w:r>
      <w:r w:rsidR="00191CDF" w:rsidRPr="00DE3001">
        <w:rPr>
          <w:b/>
        </w:rPr>
        <w:t xml:space="preserve">, and on average over an equivalent </w:t>
      </w:r>
      <w:r w:rsidR="00DE3001" w:rsidRPr="00DE3001">
        <w:rPr>
          <w:b/>
        </w:rPr>
        <w:t>1</w:t>
      </w:r>
      <w:r w:rsidR="00DE3001" w:rsidRPr="00DE3001">
        <w:rPr>
          <w:b/>
          <w:vertAlign w:val="superscript"/>
        </w:rPr>
        <w:t>st</w:t>
      </w:r>
      <w:r w:rsidR="00DE3001" w:rsidRPr="00DE3001">
        <w:rPr>
          <w:b/>
        </w:rPr>
        <w:t xml:space="preserve"> adjacent DL</w:t>
      </w:r>
      <w:r w:rsidR="00191CDF" w:rsidRPr="00DE3001">
        <w:rPr>
          <w:b/>
        </w:rPr>
        <w:t xml:space="preserve"> sub-band</w:t>
      </w:r>
      <w:r w:rsidR="00F663C6">
        <w:rPr>
          <w:b/>
        </w:rPr>
        <w:t xml:space="preserve"> of 24 RBs</w:t>
      </w:r>
      <w:r w:rsidR="00191CDF" w:rsidRPr="00DE3001">
        <w:rPr>
          <w:b/>
        </w:rPr>
        <w:t xml:space="preserve"> is </w:t>
      </w:r>
      <w:r w:rsidR="00F663C6">
        <w:rPr>
          <w:b/>
        </w:rPr>
        <w:t xml:space="preserve">observed to be </w:t>
      </w:r>
      <w:r w:rsidR="00191CDF" w:rsidRPr="00DE3001">
        <w:rPr>
          <w:b/>
        </w:rPr>
        <w:t>30dB lower than the UL Tx signal with 1 RB guard</w:t>
      </w:r>
      <w:r w:rsidR="0051498B">
        <w:rPr>
          <w:b/>
        </w:rPr>
        <w:t xml:space="preserve"> </w:t>
      </w:r>
      <w:r w:rsidR="00191CDF" w:rsidRPr="00DE3001">
        <w:rPr>
          <w:b/>
        </w:rPr>
        <w:t xml:space="preserve">band. </w:t>
      </w:r>
    </w:p>
    <w:p w14:paraId="176BFF36" w14:textId="77777777" w:rsidR="007958B8" w:rsidRDefault="007958B8" w:rsidP="00255586">
      <w:pPr>
        <w:spacing w:after="0"/>
        <w:rPr>
          <w:b/>
          <w:u w:val="single"/>
        </w:rPr>
      </w:pPr>
    </w:p>
    <w:p w14:paraId="43C511EE" w14:textId="57845655" w:rsidR="007958B8" w:rsidRPr="00DE3001" w:rsidRDefault="007958B8" w:rsidP="00255586">
      <w:pPr>
        <w:spacing w:after="0"/>
        <w:rPr>
          <w:b/>
        </w:rPr>
      </w:pPr>
      <w:r w:rsidRPr="007958B8">
        <w:rPr>
          <w:b/>
          <w:u w:val="single"/>
        </w:rPr>
        <w:t>Proposal</w:t>
      </w:r>
      <w:r>
        <w:rPr>
          <w:b/>
          <w:u w:val="single"/>
        </w:rPr>
        <w:t xml:space="preserve"> 2</w:t>
      </w:r>
      <w:r>
        <w:rPr>
          <w:b/>
        </w:rPr>
        <w:t xml:space="preserve">: </w:t>
      </w:r>
      <w:r w:rsidR="00F663C6">
        <w:rPr>
          <w:b/>
        </w:rPr>
        <w:t>Consider imperfections in co-channel interference rejection at FFT</w:t>
      </w:r>
      <w:r>
        <w:rPr>
          <w:b/>
        </w:rPr>
        <w:t xml:space="preserve"> </w:t>
      </w:r>
      <w:r w:rsidR="00F663C6">
        <w:rPr>
          <w:b/>
        </w:rPr>
        <w:t>as part of Rx modelling</w:t>
      </w:r>
    </w:p>
    <w:p w14:paraId="15B6B409" w14:textId="77777777" w:rsidR="00392132" w:rsidRPr="00CE7726" w:rsidRDefault="00392132" w:rsidP="00392132">
      <w:pPr>
        <w:spacing w:after="0"/>
        <w:rPr>
          <w:b/>
        </w:rPr>
      </w:pPr>
    </w:p>
    <w:p w14:paraId="7ED7555A" w14:textId="1EB12CC5" w:rsidR="00032A66" w:rsidRDefault="00032A66" w:rsidP="00032A66">
      <w:pPr>
        <w:pStyle w:val="Heading2"/>
        <w:snapToGrid w:val="0"/>
        <w:rPr>
          <w:rFonts w:asciiTheme="minorHAnsi" w:hAnsiTheme="minorHAnsi"/>
          <w:sz w:val="28"/>
          <w:szCs w:val="18"/>
          <w:lang w:eastAsia="zh-TW"/>
        </w:rPr>
      </w:pPr>
      <w:r>
        <w:rPr>
          <w:rFonts w:asciiTheme="minorHAnsi" w:hAnsiTheme="minorHAnsi"/>
          <w:sz w:val="28"/>
          <w:szCs w:val="18"/>
          <w:lang w:eastAsia="zh-TW"/>
        </w:rPr>
        <w:lastRenderedPageBreak/>
        <w:t>3.3</w:t>
      </w:r>
      <w:r>
        <w:rPr>
          <w:rFonts w:asciiTheme="minorHAnsi" w:hAnsiTheme="minorHAnsi"/>
          <w:sz w:val="28"/>
          <w:szCs w:val="18"/>
          <w:lang w:eastAsia="zh-TW"/>
        </w:rPr>
        <w:tab/>
        <w:t>Consideration of AGC and UE Rx gain</w:t>
      </w:r>
    </w:p>
    <w:p w14:paraId="249BAFF3" w14:textId="0F3C9718" w:rsidR="0064070A" w:rsidRDefault="00761D16" w:rsidP="0064070A">
      <w:pPr>
        <w:spacing w:before="120" w:after="0"/>
        <w:rPr>
          <w:bCs/>
        </w:rPr>
      </w:pPr>
      <w:r>
        <w:rPr>
          <w:bCs/>
        </w:rPr>
        <w:t xml:space="preserve">In [4] a receiver model was proposed. The graph depicted showed that </w:t>
      </w:r>
      <w:r w:rsidR="0069411D">
        <w:rPr>
          <w:bCs/>
        </w:rPr>
        <w:t xml:space="preserve">SNR increased until a certain total Rx power level, and then was capped as total Rx power further increased. </w:t>
      </w:r>
      <w:r w:rsidR="0064070A">
        <w:rPr>
          <w:bCs/>
        </w:rPr>
        <w:t xml:space="preserve">We try to recapture this in figure </w:t>
      </w:r>
      <w:r w:rsidR="001516BA">
        <w:rPr>
          <w:bCs/>
        </w:rPr>
        <w:t>3</w:t>
      </w:r>
      <w:r w:rsidR="0064070A">
        <w:rPr>
          <w:bCs/>
        </w:rPr>
        <w:t xml:space="preserve"> below but without including the numbers provided in [4].</w:t>
      </w:r>
    </w:p>
    <w:p w14:paraId="09D4FEB7" w14:textId="51AFA98C" w:rsidR="0064070A" w:rsidRDefault="0064070A" w:rsidP="0064070A">
      <w:pPr>
        <w:spacing w:before="120" w:after="0"/>
        <w:rPr>
          <w:bCs/>
        </w:rPr>
      </w:pPr>
      <w:r>
        <w:rPr>
          <w:bCs/>
        </w:rPr>
        <w:t xml:space="preserve">Firstly, it </w:t>
      </w:r>
      <w:r w:rsidR="0069411D">
        <w:rPr>
          <w:bCs/>
        </w:rPr>
        <w:t xml:space="preserve">needs to be clarified that </w:t>
      </w:r>
      <w:r>
        <w:rPr>
          <w:bCs/>
        </w:rPr>
        <w:t>such UE behaviour is not directly defined in 3</w:t>
      </w:r>
      <w:r w:rsidR="0069411D">
        <w:rPr>
          <w:bCs/>
        </w:rPr>
        <w:t xml:space="preserve">GPP specifications today, so </w:t>
      </w:r>
      <w:r w:rsidR="00A66127">
        <w:rPr>
          <w:bCs/>
        </w:rPr>
        <w:t>any attempt to model</w:t>
      </w:r>
      <w:r w:rsidR="0069411D">
        <w:rPr>
          <w:bCs/>
        </w:rPr>
        <w:t xml:space="preserve"> behaviour </w:t>
      </w:r>
      <w:r w:rsidR="00A66127">
        <w:rPr>
          <w:bCs/>
        </w:rPr>
        <w:t xml:space="preserve">needs to be sufficiently generic and </w:t>
      </w:r>
      <w:r>
        <w:rPr>
          <w:bCs/>
        </w:rPr>
        <w:t xml:space="preserve">be clarified that it is </w:t>
      </w:r>
      <w:r w:rsidR="00837E58">
        <w:rPr>
          <w:bCs/>
        </w:rPr>
        <w:t>purely</w:t>
      </w:r>
      <w:r w:rsidR="00A66127">
        <w:rPr>
          <w:bCs/>
        </w:rPr>
        <w:t xml:space="preserve"> indicative</w:t>
      </w:r>
      <w:r w:rsidR="0069411D">
        <w:rPr>
          <w:bCs/>
        </w:rPr>
        <w:t>.</w:t>
      </w:r>
    </w:p>
    <w:p w14:paraId="6679812D" w14:textId="41476D92" w:rsidR="0064070A" w:rsidRDefault="0064070A" w:rsidP="0064070A">
      <w:pPr>
        <w:spacing w:before="120" w:after="0"/>
        <w:rPr>
          <w:bCs/>
        </w:rPr>
      </w:pPr>
      <w:r>
        <w:rPr>
          <w:bCs/>
        </w:rPr>
        <w:t xml:space="preserve">Secondly, </w:t>
      </w:r>
      <w:r w:rsidR="0051498B">
        <w:rPr>
          <w:bCs/>
        </w:rPr>
        <w:t>it</w:t>
      </w:r>
      <w:r>
        <w:rPr>
          <w:bCs/>
        </w:rPr>
        <w:t xml:space="preserve"> was not clarified </w:t>
      </w:r>
      <w:r w:rsidR="0051498B">
        <w:rPr>
          <w:bCs/>
        </w:rPr>
        <w:t>as to</w:t>
      </w:r>
      <w:r>
        <w:rPr>
          <w:bCs/>
        </w:rPr>
        <w:t xml:space="preserve"> the </w:t>
      </w:r>
      <w:r w:rsidR="0051498B">
        <w:rPr>
          <w:bCs/>
        </w:rPr>
        <w:t>independent</w:t>
      </w:r>
      <w:r>
        <w:rPr>
          <w:bCs/>
        </w:rPr>
        <w:t xml:space="preserve"> impact of interference </w:t>
      </w:r>
      <w:r w:rsidR="0051498B">
        <w:rPr>
          <w:bCs/>
        </w:rPr>
        <w:t>on the SNR.</w:t>
      </w:r>
      <w:r>
        <w:rPr>
          <w:bCs/>
        </w:rPr>
        <w:t xml:space="preserve"> Therefore, </w:t>
      </w:r>
      <w:r w:rsidR="0051498B">
        <w:rPr>
          <w:bCs/>
        </w:rPr>
        <w:t>it would be appreciated to receive more information on the following</w:t>
      </w:r>
      <w:r>
        <w:rPr>
          <w:bCs/>
        </w:rPr>
        <w:t>:</w:t>
      </w:r>
    </w:p>
    <w:p w14:paraId="57D95B71" w14:textId="476733CB" w:rsidR="0064070A" w:rsidRDefault="0064070A" w:rsidP="0064070A">
      <w:pPr>
        <w:pStyle w:val="ListParagraph"/>
        <w:numPr>
          <w:ilvl w:val="0"/>
          <w:numId w:val="27"/>
        </w:numPr>
        <w:spacing w:before="120" w:after="0"/>
        <w:ind w:left="357" w:hanging="357"/>
        <w:rPr>
          <w:bCs/>
        </w:rPr>
      </w:pPr>
      <w:r>
        <w:rPr>
          <w:bCs/>
        </w:rPr>
        <w:t xml:space="preserve">What was the intended impact of inserting an interferer of e.g. Y dB higher than the signal level into the model? </w:t>
      </w:r>
    </w:p>
    <w:p w14:paraId="5B626C98" w14:textId="32C2C249" w:rsidR="0064070A" w:rsidRDefault="0064070A" w:rsidP="0064070A">
      <w:pPr>
        <w:pStyle w:val="ListParagraph"/>
        <w:numPr>
          <w:ilvl w:val="0"/>
          <w:numId w:val="27"/>
        </w:numPr>
        <w:spacing w:before="120" w:after="0"/>
        <w:ind w:left="357" w:hanging="357"/>
        <w:rPr>
          <w:bCs/>
        </w:rPr>
      </w:pPr>
      <w:r>
        <w:rPr>
          <w:bCs/>
        </w:rPr>
        <w:t>How were the values depicted as “SNR = X” and “</w:t>
      </w:r>
      <w:proofErr w:type="spellStart"/>
      <w:r>
        <w:rPr>
          <w:bCs/>
        </w:rPr>
        <w:t>Refsens</w:t>
      </w:r>
      <w:proofErr w:type="spellEnd"/>
      <w:r>
        <w:rPr>
          <w:bCs/>
        </w:rPr>
        <w:t xml:space="preserve"> + T” </w:t>
      </w:r>
      <w:r w:rsidR="0051498B">
        <w:rPr>
          <w:bCs/>
        </w:rPr>
        <w:t xml:space="preserve">below </w:t>
      </w:r>
      <w:r>
        <w:rPr>
          <w:bCs/>
        </w:rPr>
        <w:t>determined in [4], or were they just provided for illustration purposes?</w:t>
      </w:r>
    </w:p>
    <w:p w14:paraId="6BC8B3D8" w14:textId="4286C0F9" w:rsidR="0064070A" w:rsidRPr="0064070A" w:rsidRDefault="0064070A" w:rsidP="0064070A">
      <w:pPr>
        <w:spacing w:before="120" w:after="0"/>
        <w:rPr>
          <w:bCs/>
        </w:rPr>
      </w:pPr>
      <w:r>
        <w:rPr>
          <w:bCs/>
        </w:rPr>
        <w:t xml:space="preserve">More discussion would be needed before an agreement could be made on how to move forward, as these aspects are very </w:t>
      </w:r>
      <w:r w:rsidR="00823908">
        <w:rPr>
          <w:bCs/>
        </w:rPr>
        <w:t xml:space="preserve">UE </w:t>
      </w:r>
      <w:r>
        <w:rPr>
          <w:bCs/>
        </w:rPr>
        <w:t>implementation</w:t>
      </w:r>
      <w:r w:rsidR="00823908">
        <w:rPr>
          <w:bCs/>
        </w:rPr>
        <w:t xml:space="preserve"> </w:t>
      </w:r>
      <w:r>
        <w:rPr>
          <w:bCs/>
        </w:rPr>
        <w:t>dependent.</w:t>
      </w:r>
    </w:p>
    <w:p w14:paraId="41ED3BDE" w14:textId="77777777" w:rsidR="0064070A" w:rsidRPr="0064070A" w:rsidRDefault="0064070A" w:rsidP="0064070A">
      <w:pPr>
        <w:spacing w:after="0"/>
        <w:rPr>
          <w:bCs/>
        </w:rPr>
      </w:pPr>
    </w:p>
    <w:p w14:paraId="24944F6C" w14:textId="64185F50" w:rsidR="00823908" w:rsidRPr="00D47A61" w:rsidRDefault="00823908" w:rsidP="00823908">
      <w:pPr>
        <w:spacing w:after="0"/>
        <w:jc w:val="center"/>
        <w:rPr>
          <w:b/>
        </w:rPr>
      </w:pPr>
      <w:r w:rsidRPr="00D47A61">
        <w:rPr>
          <w:b/>
        </w:rPr>
        <w:t xml:space="preserve">Figure </w:t>
      </w:r>
      <w:r>
        <w:rPr>
          <w:b/>
        </w:rPr>
        <w:t>3</w:t>
      </w:r>
      <w:r w:rsidRPr="00D47A61">
        <w:rPr>
          <w:b/>
        </w:rPr>
        <w:t xml:space="preserve">: </w:t>
      </w:r>
      <w:r>
        <w:rPr>
          <w:b/>
        </w:rPr>
        <w:t xml:space="preserve">A more generic representation of the Rx model </w:t>
      </w:r>
      <w:r w:rsidR="00BC70CF">
        <w:rPr>
          <w:b/>
        </w:rPr>
        <w:t>from</w:t>
      </w:r>
      <w:r>
        <w:rPr>
          <w:b/>
        </w:rPr>
        <w:t xml:space="preserve"> [4]</w:t>
      </w:r>
    </w:p>
    <w:p w14:paraId="0FDC97BB" w14:textId="4CA0CE1C" w:rsidR="0064070A" w:rsidRDefault="0051498B" w:rsidP="0064070A">
      <w:pPr>
        <w:spacing w:after="0"/>
        <w:jc w:val="center"/>
        <w:rPr>
          <w:bCs/>
        </w:rPr>
      </w:pPr>
      <w:r>
        <w:rPr>
          <w:bCs/>
          <w:noProof/>
        </w:rPr>
        <w:drawing>
          <wp:inline distT="0" distB="0" distL="0" distR="0" wp14:anchorId="735D4271" wp14:editId="1895F9E7">
            <wp:extent cx="6118860" cy="2164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2164080"/>
                    </a:xfrm>
                    <a:prstGeom prst="rect">
                      <a:avLst/>
                    </a:prstGeom>
                    <a:noFill/>
                    <a:ln>
                      <a:noFill/>
                    </a:ln>
                  </pic:spPr>
                </pic:pic>
              </a:graphicData>
            </a:graphic>
          </wp:inline>
        </w:drawing>
      </w:r>
    </w:p>
    <w:p w14:paraId="6EA4CC60" w14:textId="434163E1" w:rsidR="00F17B05" w:rsidRDefault="00F17B05" w:rsidP="00FB65EB">
      <w:pPr>
        <w:spacing w:after="0"/>
        <w:rPr>
          <w:bCs/>
        </w:rPr>
      </w:pPr>
    </w:p>
    <w:p w14:paraId="04B63FD4" w14:textId="5658895B" w:rsidR="005F21D3" w:rsidRPr="00837E58" w:rsidRDefault="00837E58" w:rsidP="00FB65EB">
      <w:pPr>
        <w:spacing w:after="0"/>
        <w:rPr>
          <w:bCs/>
        </w:rPr>
      </w:pPr>
      <w:r w:rsidRPr="00837E58">
        <w:rPr>
          <w:bCs/>
        </w:rPr>
        <w:t>It was also proposed</w:t>
      </w:r>
      <w:r w:rsidR="0051498B">
        <w:rPr>
          <w:bCs/>
        </w:rPr>
        <w:t>, in [5]</w:t>
      </w:r>
      <w:r w:rsidRPr="00837E58">
        <w:rPr>
          <w:bCs/>
        </w:rPr>
        <w:t xml:space="preserve">, that </w:t>
      </w:r>
      <w:r w:rsidR="0051498B">
        <w:rPr>
          <w:bCs/>
        </w:rPr>
        <w:t>a co-channel interferer, with a power level below the Max Input Level, would cause a dB-by-dB reduction in SINR</w:t>
      </w:r>
      <w:r w:rsidRPr="00837E58">
        <w:rPr>
          <w:bCs/>
        </w:rPr>
        <w:t xml:space="preserve">. </w:t>
      </w:r>
      <w:r w:rsidR="0064070A">
        <w:rPr>
          <w:bCs/>
        </w:rPr>
        <w:t xml:space="preserve">It would be good to </w:t>
      </w:r>
      <w:r w:rsidR="0051498B">
        <w:rPr>
          <w:bCs/>
        </w:rPr>
        <w:t>verify how that proposal relates to the proposal in [4] if at all</w:t>
      </w:r>
      <w:r w:rsidR="00072472">
        <w:rPr>
          <w:bCs/>
        </w:rPr>
        <w:t>.</w:t>
      </w:r>
    </w:p>
    <w:p w14:paraId="3CB2552B" w14:textId="77777777" w:rsidR="00837E58" w:rsidRDefault="00837E58" w:rsidP="00FB65EB">
      <w:pPr>
        <w:spacing w:after="0"/>
        <w:rPr>
          <w:b/>
          <w:u w:val="single"/>
        </w:rPr>
      </w:pPr>
    </w:p>
    <w:p w14:paraId="553A814B" w14:textId="6586B183" w:rsidR="0051498B" w:rsidRDefault="00F17B05" w:rsidP="00FB65EB">
      <w:pPr>
        <w:spacing w:after="0"/>
        <w:rPr>
          <w:b/>
        </w:rPr>
      </w:pPr>
      <w:r w:rsidRPr="000A2268">
        <w:rPr>
          <w:b/>
          <w:u w:val="single"/>
        </w:rPr>
        <w:t>Observation 3</w:t>
      </w:r>
      <w:r w:rsidRPr="00F17B05">
        <w:rPr>
          <w:b/>
        </w:rPr>
        <w:t xml:space="preserve">: </w:t>
      </w:r>
      <w:r w:rsidR="00A66127">
        <w:rPr>
          <w:b/>
        </w:rPr>
        <w:t xml:space="preserve">Apart from maximum Input Level, there are no </w:t>
      </w:r>
      <w:r w:rsidR="0051498B">
        <w:rPr>
          <w:b/>
        </w:rPr>
        <w:t>direct</w:t>
      </w:r>
      <w:r w:rsidR="00A66127">
        <w:rPr>
          <w:b/>
        </w:rPr>
        <w:t xml:space="preserve"> requirements for AGC behaviour defined in 3GPP. Therefore, any AGC modelling </w:t>
      </w:r>
      <w:r w:rsidR="0051498B">
        <w:rPr>
          <w:b/>
        </w:rPr>
        <w:t xml:space="preserve">assumptions agreed as part of 3GPP work </w:t>
      </w:r>
      <w:r w:rsidR="00A66127">
        <w:rPr>
          <w:b/>
        </w:rPr>
        <w:t xml:space="preserve">would need to be sufficiently generic and clearly stated as an </w:t>
      </w:r>
      <w:r w:rsidR="0051498B">
        <w:rPr>
          <w:b/>
        </w:rPr>
        <w:t xml:space="preserve">indicative </w:t>
      </w:r>
      <w:r w:rsidR="00A66127">
        <w:rPr>
          <w:b/>
        </w:rPr>
        <w:t>example.</w:t>
      </w:r>
    </w:p>
    <w:p w14:paraId="7959FB0F" w14:textId="77777777" w:rsidR="00DA1CE0" w:rsidRDefault="00DA1CE0" w:rsidP="00DA1CE0">
      <w:pPr>
        <w:spacing w:after="0"/>
        <w:rPr>
          <w:b/>
          <w:u w:val="single"/>
        </w:rPr>
      </w:pPr>
    </w:p>
    <w:p w14:paraId="4C73B5AA" w14:textId="30D0C09E" w:rsidR="00761D16" w:rsidRPr="0064070A" w:rsidRDefault="00DA1CE0" w:rsidP="00FB65EB">
      <w:pPr>
        <w:spacing w:after="0"/>
        <w:rPr>
          <w:b/>
        </w:rPr>
      </w:pPr>
      <w:r w:rsidRPr="007958B8">
        <w:rPr>
          <w:b/>
          <w:u w:val="single"/>
        </w:rPr>
        <w:t>Proposal</w:t>
      </w:r>
      <w:r>
        <w:rPr>
          <w:b/>
          <w:u w:val="single"/>
        </w:rPr>
        <w:t xml:space="preserve"> </w:t>
      </w:r>
      <w:r w:rsidR="0051498B">
        <w:rPr>
          <w:b/>
          <w:u w:val="single"/>
        </w:rPr>
        <w:t>3</w:t>
      </w:r>
      <w:r>
        <w:rPr>
          <w:b/>
        </w:rPr>
        <w:t xml:space="preserve">: Feedback is </w:t>
      </w:r>
      <w:r w:rsidR="001516BA">
        <w:rPr>
          <w:b/>
        </w:rPr>
        <w:t>invited</w:t>
      </w:r>
      <w:r>
        <w:rPr>
          <w:b/>
        </w:rPr>
        <w:t xml:space="preserve"> to understand </w:t>
      </w:r>
      <w:r w:rsidR="0064070A">
        <w:rPr>
          <w:b/>
        </w:rPr>
        <w:t>more details on the proposed model</w:t>
      </w:r>
      <w:r>
        <w:rPr>
          <w:b/>
        </w:rPr>
        <w:t xml:space="preserve"> in</w:t>
      </w:r>
      <w:r w:rsidR="00A977E5">
        <w:rPr>
          <w:b/>
        </w:rPr>
        <w:t xml:space="preserve"> </w:t>
      </w:r>
      <w:r w:rsidR="00A977E5" w:rsidRPr="00A977E5">
        <w:rPr>
          <w:b/>
          <w:bCs/>
        </w:rPr>
        <w:t>R4-2211562</w:t>
      </w:r>
      <w:r>
        <w:rPr>
          <w:b/>
        </w:rPr>
        <w:t xml:space="preserve"> [4]. </w:t>
      </w:r>
    </w:p>
    <w:p w14:paraId="718B8DB1" w14:textId="7ED55093" w:rsidR="005025A2" w:rsidRDefault="005025A2" w:rsidP="005025A2">
      <w:pPr>
        <w:pStyle w:val="Heading1"/>
        <w:numPr>
          <w:ilvl w:val="0"/>
          <w:numId w:val="1"/>
        </w:numPr>
        <w:rPr>
          <w:rFonts w:asciiTheme="minorHAnsi" w:hAnsiTheme="minorHAnsi" w:cstheme="minorHAnsi"/>
          <w:sz w:val="32"/>
          <w:szCs w:val="18"/>
          <w:lang w:eastAsia="zh-TW"/>
        </w:rPr>
      </w:pPr>
      <w:r>
        <w:rPr>
          <w:rFonts w:asciiTheme="minorHAnsi" w:hAnsiTheme="minorHAnsi" w:cstheme="minorHAnsi"/>
          <w:sz w:val="32"/>
          <w:szCs w:val="18"/>
          <w:lang w:eastAsia="zh-TW"/>
        </w:rPr>
        <w:t>UE-UE CLI adjacent channel further analysis</w:t>
      </w:r>
    </w:p>
    <w:p w14:paraId="2EE4E5C4" w14:textId="7B54EE7D" w:rsidR="0064070A" w:rsidRPr="0064070A" w:rsidRDefault="0064070A" w:rsidP="0051498B">
      <w:pPr>
        <w:spacing w:after="120"/>
        <w:jc w:val="both"/>
        <w:rPr>
          <w:bCs/>
        </w:rPr>
      </w:pPr>
      <w:r w:rsidRPr="0064070A">
        <w:rPr>
          <w:bCs/>
        </w:rPr>
        <w:t>The problem with the flat ACLR model for modelling UE-UE CLI in the adjacent channel is that it would not be particularly realistic when considering the benefits of any additional guard</w:t>
      </w:r>
      <w:r w:rsidR="0051498B">
        <w:rPr>
          <w:bCs/>
        </w:rPr>
        <w:t xml:space="preserve"> </w:t>
      </w:r>
      <w:r w:rsidRPr="0064070A">
        <w:rPr>
          <w:bCs/>
        </w:rPr>
        <w:t xml:space="preserve">band between UL and DL sub-bands due to different levels of interference impacting different RBs in the victim channel. </w:t>
      </w:r>
    </w:p>
    <w:p w14:paraId="64A19C53" w14:textId="547B070B" w:rsidR="0064070A" w:rsidRDefault="0064070A" w:rsidP="0051498B">
      <w:pPr>
        <w:spacing w:after="120"/>
        <w:jc w:val="both"/>
        <w:rPr>
          <w:bCs/>
        </w:rPr>
      </w:pPr>
      <w:r w:rsidRPr="0064070A">
        <w:rPr>
          <w:bCs/>
        </w:rPr>
        <w:t xml:space="preserve">Therefore, we </w:t>
      </w:r>
      <w:r w:rsidR="0051498B">
        <w:rPr>
          <w:bCs/>
        </w:rPr>
        <w:t>believe</w:t>
      </w:r>
      <w:r w:rsidRPr="0064070A">
        <w:rPr>
          <w:bCs/>
        </w:rPr>
        <w:t xml:space="preserve"> that a 2-step model would be more realistic in identifying </w:t>
      </w:r>
      <w:r w:rsidR="0051498B">
        <w:rPr>
          <w:bCs/>
        </w:rPr>
        <w:t xml:space="preserve">the potential </w:t>
      </w:r>
      <w:proofErr w:type="spellStart"/>
      <w:r w:rsidR="0051498B">
        <w:rPr>
          <w:bCs/>
        </w:rPr>
        <w:t>guardband</w:t>
      </w:r>
      <w:proofErr w:type="spellEnd"/>
      <w:r w:rsidR="0051498B">
        <w:rPr>
          <w:bCs/>
        </w:rPr>
        <w:t xml:space="preserve"> benefits</w:t>
      </w:r>
      <w:r w:rsidRPr="0064070A">
        <w:rPr>
          <w:bCs/>
        </w:rPr>
        <w:t>. We would welcome further discussion on the ACLR power steps.</w:t>
      </w:r>
    </w:p>
    <w:p w14:paraId="6FBFEF79" w14:textId="2C7DD750" w:rsidR="0064070A" w:rsidRDefault="0064070A" w:rsidP="0064070A">
      <w:pPr>
        <w:spacing w:after="0"/>
        <w:jc w:val="both"/>
        <w:rPr>
          <w:b/>
        </w:rPr>
      </w:pPr>
      <w:r w:rsidRPr="0064070A">
        <w:rPr>
          <w:b/>
          <w:u w:val="single"/>
        </w:rPr>
        <w:t xml:space="preserve">Proposal </w:t>
      </w:r>
      <w:r w:rsidR="00A977E5">
        <w:rPr>
          <w:b/>
          <w:u w:val="single"/>
        </w:rPr>
        <w:t>4</w:t>
      </w:r>
      <w:r w:rsidRPr="0064070A">
        <w:rPr>
          <w:b/>
        </w:rPr>
        <w:t>: Consider a 2-step ACLR model</w:t>
      </w:r>
      <w:r w:rsidR="00A977E5">
        <w:rPr>
          <w:b/>
        </w:rPr>
        <w:t xml:space="preserve"> for adjacent channel interference modelling</w:t>
      </w:r>
      <w:r w:rsidR="0051498B">
        <w:rPr>
          <w:b/>
        </w:rPr>
        <w:t xml:space="preserve">. Further </w:t>
      </w:r>
      <w:r w:rsidRPr="0064070A">
        <w:rPr>
          <w:b/>
        </w:rPr>
        <w:t>discuss the step size</w:t>
      </w:r>
      <w:r w:rsidR="00A977E5">
        <w:rPr>
          <w:b/>
        </w:rPr>
        <w:t>s</w:t>
      </w:r>
      <w:r w:rsidRPr="0064070A">
        <w:rPr>
          <w:b/>
        </w:rPr>
        <w:t>.</w:t>
      </w:r>
    </w:p>
    <w:p w14:paraId="52472812" w14:textId="7D9DD8D6" w:rsidR="0064070A" w:rsidRDefault="0064070A" w:rsidP="0064070A">
      <w:pPr>
        <w:spacing w:after="0"/>
        <w:jc w:val="both"/>
        <w:rPr>
          <w:rFonts w:asciiTheme="minorHAnsi" w:hAnsiTheme="minorHAnsi"/>
          <w:b/>
          <w:sz w:val="28"/>
          <w:szCs w:val="18"/>
          <w:lang w:eastAsia="zh-TW"/>
        </w:rPr>
      </w:pPr>
    </w:p>
    <w:p w14:paraId="2B947F88" w14:textId="77777777" w:rsidR="00A977E5" w:rsidRPr="0064070A" w:rsidRDefault="00A977E5" w:rsidP="0064070A">
      <w:pPr>
        <w:spacing w:after="0"/>
        <w:jc w:val="both"/>
        <w:rPr>
          <w:rFonts w:asciiTheme="minorHAnsi" w:hAnsiTheme="minorHAnsi"/>
          <w:b/>
          <w:sz w:val="28"/>
          <w:szCs w:val="18"/>
          <w:lang w:eastAsia="zh-TW"/>
        </w:rPr>
      </w:pPr>
    </w:p>
    <w:p w14:paraId="16CA4DAE" w14:textId="4C3CA390" w:rsidR="002F4081" w:rsidRDefault="002F4081" w:rsidP="00C40EE4">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lastRenderedPageBreak/>
        <w:t>Proposals</w:t>
      </w:r>
    </w:p>
    <w:p w14:paraId="488BE62E" w14:textId="65683714" w:rsidR="002F4081" w:rsidRPr="00FB65EB" w:rsidRDefault="002F4081" w:rsidP="002F4081">
      <w:pPr>
        <w:jc w:val="both"/>
        <w:rPr>
          <w:bCs/>
          <w:lang w:eastAsia="zh-TW"/>
        </w:rPr>
      </w:pPr>
      <w:r w:rsidRPr="00FB65EB">
        <w:rPr>
          <w:bCs/>
          <w:lang w:eastAsia="zh-TW"/>
        </w:rPr>
        <w:t>The following proposals are made in this document:</w:t>
      </w:r>
    </w:p>
    <w:p w14:paraId="6313872A" w14:textId="77777777" w:rsidR="00A977E5" w:rsidRPr="00A977E5" w:rsidRDefault="00A977E5" w:rsidP="00A977E5">
      <w:pPr>
        <w:rPr>
          <w:lang w:eastAsia="zh-TW"/>
        </w:rPr>
      </w:pPr>
      <w:r w:rsidRPr="00A977E5">
        <w:rPr>
          <w:u w:val="single"/>
          <w:lang w:eastAsia="zh-TW"/>
        </w:rPr>
        <w:t>Observation 1</w:t>
      </w:r>
      <w:r w:rsidRPr="00A977E5">
        <w:rPr>
          <w:lang w:eastAsia="zh-TW"/>
        </w:rPr>
        <w:t>: Direct application of UE ACLR/ACS requirements are not suitable for co-channel modelling of legacy UE impacts without adding additional system impacts/constraints that would need to be included in any performance modelling, such as defining one cell per sub-band.</w:t>
      </w:r>
    </w:p>
    <w:p w14:paraId="7F35430D" w14:textId="77777777" w:rsidR="00A977E5" w:rsidRPr="00A977E5" w:rsidRDefault="00A977E5" w:rsidP="00A977E5">
      <w:pPr>
        <w:rPr>
          <w:lang w:eastAsia="zh-TW"/>
        </w:rPr>
      </w:pPr>
      <w:r w:rsidRPr="00A977E5">
        <w:rPr>
          <w:u w:val="single"/>
          <w:lang w:eastAsia="zh-TW"/>
        </w:rPr>
        <w:t>Proposal 1</w:t>
      </w:r>
      <w:r w:rsidRPr="00A977E5">
        <w:rPr>
          <w:lang w:eastAsia="zh-TW"/>
        </w:rPr>
        <w:t>: Do not directly use UE ACLR/ACS requirements to model the UE-UE CLI in the co-channel case.</w:t>
      </w:r>
    </w:p>
    <w:p w14:paraId="5847B954" w14:textId="117AE123" w:rsidR="00A977E5" w:rsidRPr="00A977E5" w:rsidRDefault="00A977E5" w:rsidP="00A977E5">
      <w:pPr>
        <w:spacing w:after="120"/>
      </w:pPr>
      <w:r w:rsidRPr="00A977E5">
        <w:rPr>
          <w:u w:val="single"/>
        </w:rPr>
        <w:t>Observation 2</w:t>
      </w:r>
      <w:r w:rsidRPr="00A977E5">
        <w:t xml:space="preserve">: For co-channel interference rejection at FFT, the level of Rx interference is observed to be </w:t>
      </w:r>
      <w:r w:rsidRPr="00A977E5">
        <w:rPr>
          <w:u w:val="single"/>
        </w:rPr>
        <w:t>larger</w:t>
      </w:r>
      <w:r w:rsidRPr="00A977E5">
        <w:t xml:space="preserve"> than the IBE mask in the first adjacent RB to a 24 RB UL signal with typical timing offset, and on average over an equivalent 1</w:t>
      </w:r>
      <w:r w:rsidRPr="00A977E5">
        <w:rPr>
          <w:vertAlign w:val="superscript"/>
        </w:rPr>
        <w:t>st</w:t>
      </w:r>
      <w:r w:rsidRPr="00A977E5">
        <w:t xml:space="preserve"> adjacent DL sub-band of 24 RBs is observed to be 30dB lower than the UL Tx signal with 1 RB guard band. </w:t>
      </w:r>
    </w:p>
    <w:p w14:paraId="529DB8FC" w14:textId="77777777" w:rsidR="00A977E5" w:rsidRPr="00A977E5" w:rsidRDefault="00A977E5" w:rsidP="00A977E5">
      <w:pPr>
        <w:spacing w:after="120"/>
      </w:pPr>
      <w:r w:rsidRPr="00A977E5">
        <w:rPr>
          <w:u w:val="single"/>
        </w:rPr>
        <w:t>Proposal 2</w:t>
      </w:r>
      <w:r w:rsidRPr="00A977E5">
        <w:t>: Consider imperfections in co-channel interference rejection at FFT as part of Rx modelling</w:t>
      </w:r>
    </w:p>
    <w:p w14:paraId="363F57BD" w14:textId="5A52D8DF" w:rsidR="00A977E5" w:rsidRPr="00A977E5" w:rsidRDefault="00A977E5" w:rsidP="00A977E5">
      <w:pPr>
        <w:spacing w:after="120"/>
      </w:pPr>
      <w:r w:rsidRPr="00A977E5">
        <w:rPr>
          <w:u w:val="single"/>
        </w:rPr>
        <w:t>Observation 3</w:t>
      </w:r>
      <w:r w:rsidRPr="00A977E5">
        <w:t>: Apart from maximum Input Level, there are no direct requirements for AGC behaviour defined in 3GPP. Therefore, any AGC modelling assumptions agreed as part of 3GPP work would need to be sufficiently generic and clearly stated as an indicative example.</w:t>
      </w:r>
    </w:p>
    <w:p w14:paraId="3715C69A" w14:textId="77777777" w:rsidR="00A977E5" w:rsidRPr="00A977E5" w:rsidRDefault="00A977E5" w:rsidP="00A977E5">
      <w:pPr>
        <w:spacing w:after="120"/>
      </w:pPr>
      <w:r w:rsidRPr="00A977E5">
        <w:rPr>
          <w:u w:val="single"/>
        </w:rPr>
        <w:t>Proposal 3</w:t>
      </w:r>
      <w:r w:rsidRPr="00A977E5">
        <w:t xml:space="preserve">: Feedback is invited to understand more details on the proposed model in R4-2211562 [4]. </w:t>
      </w:r>
    </w:p>
    <w:p w14:paraId="41F470D5" w14:textId="77777777" w:rsidR="00A977E5" w:rsidRPr="00A977E5" w:rsidRDefault="00A977E5" w:rsidP="00A977E5">
      <w:pPr>
        <w:spacing w:after="0"/>
        <w:jc w:val="both"/>
      </w:pPr>
      <w:r w:rsidRPr="00A977E5">
        <w:rPr>
          <w:u w:val="single"/>
        </w:rPr>
        <w:t>Proposal 4</w:t>
      </w:r>
      <w:r w:rsidRPr="00A977E5">
        <w:t>: Consider a 2-step ACLR model for adjacent channel interference modelling. Further discuss the step sizes.</w:t>
      </w:r>
    </w:p>
    <w:p w14:paraId="471C87F2" w14:textId="77777777" w:rsidR="00B80719" w:rsidRPr="00B8148D" w:rsidRDefault="00B80719" w:rsidP="00B8148D">
      <w:pPr>
        <w:spacing w:after="0"/>
        <w:rPr>
          <w:b/>
        </w:rPr>
      </w:pPr>
    </w:p>
    <w:p w14:paraId="2D96D250" w14:textId="4E8D1E25"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01BE3444" w14:textId="77777777" w:rsidR="00A977E5" w:rsidRPr="00A977E5" w:rsidRDefault="00650283" w:rsidP="00890126">
      <w:pPr>
        <w:spacing w:after="120"/>
        <w:ind w:left="567" w:hanging="567"/>
      </w:pPr>
      <w:r w:rsidRPr="00A977E5">
        <w:rPr>
          <w:lang w:eastAsia="zh-TW"/>
        </w:rPr>
        <w:t>[1]</w:t>
      </w:r>
      <w:r w:rsidRPr="00A977E5">
        <w:rPr>
          <w:lang w:eastAsia="zh-TW"/>
        </w:rPr>
        <w:tab/>
      </w:r>
      <w:r w:rsidR="00A977E5" w:rsidRPr="00A977E5">
        <w:rPr>
          <w:kern w:val="2"/>
          <w:lang w:val="en-US" w:eastAsia="ja-JP"/>
        </w:rPr>
        <w:t>R4-2214376, Reply LS on interference modelling for duplex evolution, Samsung, CMCC, Qualcomm</w:t>
      </w:r>
      <w:r w:rsidR="00A977E5" w:rsidRPr="00A977E5">
        <w:t xml:space="preserve"> </w:t>
      </w:r>
    </w:p>
    <w:p w14:paraId="6D860B8E" w14:textId="7EB85C69" w:rsidR="00927E38" w:rsidRPr="00A977E5" w:rsidRDefault="00927E38" w:rsidP="00890126">
      <w:pPr>
        <w:spacing w:after="120"/>
        <w:ind w:left="567" w:hanging="567"/>
      </w:pPr>
      <w:r w:rsidRPr="00A977E5">
        <w:t>[2]</w:t>
      </w:r>
      <w:r w:rsidRPr="00A977E5">
        <w:tab/>
      </w:r>
      <w:r w:rsidR="00A977E5" w:rsidRPr="00A977E5">
        <w:rPr>
          <w:kern w:val="2"/>
          <w:lang w:val="en-US" w:eastAsia="ja-JP"/>
        </w:rPr>
        <w:t>R4-2214377, WF on feasibility study from RF perspective, Samsung</w:t>
      </w:r>
    </w:p>
    <w:p w14:paraId="39B0F42B" w14:textId="4D9C8B92" w:rsidR="001516BA" w:rsidRPr="00A977E5" w:rsidRDefault="001516BA" w:rsidP="00890126">
      <w:pPr>
        <w:spacing w:after="120"/>
        <w:ind w:left="567" w:hanging="567"/>
      </w:pPr>
      <w:r w:rsidRPr="00A977E5">
        <w:t>[3]</w:t>
      </w:r>
      <w:r w:rsidRPr="00A977E5">
        <w:tab/>
        <w:t xml:space="preserve">R4-2212160, </w:t>
      </w:r>
      <w:r w:rsidRPr="00A977E5">
        <w:rPr>
          <w:rFonts w:eastAsia="SimSun"/>
          <w:lang w:val="en-US" w:eastAsia="zh-CN"/>
        </w:rPr>
        <w:t>Duplex enhancements UE-UE CLI modelling, MediaTek Inc.</w:t>
      </w:r>
    </w:p>
    <w:p w14:paraId="301AEA50" w14:textId="03AAB7AA" w:rsidR="001516BA" w:rsidRPr="00A977E5" w:rsidRDefault="001516BA" w:rsidP="00890126">
      <w:pPr>
        <w:spacing w:after="120"/>
        <w:ind w:left="567" w:hanging="567"/>
        <w:rPr>
          <w:color w:val="000000" w:themeColor="text1"/>
        </w:rPr>
      </w:pPr>
      <w:r w:rsidRPr="00A977E5">
        <w:t>[4]</w:t>
      </w:r>
      <w:r w:rsidRPr="00A977E5">
        <w:tab/>
      </w:r>
      <w:bookmarkStart w:id="2" w:name="_Hlk115478546"/>
      <w:r w:rsidRPr="00A977E5">
        <w:t>R4-2211562</w:t>
      </w:r>
      <w:bookmarkEnd w:id="2"/>
      <w:r w:rsidRPr="00A977E5">
        <w:t xml:space="preserve">, </w:t>
      </w:r>
      <w:r w:rsidRPr="00A977E5">
        <w:rPr>
          <w:color w:val="000000" w:themeColor="text1"/>
        </w:rPr>
        <w:t>Feasibility of and impact on RF requirements for self-interference and CLI, Qualcomm</w:t>
      </w:r>
    </w:p>
    <w:p w14:paraId="47549AAC" w14:textId="0EE0F45B" w:rsidR="001516BA" w:rsidRPr="00A977E5" w:rsidRDefault="001516BA" w:rsidP="00890126">
      <w:pPr>
        <w:spacing w:after="120"/>
        <w:ind w:left="567" w:hanging="567"/>
      </w:pPr>
      <w:r w:rsidRPr="00A977E5">
        <w:rPr>
          <w:color w:val="000000" w:themeColor="text1"/>
        </w:rPr>
        <w:t>[5]</w:t>
      </w:r>
      <w:r w:rsidRPr="00A977E5">
        <w:rPr>
          <w:color w:val="000000" w:themeColor="text1"/>
        </w:rPr>
        <w:tab/>
      </w:r>
      <w:r w:rsidRPr="00A977E5">
        <w:t>R4-2211880, On UE-UE CLI modelling, Apple</w:t>
      </w:r>
    </w:p>
    <w:p w14:paraId="233AFC45" w14:textId="28ECA7A1" w:rsidR="00A40D33" w:rsidRDefault="00A40D33" w:rsidP="00890126">
      <w:pPr>
        <w:spacing w:after="120"/>
        <w:ind w:left="567" w:hanging="567"/>
        <w:rPr>
          <w:bCs/>
        </w:rPr>
      </w:pPr>
    </w:p>
    <w:p w14:paraId="53D7F9EE" w14:textId="77777777" w:rsidR="00A40D33" w:rsidRPr="00A40D33" w:rsidRDefault="00A40D33" w:rsidP="00A40D33"/>
    <w:sectPr w:rsidR="00A40D33" w:rsidRPr="00A40D3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3F97D" w14:textId="77777777" w:rsidR="00874D24" w:rsidRDefault="00874D24">
      <w:r>
        <w:separator/>
      </w:r>
    </w:p>
  </w:endnote>
  <w:endnote w:type="continuationSeparator" w:id="0">
    <w:p w14:paraId="1122DB68" w14:textId="77777777" w:rsidR="00874D24" w:rsidRDefault="0087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EAC8B" w14:textId="77777777" w:rsidR="00874D24" w:rsidRDefault="00874D24">
      <w:r>
        <w:separator/>
      </w:r>
    </w:p>
  </w:footnote>
  <w:footnote w:type="continuationSeparator" w:id="0">
    <w:p w14:paraId="1E77F7D7" w14:textId="77777777" w:rsidR="00874D24" w:rsidRDefault="00874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676C"/>
    <w:multiLevelType w:val="hybridMultilevel"/>
    <w:tmpl w:val="67E07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EF028C"/>
    <w:multiLevelType w:val="multilevel"/>
    <w:tmpl w:val="C19E48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5"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8"/>
  </w:num>
  <w:num w:numId="3">
    <w:abstractNumId w:val="21"/>
  </w:num>
  <w:num w:numId="4">
    <w:abstractNumId w:val="18"/>
  </w:num>
  <w:num w:numId="5">
    <w:abstractNumId w:val="12"/>
  </w:num>
  <w:num w:numId="6">
    <w:abstractNumId w:val="16"/>
  </w:num>
  <w:num w:numId="7">
    <w:abstractNumId w:val="15"/>
  </w:num>
  <w:num w:numId="8">
    <w:abstractNumId w:val="17"/>
  </w:num>
  <w:num w:numId="9">
    <w:abstractNumId w:val="5"/>
  </w:num>
  <w:num w:numId="10">
    <w:abstractNumId w:val="11"/>
  </w:num>
  <w:num w:numId="11">
    <w:abstractNumId w:val="6"/>
  </w:num>
  <w:num w:numId="12">
    <w:abstractNumId w:val="22"/>
  </w:num>
  <w:num w:numId="13">
    <w:abstractNumId w:val="2"/>
  </w:num>
  <w:num w:numId="14">
    <w:abstractNumId w:val="24"/>
  </w:num>
  <w:num w:numId="15">
    <w:abstractNumId w:val="9"/>
  </w:num>
  <w:num w:numId="16">
    <w:abstractNumId w:val="23"/>
  </w:num>
  <w:num w:numId="17">
    <w:abstractNumId w:val="3"/>
  </w:num>
  <w:num w:numId="18">
    <w:abstractNumId w:val="20"/>
  </w:num>
  <w:num w:numId="19">
    <w:abstractNumId w:val="13"/>
  </w:num>
  <w:num w:numId="20">
    <w:abstractNumId w:val="4"/>
  </w:num>
  <w:num w:numId="21">
    <w:abstractNumId w:val="7"/>
  </w:num>
  <w:num w:numId="22">
    <w:abstractNumId w:val="19"/>
  </w:num>
  <w:num w:numId="23">
    <w:abstractNumId w:val="25"/>
  </w:num>
  <w:num w:numId="24">
    <w:abstractNumId w:val="26"/>
  </w:num>
  <w:num w:numId="25">
    <w:abstractNumId w:val="10"/>
  </w:num>
  <w:num w:numId="26">
    <w:abstractNumId w:val="1"/>
  </w:num>
  <w:num w:numId="2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4D00"/>
    <w:rsid w:val="0006509A"/>
    <w:rsid w:val="0006529E"/>
    <w:rsid w:val="00065840"/>
    <w:rsid w:val="00065B1A"/>
    <w:rsid w:val="000672B2"/>
    <w:rsid w:val="0006733D"/>
    <w:rsid w:val="00067717"/>
    <w:rsid w:val="00071E1A"/>
    <w:rsid w:val="00072472"/>
    <w:rsid w:val="000728B9"/>
    <w:rsid w:val="00072D4C"/>
    <w:rsid w:val="00072F45"/>
    <w:rsid w:val="00074BF1"/>
    <w:rsid w:val="00074E75"/>
    <w:rsid w:val="00075A79"/>
    <w:rsid w:val="000804BB"/>
    <w:rsid w:val="000806FE"/>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54C6"/>
    <w:rsid w:val="000D6CFC"/>
    <w:rsid w:val="000D7A80"/>
    <w:rsid w:val="000E005A"/>
    <w:rsid w:val="000E108C"/>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1EEC"/>
    <w:rsid w:val="00143961"/>
    <w:rsid w:val="0014420A"/>
    <w:rsid w:val="00144695"/>
    <w:rsid w:val="00145FBD"/>
    <w:rsid w:val="00147186"/>
    <w:rsid w:val="00147CC2"/>
    <w:rsid w:val="001507BF"/>
    <w:rsid w:val="00151018"/>
    <w:rsid w:val="001516BA"/>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1F6"/>
    <w:rsid w:val="002023A0"/>
    <w:rsid w:val="002023BA"/>
    <w:rsid w:val="0020268A"/>
    <w:rsid w:val="002029AF"/>
    <w:rsid w:val="00202AE7"/>
    <w:rsid w:val="00204705"/>
    <w:rsid w:val="00204ADC"/>
    <w:rsid w:val="00205923"/>
    <w:rsid w:val="0020670D"/>
    <w:rsid w:val="00206A11"/>
    <w:rsid w:val="00206F48"/>
    <w:rsid w:val="0020714A"/>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1432"/>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06A4"/>
    <w:rsid w:val="002C3EB2"/>
    <w:rsid w:val="002C3F4C"/>
    <w:rsid w:val="002C5300"/>
    <w:rsid w:val="002C77FF"/>
    <w:rsid w:val="002C7BA2"/>
    <w:rsid w:val="002D03E5"/>
    <w:rsid w:val="002D06F5"/>
    <w:rsid w:val="002D1BF6"/>
    <w:rsid w:val="002D25CF"/>
    <w:rsid w:val="002D2C39"/>
    <w:rsid w:val="002D36ED"/>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56"/>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5214"/>
    <w:rsid w:val="004E632D"/>
    <w:rsid w:val="004E72E8"/>
    <w:rsid w:val="004E7758"/>
    <w:rsid w:val="004F03DF"/>
    <w:rsid w:val="004F0B5D"/>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498B"/>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21D3"/>
    <w:rsid w:val="005F3B5C"/>
    <w:rsid w:val="005F4426"/>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070A"/>
    <w:rsid w:val="00641C49"/>
    <w:rsid w:val="006428A0"/>
    <w:rsid w:val="00643C8B"/>
    <w:rsid w:val="006440CD"/>
    <w:rsid w:val="006446CD"/>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FF6"/>
    <w:rsid w:val="00697EFA"/>
    <w:rsid w:val="006A0411"/>
    <w:rsid w:val="006A266E"/>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0CE"/>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C24"/>
    <w:rsid w:val="00790E3B"/>
    <w:rsid w:val="00791181"/>
    <w:rsid w:val="00791352"/>
    <w:rsid w:val="00791693"/>
    <w:rsid w:val="00791D38"/>
    <w:rsid w:val="00792949"/>
    <w:rsid w:val="007929C9"/>
    <w:rsid w:val="00792C91"/>
    <w:rsid w:val="007958B8"/>
    <w:rsid w:val="00796B70"/>
    <w:rsid w:val="00796E77"/>
    <w:rsid w:val="00797465"/>
    <w:rsid w:val="00797AAC"/>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68B3"/>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08"/>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69"/>
    <w:rsid w:val="008419F9"/>
    <w:rsid w:val="00841A18"/>
    <w:rsid w:val="00841B85"/>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968"/>
    <w:rsid w:val="0085532E"/>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4D24"/>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3E06"/>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27E38"/>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1C1F"/>
    <w:rsid w:val="009B1FF3"/>
    <w:rsid w:val="009B21CC"/>
    <w:rsid w:val="009B26E4"/>
    <w:rsid w:val="009B3505"/>
    <w:rsid w:val="009B3986"/>
    <w:rsid w:val="009B43BB"/>
    <w:rsid w:val="009B5F8E"/>
    <w:rsid w:val="009B710B"/>
    <w:rsid w:val="009C00F9"/>
    <w:rsid w:val="009C0495"/>
    <w:rsid w:val="009C0727"/>
    <w:rsid w:val="009C13D5"/>
    <w:rsid w:val="009C1F65"/>
    <w:rsid w:val="009C2FE9"/>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977E5"/>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98C"/>
    <w:rsid w:val="00AC1DE0"/>
    <w:rsid w:val="00AC35BA"/>
    <w:rsid w:val="00AC3888"/>
    <w:rsid w:val="00AC40A7"/>
    <w:rsid w:val="00AC45C7"/>
    <w:rsid w:val="00AC4BEF"/>
    <w:rsid w:val="00AC5074"/>
    <w:rsid w:val="00AC5DE4"/>
    <w:rsid w:val="00AC66AC"/>
    <w:rsid w:val="00AC70B9"/>
    <w:rsid w:val="00AC72BE"/>
    <w:rsid w:val="00AC7F7D"/>
    <w:rsid w:val="00AD1F84"/>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0BC0"/>
    <w:rsid w:val="00B12C46"/>
    <w:rsid w:val="00B14E98"/>
    <w:rsid w:val="00B153D4"/>
    <w:rsid w:val="00B16A35"/>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C23"/>
    <w:rsid w:val="00B50056"/>
    <w:rsid w:val="00B50BAA"/>
    <w:rsid w:val="00B50ED7"/>
    <w:rsid w:val="00B51542"/>
    <w:rsid w:val="00B524F1"/>
    <w:rsid w:val="00B52686"/>
    <w:rsid w:val="00B5285F"/>
    <w:rsid w:val="00B531C5"/>
    <w:rsid w:val="00B53DB0"/>
    <w:rsid w:val="00B54F78"/>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0CF"/>
    <w:rsid w:val="00BC7C82"/>
    <w:rsid w:val="00BD1314"/>
    <w:rsid w:val="00BD2965"/>
    <w:rsid w:val="00BD2C9B"/>
    <w:rsid w:val="00BD2D47"/>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8C5"/>
    <w:rsid w:val="00D41014"/>
    <w:rsid w:val="00D426BA"/>
    <w:rsid w:val="00D4313E"/>
    <w:rsid w:val="00D43217"/>
    <w:rsid w:val="00D43C41"/>
    <w:rsid w:val="00D449ED"/>
    <w:rsid w:val="00D44B8C"/>
    <w:rsid w:val="00D45054"/>
    <w:rsid w:val="00D45A94"/>
    <w:rsid w:val="00D45FD5"/>
    <w:rsid w:val="00D46AF6"/>
    <w:rsid w:val="00D47293"/>
    <w:rsid w:val="00D47A61"/>
    <w:rsid w:val="00D47D83"/>
    <w:rsid w:val="00D5065F"/>
    <w:rsid w:val="00D50D53"/>
    <w:rsid w:val="00D50FE5"/>
    <w:rsid w:val="00D51767"/>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5F3"/>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78A4"/>
    <w:rsid w:val="00DE0D31"/>
    <w:rsid w:val="00DE0D9A"/>
    <w:rsid w:val="00DE178B"/>
    <w:rsid w:val="00DE1BA9"/>
    <w:rsid w:val="00DE2AF7"/>
    <w:rsid w:val="00DE3001"/>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47512"/>
    <w:rsid w:val="00E50C66"/>
    <w:rsid w:val="00E50D4C"/>
    <w:rsid w:val="00E51485"/>
    <w:rsid w:val="00E52EF3"/>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C7F21"/>
    <w:rsid w:val="00ED066D"/>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63C6"/>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6E11"/>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10613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6</cp:revision>
  <cp:lastPrinted>2017-11-03T15:53:00Z</cp:lastPrinted>
  <dcterms:created xsi:type="dcterms:W3CDTF">2022-09-30T21:14:00Z</dcterms:created>
  <dcterms:modified xsi:type="dcterms:W3CDTF">2022-09-30T23:12:00Z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