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36479738"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8920B4">
        <w:rPr>
          <w:rFonts w:cs="Arial"/>
          <w:sz w:val="24"/>
          <w:szCs w:val="24"/>
          <w:lang w:val="de-DE"/>
        </w:rPr>
        <w:t>4</w:t>
      </w:r>
      <w:r w:rsidR="00E73CFD">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C61041">
        <w:rPr>
          <w:rFonts w:cs="Arial"/>
          <w:sz w:val="24"/>
          <w:szCs w:val="24"/>
          <w:lang w:val="de-DE"/>
        </w:rPr>
        <w:t>16647</w:t>
      </w:r>
    </w:p>
    <w:p w14:paraId="7C5F9A1F" w14:textId="358589D7" w:rsidR="006E440C" w:rsidRPr="00DB3907" w:rsidRDefault="00B43838" w:rsidP="006E440C">
      <w:pPr>
        <w:pStyle w:val="Header"/>
        <w:tabs>
          <w:tab w:val="left" w:pos="6521"/>
        </w:tabs>
        <w:rPr>
          <w:rFonts w:cs="Arial"/>
          <w:sz w:val="24"/>
          <w:szCs w:val="24"/>
        </w:rPr>
      </w:pPr>
      <w:r>
        <w:rPr>
          <w:rFonts w:cs="Arial"/>
          <w:sz w:val="24"/>
          <w:szCs w:val="24"/>
        </w:rPr>
        <w:t>October</w:t>
      </w:r>
      <w:r w:rsidR="006E440C">
        <w:rPr>
          <w:rFonts w:cs="Arial"/>
          <w:sz w:val="24"/>
          <w:szCs w:val="24"/>
        </w:rPr>
        <w:t xml:space="preserve"> </w:t>
      </w:r>
      <w:r w:rsidR="00324696">
        <w:rPr>
          <w:rFonts w:cs="Arial"/>
          <w:sz w:val="24"/>
          <w:szCs w:val="24"/>
        </w:rPr>
        <w:t>1</w:t>
      </w:r>
      <w:r>
        <w:rPr>
          <w:rFonts w:cs="Arial"/>
          <w:sz w:val="24"/>
          <w:szCs w:val="24"/>
        </w:rPr>
        <w:t>0</w:t>
      </w:r>
      <w:r w:rsidR="006E440C">
        <w:rPr>
          <w:rFonts w:cs="Arial"/>
          <w:sz w:val="24"/>
          <w:szCs w:val="24"/>
          <w:vertAlign w:val="superscript"/>
        </w:rPr>
        <w:t>th</w:t>
      </w:r>
      <w:r w:rsidR="006E440C">
        <w:rPr>
          <w:rFonts w:cs="Arial"/>
          <w:sz w:val="24"/>
          <w:szCs w:val="24"/>
        </w:rPr>
        <w:t xml:space="preserve"> ‒ </w:t>
      </w:r>
      <w:r>
        <w:rPr>
          <w:rFonts w:cs="Arial"/>
          <w:sz w:val="24"/>
          <w:szCs w:val="24"/>
        </w:rPr>
        <w:t>19</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2CC5BA9"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E33A1F">
        <w:rPr>
          <w:rFonts w:ascii="Arial" w:hAnsi="Arial"/>
          <w:sz w:val="24"/>
          <w:lang w:val="en-US"/>
        </w:rPr>
        <w:t>5.27.2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6CF85E05"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E73CFD">
        <w:rPr>
          <w:rFonts w:ascii="Arial" w:hAnsi="Arial"/>
          <w:sz w:val="24"/>
          <w:lang w:val="en-US"/>
        </w:rPr>
        <w:t>Variable duplex for the APT 600 MHz band</w:t>
      </w:r>
    </w:p>
    <w:p w14:paraId="013F978F" w14:textId="6DA2FBE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AD550E">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551B1B46" w14:textId="1A0B4021" w:rsidR="00B43838" w:rsidRDefault="001303FD" w:rsidP="00354733">
      <w:pPr>
        <w:rPr>
          <w:lang w:val="en-US"/>
        </w:rPr>
      </w:pPr>
      <w:r>
        <w:rPr>
          <w:lang w:val="en-US"/>
        </w:rPr>
        <w:t xml:space="preserve">The APT 600 MHz band </w:t>
      </w:r>
      <w:r w:rsidR="00B43838">
        <w:rPr>
          <w:lang w:val="en-US"/>
        </w:rPr>
        <w:t xml:space="preserve">plan has been agreed.  Its native duplex spacing is 51 MHz, but there has been discussion of defining alternative duplex spacings to accommodate the usage of legacy Band n71 devices for the portion of the band overlapping with Band n71.  This contribution explores the </w:t>
      </w:r>
      <w:r w:rsidR="007C62CA">
        <w:rPr>
          <w:lang w:val="en-US"/>
        </w:rPr>
        <w:t>possibility of variable duplex in this band.</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1FBCC6CC" w14:textId="22422F3C" w:rsidR="00AC403D" w:rsidRDefault="00DD63B9" w:rsidP="00AC403D">
      <w:pPr>
        <w:rPr>
          <w:lang w:val="en-US"/>
        </w:rPr>
      </w:pPr>
      <w:r>
        <w:rPr>
          <w:lang w:val="en-US"/>
        </w:rPr>
        <w:t>In response</w:t>
      </w:r>
      <w:r w:rsidR="00AC403D">
        <w:rPr>
          <w:lang w:val="en-US"/>
        </w:rPr>
        <w:t xml:space="preserve"> to </w:t>
      </w:r>
      <w:r w:rsidR="00801F29">
        <w:rPr>
          <w:lang w:val="en-US"/>
        </w:rPr>
        <w:t>feedback</w:t>
      </w:r>
      <w:r w:rsidR="00BA7B5F">
        <w:rPr>
          <w:lang w:val="en-US"/>
        </w:rPr>
        <w:t xml:space="preserve"> from AWG</w:t>
      </w:r>
      <w:r>
        <w:rPr>
          <w:lang w:val="en-US"/>
        </w:rPr>
        <w:t xml:space="preserve"> identifying </w:t>
      </w:r>
      <w:r w:rsidR="00BA7B5F">
        <w:rPr>
          <w:lang w:val="en-US"/>
        </w:rPr>
        <w:t>the preferred frequency plan</w:t>
      </w:r>
      <w:r w:rsidR="00DD3CC3">
        <w:rPr>
          <w:lang w:val="en-US"/>
        </w:rPr>
        <w:t xml:space="preserve"> is accord</w:t>
      </w:r>
      <w:r>
        <w:rPr>
          <w:lang w:val="en-US"/>
        </w:rPr>
        <w:t xml:space="preserve">ance with </w:t>
      </w:r>
      <w:r w:rsidR="00DD3CC3">
        <w:rPr>
          <w:lang w:val="en-US"/>
        </w:rPr>
        <w:t>option B1</w:t>
      </w:r>
      <w:r>
        <w:rPr>
          <w:lang w:val="en-US"/>
        </w:rPr>
        <w:t xml:space="preserve">, the work item description </w:t>
      </w:r>
      <w:r w:rsidR="00801F29">
        <w:rPr>
          <w:lang w:val="en-US"/>
        </w:rPr>
        <w:t xml:space="preserve">[1] </w:t>
      </w:r>
      <w:r>
        <w:rPr>
          <w:lang w:val="en-US"/>
        </w:rPr>
        <w:t xml:space="preserve">for the APT 600 band </w:t>
      </w:r>
      <w:r w:rsidR="00801F29">
        <w:rPr>
          <w:lang w:val="en-US"/>
        </w:rPr>
        <w:t>lists the frequency arrangement as</w:t>
      </w:r>
    </w:p>
    <w:p w14:paraId="09E4FFEB" w14:textId="77777777" w:rsidR="008E532F" w:rsidRDefault="008E532F" w:rsidP="008E532F">
      <w:pPr>
        <w:pStyle w:val="TH"/>
      </w:pPr>
      <w:bookmarkStart w:id="0" w:name="_Hlk71023975"/>
      <w:r>
        <w:t>Table 1: NR operating band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8E532F" w14:paraId="3D81C9D4" w14:textId="77777777" w:rsidTr="00B27F0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13A9797" w14:textId="77777777" w:rsidR="008E532F" w:rsidRDefault="008E532F" w:rsidP="00B27F03">
            <w:pPr>
              <w:pStyle w:val="TAH"/>
              <w:rPr>
                <w:rFonts w:cs="Arial"/>
              </w:rPr>
            </w:pPr>
            <w:r>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FD63EB1" w14:textId="77777777" w:rsidR="008E532F" w:rsidRDefault="008E532F" w:rsidP="00B27F0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492FE70A" w14:textId="77777777" w:rsidR="008E532F" w:rsidRDefault="008E532F" w:rsidP="00B27F0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4DBF4333" w14:textId="77777777" w:rsidR="008E532F" w:rsidRDefault="008E532F" w:rsidP="00B27F03">
            <w:pPr>
              <w:pStyle w:val="TAH"/>
              <w:rPr>
                <w:rFonts w:cs="Arial"/>
              </w:rPr>
            </w:pPr>
            <w:r>
              <w:rPr>
                <w:rFonts w:cs="Arial"/>
              </w:rPr>
              <w:t>Duplex Mode</w:t>
            </w:r>
          </w:p>
        </w:tc>
      </w:tr>
      <w:tr w:rsidR="008E532F" w14:paraId="7D9F456F" w14:textId="77777777" w:rsidTr="00B27F0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37289CBD" w14:textId="77777777" w:rsidR="008E532F" w:rsidRDefault="008E532F" w:rsidP="00B27F03">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C11C685" w14:textId="77777777" w:rsidR="008E532F" w:rsidRDefault="008E532F" w:rsidP="00B27F03">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40F99736" w14:textId="77777777" w:rsidR="008E532F" w:rsidRDefault="008E532F" w:rsidP="00B27F03">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22AC39D" w14:textId="77777777" w:rsidR="008E532F" w:rsidRDefault="008E532F" w:rsidP="00B27F03">
            <w:pPr>
              <w:spacing w:after="0"/>
              <w:rPr>
                <w:rFonts w:ascii="Arial" w:hAnsi="Arial" w:cs="Arial"/>
                <w:b/>
                <w:sz w:val="18"/>
              </w:rPr>
            </w:pPr>
          </w:p>
        </w:tc>
      </w:tr>
      <w:tr w:rsidR="008E532F" w14:paraId="6220DC19" w14:textId="77777777" w:rsidTr="00B27F03">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237A6A3" w14:textId="77777777" w:rsidR="008E532F" w:rsidRDefault="008E532F" w:rsidP="00B27F03">
            <w:pPr>
              <w:pStyle w:val="TAC"/>
              <w:rPr>
                <w:rFonts w:cs="Arial"/>
              </w:rPr>
            </w:pPr>
          </w:p>
        </w:tc>
        <w:tc>
          <w:tcPr>
            <w:tcW w:w="1226" w:type="dxa"/>
            <w:tcBorders>
              <w:top w:val="single" w:sz="4" w:space="0" w:color="auto"/>
              <w:left w:val="single" w:sz="4" w:space="0" w:color="auto"/>
              <w:bottom w:val="single" w:sz="4" w:space="0" w:color="auto"/>
              <w:right w:val="nil"/>
            </w:tcBorders>
            <w:vAlign w:val="center"/>
            <w:hideMark/>
          </w:tcPr>
          <w:p w14:paraId="0C00AA0A" w14:textId="77777777" w:rsidR="008E532F" w:rsidRDefault="008E532F" w:rsidP="00B27F03">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1087E78D" w14:textId="77777777" w:rsidR="008E532F" w:rsidRDefault="008E532F" w:rsidP="00B27F03">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48CABC40" w14:textId="77777777" w:rsidR="008E532F" w:rsidRDefault="008E532F" w:rsidP="00B27F03">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24A4CDA6" w14:textId="77777777" w:rsidR="008E532F" w:rsidRDefault="008E532F" w:rsidP="00B27F03">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61723072" w14:textId="77777777" w:rsidR="008E532F" w:rsidRDefault="008E532F" w:rsidP="00B27F03">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74B968C4" w14:textId="77777777" w:rsidR="008E532F" w:rsidRDefault="008E532F" w:rsidP="00B27F03">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07F521DD" w14:textId="77777777" w:rsidR="008E532F" w:rsidRDefault="008E532F" w:rsidP="00B27F03">
            <w:pPr>
              <w:pStyle w:val="TAC"/>
              <w:rPr>
                <w:rFonts w:cs="Arial"/>
              </w:rPr>
            </w:pPr>
            <w:r>
              <w:rPr>
                <w:rFonts w:cs="Arial"/>
              </w:rPr>
              <w:t>FDD</w:t>
            </w:r>
          </w:p>
        </w:tc>
      </w:tr>
      <w:bookmarkEnd w:id="0"/>
    </w:tbl>
    <w:p w14:paraId="7E6BD55B" w14:textId="0156F025" w:rsidR="008E532F" w:rsidRDefault="008E532F" w:rsidP="00AC403D">
      <w:pPr>
        <w:rPr>
          <w:lang w:val="en-US"/>
        </w:rPr>
      </w:pPr>
    </w:p>
    <w:p w14:paraId="7F476420" w14:textId="36CF243A" w:rsidR="00EE78ED" w:rsidRDefault="00EE78ED" w:rsidP="00AC403D">
      <w:pPr>
        <w:rPr>
          <w:lang w:val="en-US"/>
        </w:rPr>
      </w:pPr>
      <w:r>
        <w:rPr>
          <w:lang w:val="en-US"/>
        </w:rPr>
        <w:t xml:space="preserve">It further </w:t>
      </w:r>
      <w:r w:rsidR="00D9485A">
        <w:rPr>
          <w:lang w:val="en-US"/>
        </w:rPr>
        <w:t>indicate</w:t>
      </w:r>
      <w:r w:rsidR="00801F29">
        <w:rPr>
          <w:lang w:val="en-US"/>
        </w:rPr>
        <w:t>s</w:t>
      </w:r>
      <w:r w:rsidR="00D9485A">
        <w:rPr>
          <w:lang w:val="en-US"/>
        </w:rPr>
        <w:t xml:space="preserve"> </w:t>
      </w:r>
      <w:r w:rsidR="00C416EA">
        <w:rPr>
          <w:lang w:val="en-US"/>
        </w:rPr>
        <w:t>“</w:t>
      </w:r>
      <w:r w:rsidR="00502ECA">
        <w:rPr>
          <w:lang w:val="en-US"/>
        </w:rPr>
        <w:t>Option B1</w:t>
      </w:r>
      <w:r w:rsidR="00C416EA">
        <w:rPr>
          <w:lang w:val="en-US"/>
        </w:rPr>
        <w:t xml:space="preserve"> with a single duplexer” should be the basis for the normative work.</w:t>
      </w:r>
    </w:p>
    <w:p w14:paraId="582B54C8" w14:textId="3F6666E6" w:rsidR="00801F29" w:rsidRDefault="00801F29" w:rsidP="00AC403D">
      <w:pPr>
        <w:rPr>
          <w:lang w:val="en-US"/>
        </w:rPr>
      </w:pPr>
      <w:r>
        <w:rPr>
          <w:lang w:val="en-US"/>
        </w:rPr>
        <w:t xml:space="preserve">Therefore, the native duplex separation for this band is -51 MHz since the downlink band is lower in frequency than the uplink band by 51 </w:t>
      </w:r>
      <w:proofErr w:type="spellStart"/>
      <w:r>
        <w:rPr>
          <w:lang w:val="en-US"/>
        </w:rPr>
        <w:t>MHz.</w:t>
      </w:r>
      <w:proofErr w:type="spellEnd"/>
      <w:r>
        <w:rPr>
          <w:lang w:val="en-US"/>
        </w:rPr>
        <w:t xml:space="preserve">  It is anticipated that regulators wishing to use this band will </w:t>
      </w:r>
      <w:proofErr w:type="gramStart"/>
      <w:r>
        <w:rPr>
          <w:lang w:val="en-US"/>
        </w:rPr>
        <w:t>allocated</w:t>
      </w:r>
      <w:proofErr w:type="gramEnd"/>
      <w:r>
        <w:rPr>
          <w:lang w:val="en-US"/>
        </w:rPr>
        <w:t xml:space="preserve"> spectrum accordingly.  Hence, the Tx-Rx separation </w:t>
      </w:r>
      <w:r w:rsidR="00200CA4">
        <w:rPr>
          <w:lang w:val="en-US"/>
        </w:rPr>
        <w:t>in [2]</w:t>
      </w:r>
      <w:r w:rsidR="003C7C6C">
        <w:rPr>
          <w:lang w:val="en-US"/>
        </w:rPr>
        <w:t xml:space="preserve"> is defined as -51 </w:t>
      </w:r>
      <w:proofErr w:type="spellStart"/>
      <w:r w:rsidR="003C7C6C">
        <w:rPr>
          <w:lang w:val="en-US"/>
        </w:rPr>
        <w:t>MHz.</w:t>
      </w:r>
      <w:proofErr w:type="spellEnd"/>
      <w:r w:rsidR="009D6ABE">
        <w:rPr>
          <w:lang w:val="en-US"/>
        </w:rPr>
        <w:t xml:space="preserve">  However, the possibility to specify additional spacings has also be proposed in [</w:t>
      </w:r>
      <w:r w:rsidR="00151CBC">
        <w:rPr>
          <w:lang w:val="en-US"/>
        </w:rPr>
        <w:t>3</w:t>
      </w:r>
      <w:r w:rsidR="009D6ABE">
        <w:rPr>
          <w:lang w:val="en-US"/>
        </w:rPr>
        <w:t>]</w:t>
      </w:r>
      <w:r w:rsidR="00151CBC">
        <w:rPr>
          <w:lang w:val="en-US"/>
        </w:rPr>
        <w:t>.</w:t>
      </w:r>
    </w:p>
    <w:p w14:paraId="5686611E" w14:textId="39EFC4A7" w:rsidR="00151CBC" w:rsidRDefault="0056322A" w:rsidP="00AC403D">
      <w:pPr>
        <w:rPr>
          <w:lang w:val="en-US"/>
        </w:rPr>
      </w:pPr>
      <w:r>
        <w:rPr>
          <w:lang w:val="en-US"/>
        </w:rPr>
        <w:t xml:space="preserve">The motivation behind the proposal in [3] is to </w:t>
      </w:r>
      <w:r w:rsidR="00F33F53">
        <w:rPr>
          <w:lang w:val="en-US"/>
        </w:rPr>
        <w:t xml:space="preserve">enable existing Band n71 devices to be reused for the new band within the Band n71 frequency range.  </w:t>
      </w:r>
      <w:r w:rsidR="00CD31DB">
        <w:rPr>
          <w:lang w:val="en-US"/>
        </w:rPr>
        <w:t>Thus, a 46 MHz spacing would be specified for compatibility with Band n71 legacy devices, but additional duplex spacings would also be needed to fully utilize the spectrum.  The concept is illustrated below in an example</w:t>
      </w:r>
    </w:p>
    <w:p w14:paraId="6060AE0E" w14:textId="77777777" w:rsidR="003550BD" w:rsidRDefault="003550BD" w:rsidP="003550BD">
      <w:pPr>
        <w:keepNext/>
      </w:pPr>
      <w:r w:rsidRPr="003550BD">
        <w:rPr>
          <w:noProof/>
        </w:rPr>
        <w:drawing>
          <wp:inline distT="0" distB="0" distL="0" distR="0" wp14:anchorId="11C48C3E" wp14:editId="41320BF6">
            <wp:extent cx="6115685" cy="2041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2041525"/>
                    </a:xfrm>
                    <a:prstGeom prst="rect">
                      <a:avLst/>
                    </a:prstGeom>
                    <a:noFill/>
                    <a:ln>
                      <a:noFill/>
                    </a:ln>
                  </pic:spPr>
                </pic:pic>
              </a:graphicData>
            </a:graphic>
          </wp:inline>
        </w:drawing>
      </w:r>
    </w:p>
    <w:p w14:paraId="3E580380" w14:textId="45F241C4" w:rsidR="00CD31DB" w:rsidRDefault="003550BD" w:rsidP="003550B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An illustration of variable duplex for APT 600 band</w:t>
      </w:r>
    </w:p>
    <w:p w14:paraId="79D1D2D1" w14:textId="68E4ECDE" w:rsidR="00825760" w:rsidRDefault="00825760" w:rsidP="00825760">
      <w:r>
        <w:lastRenderedPageBreak/>
        <w:t xml:space="preserve">In this example, an operator is allocated 2x15 MHz at the lower end of Band n105.  The downlink allocation is 612 – 627 MHz paired with an uplink allocation in 663 – 682 </w:t>
      </w:r>
      <w:proofErr w:type="spellStart"/>
      <w:r>
        <w:t>MHz.</w:t>
      </w:r>
      <w:proofErr w:type="spellEnd"/>
      <w:r>
        <w:t xml:space="preserve">  </w:t>
      </w:r>
      <w:proofErr w:type="gramStart"/>
      <w:r>
        <w:t>In order to</w:t>
      </w:r>
      <w:proofErr w:type="gramEnd"/>
      <w:r>
        <w:t xml:space="preserve"> enable legacy Band n71 devices, the operator must split the spectrum into two separate networks – one of which is compatible with Band n71 and the other for the leftover spectrum that is incompatible with Band n71.  In this example, 2x10 MHz of </w:t>
      </w:r>
      <w:r w:rsidR="00B44AAB">
        <w:t>the 2x15 MHz allocation is deployed in one network with 46 MHz spacing and therefore compatible with Band n71 devices (can also be used by Band n105 devices).  The remaining 2x5 MHz of the allocation is then deployed as a separate network with 61 MHz spacing to be used only by Band n105 devices</w:t>
      </w:r>
      <w:r w:rsidR="008577F4">
        <w:t xml:space="preserve"> (legacy Band n71 devices cannot access this network)</w:t>
      </w:r>
      <w:r w:rsidR="00B44AAB">
        <w:t xml:space="preserve">.  Therefore, for this to work, the operator must split the Band n105 allocation into two separate networks with different duplex spacings – one of which is 46 MHz and the other is </w:t>
      </w:r>
      <w:r w:rsidR="008802B8">
        <w:t>51 MHz, 56 MHz, 61 MHz, 66 MHz, 71 MHz, 76 MHz, 81 MHz, or 86 MHz</w:t>
      </w:r>
      <w:r w:rsidR="00B44AAB">
        <w:t xml:space="preserve"> assuming 5 MHz blocks.</w:t>
      </w:r>
      <w:r w:rsidR="003443F9">
        <w:t xml:space="preserve">  The Band n71 compatible network would be allocated </w:t>
      </w:r>
      <w:proofErr w:type="gramStart"/>
      <w:r w:rsidR="003443F9">
        <w:t>all of</w:t>
      </w:r>
      <w:proofErr w:type="gramEnd"/>
      <w:r w:rsidR="003443F9">
        <w:t xml:space="preserve"> the spectrum except for 5 MHz</w:t>
      </w:r>
      <w:r w:rsidR="00FB664D">
        <w:t xml:space="preserve"> while the Band n105 compatible network is only comprised of 2x5 </w:t>
      </w:r>
      <w:proofErr w:type="spellStart"/>
      <w:r w:rsidR="00FB664D">
        <w:t>MHz.</w:t>
      </w:r>
      <w:proofErr w:type="spellEnd"/>
    </w:p>
    <w:p w14:paraId="681F19CB" w14:textId="315FF371" w:rsidR="00B44AAB" w:rsidRDefault="00B44AAB" w:rsidP="00825760">
      <w:r>
        <w:t xml:space="preserve">Alternatively, the 2x15 MHz allocation can be deployed as a single 2x15 MHz network by using the native spacing of -51 </w:t>
      </w:r>
      <w:proofErr w:type="spellStart"/>
      <w:r>
        <w:t>MHz.</w:t>
      </w:r>
      <w:proofErr w:type="spellEnd"/>
      <w:r>
        <w:t xml:space="preserve">  Legacy Band n71 devices cannot be guaranteed to be able to connect to this network unless they support a spacing of -51 MHz as signalled in SIB.  </w:t>
      </w:r>
      <w:r w:rsidR="00450ECB">
        <w:t>Of course, this is a new band and the new band devices can fully support the entire spectrum.  Moreover</w:t>
      </w:r>
      <w:r>
        <w:t>, there is higher effic</w:t>
      </w:r>
      <w:r w:rsidR="00A61BC5">
        <w:t>iency</w:t>
      </w:r>
      <w:r w:rsidR="00450ECB">
        <w:t xml:space="preserve"> as well as higher available UE throughput in deploying a single 15 MHz network rather than two separate networks in minimizing the overhead associated with control and broadcast channels, the ability to schedule </w:t>
      </w:r>
      <w:proofErr w:type="gramStart"/>
      <w:r w:rsidR="00450ECB">
        <w:t>UE’s</w:t>
      </w:r>
      <w:proofErr w:type="gramEnd"/>
      <w:r w:rsidR="00450ECB">
        <w:t xml:space="preserve"> across the entire 15 MHz, etc.  Defining the new band with native duplex rather than </w:t>
      </w:r>
      <w:r w:rsidR="002D241D">
        <w:t>trying to split the band may also encourage the development of new terminals more expeditiously rather than attempting to rely on legacy Band n71 devices only over a portion of the band.</w:t>
      </w:r>
    </w:p>
    <w:p w14:paraId="490AF404" w14:textId="27E91890" w:rsidR="008802B8" w:rsidRDefault="008802B8" w:rsidP="00825760">
      <w:r>
        <w:t>There are significant network disadvantages in trying to retain a 46 MHz duplex spacing to enable legacy Band n71 devices to connect to the network.  It is proposed that if legacy Band n71 devices are high priority, the operator can deploy n71 without any new band definition.  However, since this is a new band with the objective to meet the requirements of operators where the 2x40 MHz option B1 band plan is available, it is proposed that the new band is defined to optimize the use of this spectrum.</w:t>
      </w:r>
    </w:p>
    <w:p w14:paraId="3A703D8A" w14:textId="34602148" w:rsidR="00450ECB" w:rsidRPr="002D241D" w:rsidRDefault="00450ECB" w:rsidP="00825760">
      <w:pPr>
        <w:rPr>
          <w:b/>
          <w:bCs/>
        </w:rPr>
      </w:pPr>
      <w:r w:rsidRPr="002D241D">
        <w:rPr>
          <w:b/>
          <w:bCs/>
        </w:rPr>
        <w:t xml:space="preserve">Proposal:  Unless there is </w:t>
      </w:r>
      <w:r w:rsidR="002D241D" w:rsidRPr="002D241D">
        <w:rPr>
          <w:b/>
          <w:bCs/>
        </w:rPr>
        <w:t xml:space="preserve">specific </w:t>
      </w:r>
      <w:r w:rsidRPr="002D241D">
        <w:rPr>
          <w:b/>
          <w:bCs/>
        </w:rPr>
        <w:t>operator request</w:t>
      </w:r>
      <w:r w:rsidR="002D241D" w:rsidRPr="002D241D">
        <w:rPr>
          <w:b/>
          <w:bCs/>
        </w:rPr>
        <w:t>, it is proposed not to define other duplex spacings besides -51 MHz for Band n105.</w:t>
      </w: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39757FCD" w14:textId="642CFE8A" w:rsidR="001F0242" w:rsidRDefault="00200065" w:rsidP="001F0242">
      <w:pPr>
        <w:rPr>
          <w:lang w:val="en-US"/>
        </w:rPr>
      </w:pPr>
      <w:r>
        <w:rPr>
          <w:lang w:val="en-US"/>
        </w:rPr>
        <w:t xml:space="preserve">A proposal on introducing variable duplex for the option B1 APT 600 MHz band has been explored in this contribution.  The motivation for the variable duplex is to enable legacy Band n71 devices to operate on some portion of this new spectrum.  However, </w:t>
      </w:r>
      <w:proofErr w:type="gramStart"/>
      <w:r>
        <w:rPr>
          <w:lang w:val="en-US"/>
        </w:rPr>
        <w:t>in order to</w:t>
      </w:r>
      <w:proofErr w:type="gramEnd"/>
      <w:r>
        <w:rPr>
          <w:lang w:val="en-US"/>
        </w:rPr>
        <w:t xml:space="preserve"> achieve this the operator’s spectrum must be split into two networks which results in a significant loss in efficiency due to the increased overhead and the loss in scheduling flexibility.  This is especially harmful when the spectrum allocation is modest, say 10 or 15 MHz which is the expected allocation in this band to any single operator</w:t>
      </w:r>
      <w:r w:rsidR="00B91A7E">
        <w:rPr>
          <w:lang w:val="en-US"/>
        </w:rPr>
        <w:t xml:space="preserve"> since the entire 2x40 MHz is expected to be divided among several operators </w:t>
      </w:r>
      <w:proofErr w:type="gramStart"/>
      <w:r w:rsidR="00B91A7E">
        <w:rPr>
          <w:lang w:val="en-US"/>
        </w:rPr>
        <w:t>in a given</w:t>
      </w:r>
      <w:proofErr w:type="gramEnd"/>
      <w:r w:rsidR="00B91A7E">
        <w:rPr>
          <w:lang w:val="en-US"/>
        </w:rPr>
        <w:t xml:space="preserve"> geography</w:t>
      </w:r>
      <w:r>
        <w:rPr>
          <w:lang w:val="en-US"/>
        </w:rPr>
        <w:t xml:space="preserve">.  Thus, </w:t>
      </w:r>
      <w:r w:rsidR="00B91A7E">
        <w:rPr>
          <w:lang w:val="en-US"/>
        </w:rPr>
        <w:t>splitting of the spectrum is not recommended.</w:t>
      </w:r>
      <w:r w:rsidR="00D31165">
        <w:rPr>
          <w:lang w:val="en-US"/>
        </w:rPr>
        <w:t xml:space="preserve">  Instead, it is proposed that the operators and equipment providers adopt the option B1 APT 600 band with native 51 MHz duplex to optimize use of the spectrum.</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F3B7E7A" w14:textId="639D0B1F" w:rsidR="00262113" w:rsidRDefault="0072630C" w:rsidP="00D23312">
      <w:pPr>
        <w:numPr>
          <w:ilvl w:val="0"/>
          <w:numId w:val="2"/>
        </w:numPr>
        <w:tabs>
          <w:tab w:val="left" w:pos="1080"/>
        </w:tabs>
        <w:rPr>
          <w:lang w:val="en-US" w:eastAsia="x-none"/>
        </w:rPr>
      </w:pPr>
      <w:bookmarkStart w:id="1" w:name="_Hlk859252"/>
      <w:r>
        <w:rPr>
          <w:lang w:val="en-US" w:eastAsia="x-none"/>
        </w:rPr>
        <w:t>RP-221778, “New WID on APT 600 MHz NR band,” Spark NZ, Qualcomm Inc</w:t>
      </w:r>
    </w:p>
    <w:p w14:paraId="1AC09315" w14:textId="79AA2936" w:rsidR="009D6ABE" w:rsidRDefault="00B82234" w:rsidP="00D23312">
      <w:pPr>
        <w:numPr>
          <w:ilvl w:val="0"/>
          <w:numId w:val="2"/>
        </w:numPr>
        <w:tabs>
          <w:tab w:val="left" w:pos="1080"/>
        </w:tabs>
        <w:rPr>
          <w:lang w:val="en-US" w:eastAsia="x-none"/>
        </w:rPr>
      </w:pPr>
      <w:r>
        <w:rPr>
          <w:lang w:val="en-US" w:eastAsia="x-none"/>
        </w:rPr>
        <w:t>R4-2215102, “Introduction of APT 600 MHz band,” Qualcomm Incorporated</w:t>
      </w:r>
    </w:p>
    <w:p w14:paraId="0FFC00F2" w14:textId="320F91D6" w:rsidR="00151CBC" w:rsidRDefault="00151CBC" w:rsidP="00D23312">
      <w:pPr>
        <w:numPr>
          <w:ilvl w:val="0"/>
          <w:numId w:val="2"/>
        </w:numPr>
        <w:tabs>
          <w:tab w:val="left" w:pos="1080"/>
        </w:tabs>
        <w:rPr>
          <w:lang w:val="en-US" w:eastAsia="x-none"/>
        </w:rPr>
      </w:pPr>
      <w:r>
        <w:rPr>
          <w:lang w:val="en-US" w:eastAsia="x-none"/>
        </w:rPr>
        <w:t>R4-2212353, “On APT 600 MHz band definition for NR,” Apple</w:t>
      </w:r>
      <w:bookmarkEnd w:id="1"/>
    </w:p>
    <w:sectPr w:rsidR="00151CBC"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D3340" w14:textId="77777777" w:rsidR="00096B02" w:rsidRDefault="00096B02">
      <w:r>
        <w:separator/>
      </w:r>
    </w:p>
  </w:endnote>
  <w:endnote w:type="continuationSeparator" w:id="0">
    <w:p w14:paraId="0505C7BE" w14:textId="77777777" w:rsidR="00096B02" w:rsidRDefault="0009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6C34E" w14:textId="77777777" w:rsidR="00096B02" w:rsidRDefault="00096B02">
      <w:r>
        <w:separator/>
      </w:r>
    </w:p>
  </w:footnote>
  <w:footnote w:type="continuationSeparator" w:id="0">
    <w:p w14:paraId="378D03DB" w14:textId="77777777" w:rsidR="00096B02" w:rsidRDefault="00096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4"/>
  </w:num>
  <w:num w:numId="2" w16cid:durableId="513963709">
    <w:abstractNumId w:val="27"/>
  </w:num>
  <w:num w:numId="3" w16cid:durableId="30959319">
    <w:abstractNumId w:val="31"/>
  </w:num>
  <w:num w:numId="4" w16cid:durableId="1579515455">
    <w:abstractNumId w:val="34"/>
  </w:num>
  <w:num w:numId="5" w16cid:durableId="1213884486">
    <w:abstractNumId w:val="25"/>
  </w:num>
  <w:num w:numId="6" w16cid:durableId="895549640">
    <w:abstractNumId w:val="10"/>
  </w:num>
  <w:num w:numId="7" w16cid:durableId="1494643654">
    <w:abstractNumId w:val="3"/>
  </w:num>
  <w:num w:numId="8" w16cid:durableId="1777947175">
    <w:abstractNumId w:val="30"/>
  </w:num>
  <w:num w:numId="9" w16cid:durableId="461308997">
    <w:abstractNumId w:val="11"/>
  </w:num>
  <w:num w:numId="10" w16cid:durableId="1624651259">
    <w:abstractNumId w:val="22"/>
  </w:num>
  <w:num w:numId="11" w16cid:durableId="1362783709">
    <w:abstractNumId w:val="36"/>
  </w:num>
  <w:num w:numId="12" w16cid:durableId="1425344883">
    <w:abstractNumId w:val="9"/>
  </w:num>
  <w:num w:numId="13" w16cid:durableId="2073697746">
    <w:abstractNumId w:val="19"/>
  </w:num>
  <w:num w:numId="14" w16cid:durableId="866678966">
    <w:abstractNumId w:val="5"/>
  </w:num>
  <w:num w:numId="15" w16cid:durableId="1666591006">
    <w:abstractNumId w:val="18"/>
  </w:num>
  <w:num w:numId="16" w16cid:durableId="1524439568">
    <w:abstractNumId w:val="35"/>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7"/>
  </w:num>
  <w:num w:numId="19" w16cid:durableId="2009550563">
    <w:abstractNumId w:val="16"/>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8"/>
  </w:num>
  <w:num w:numId="22" w16cid:durableId="1555431959">
    <w:abstractNumId w:val="13"/>
  </w:num>
  <w:num w:numId="23" w16cid:durableId="2045934884">
    <w:abstractNumId w:val="24"/>
  </w:num>
  <w:num w:numId="24" w16cid:durableId="1658996919">
    <w:abstractNumId w:val="32"/>
  </w:num>
  <w:num w:numId="25" w16cid:durableId="1145976948">
    <w:abstractNumId w:val="33"/>
  </w:num>
  <w:num w:numId="26" w16cid:durableId="1948657783">
    <w:abstractNumId w:val="4"/>
  </w:num>
  <w:num w:numId="27" w16cid:durableId="1612282645">
    <w:abstractNumId w:val="21"/>
  </w:num>
  <w:num w:numId="28" w16cid:durableId="126902088">
    <w:abstractNumId w:val="23"/>
  </w:num>
  <w:num w:numId="29" w16cid:durableId="906383168">
    <w:abstractNumId w:val="28"/>
  </w:num>
  <w:num w:numId="30" w16cid:durableId="1341155545">
    <w:abstractNumId w:val="6"/>
  </w:num>
  <w:num w:numId="31" w16cid:durableId="674380148">
    <w:abstractNumId w:val="12"/>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6"/>
  </w:num>
  <w:num w:numId="35" w16cid:durableId="2019849514">
    <w:abstractNumId w:val="15"/>
  </w:num>
  <w:num w:numId="36" w16cid:durableId="1071586423">
    <w:abstractNumId w:val="2"/>
  </w:num>
  <w:num w:numId="37" w16cid:durableId="1338195957">
    <w:abstractNumId w:val="29"/>
  </w:num>
  <w:num w:numId="38" w16cid:durableId="1058632768">
    <w:abstractNumId w:val="7"/>
  </w:num>
  <w:num w:numId="39" w16cid:durableId="1014115387">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6860"/>
    <w:rsid w:val="00096B02"/>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8E5"/>
    <w:rsid w:val="009A7E3C"/>
    <w:rsid w:val="009B0165"/>
    <w:rsid w:val="009B09B4"/>
    <w:rsid w:val="009B0B85"/>
    <w:rsid w:val="009B1475"/>
    <w:rsid w:val="009B15FC"/>
    <w:rsid w:val="009B17EC"/>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0C3"/>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0E"/>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04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A79"/>
    <w:rsid w:val="00E32B14"/>
    <w:rsid w:val="00E33A1F"/>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56B"/>
    <w:rsid w:val="00F375E7"/>
    <w:rsid w:val="00F37A2C"/>
    <w:rsid w:val="00F4013A"/>
    <w:rsid w:val="00F4035D"/>
    <w:rsid w:val="00F40694"/>
    <w:rsid w:val="00F40EB4"/>
    <w:rsid w:val="00F4288E"/>
    <w:rsid w:val="00F42BC0"/>
    <w:rsid w:val="00F434D7"/>
    <w:rsid w:val="00F437E7"/>
    <w:rsid w:val="00F43ADD"/>
    <w:rsid w:val="00F44A09"/>
    <w:rsid w:val="00F453EE"/>
    <w:rsid w:val="00F45965"/>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7051"/>
    <w:rsid w:val="00F574CA"/>
    <w:rsid w:val="00F577C7"/>
    <w:rsid w:val="00F57804"/>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2</Pages>
  <Words>871</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2022-09-30T15:59:00Z</dcterms:created>
  <dcterms:modified xsi:type="dcterms:W3CDTF">2022-09-30T15:59:00Z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