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4FD7E" w14:textId="7FE55A12" w:rsidR="003F75C7" w:rsidRPr="00410463" w:rsidRDefault="003F75C7" w:rsidP="003F75C7">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Start w:id="2" w:name="_Hlk101380190"/>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B325FE" w:rsidRPr="00B325FE">
        <w:rPr>
          <w:rFonts w:asciiTheme="minorHAnsi" w:eastAsiaTheme="minorEastAsia" w:hAnsiTheme="minorHAnsi" w:cstheme="minorHAnsi" w:hint="eastAsia"/>
          <w:bCs/>
          <w:noProof w:val="0"/>
          <w:sz w:val="24"/>
          <w:szCs w:val="24"/>
          <w:lang w:eastAsia="zh-CN"/>
        </w:rPr>
        <w:t>1576</w:t>
      </w:r>
      <w:r w:rsidR="00B325FE" w:rsidRPr="00B325FE">
        <w:rPr>
          <w:rFonts w:asciiTheme="minorHAnsi" w:eastAsiaTheme="minorEastAsia" w:hAnsiTheme="minorHAnsi" w:cstheme="minorHAnsi"/>
          <w:bCs/>
          <w:noProof w:val="0"/>
          <w:sz w:val="24"/>
          <w:szCs w:val="24"/>
          <w:lang w:eastAsia="zh-CN"/>
        </w:rPr>
        <w:t>5</w:t>
      </w:r>
    </w:p>
    <w:p w14:paraId="7C6D84C4" w14:textId="77777777" w:rsidR="003F75C7" w:rsidRPr="00410463" w:rsidRDefault="003F75C7" w:rsidP="003F75C7">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604EA5B3" w14:textId="4BFAD16F" w:rsidR="0036639A" w:rsidRPr="00643D10" w:rsidRDefault="0036639A" w:rsidP="0036639A">
      <w:pPr>
        <w:pStyle w:val="a5"/>
        <w:tabs>
          <w:tab w:val="right" w:pos="9639"/>
          <w:tab w:val="right" w:pos="13323"/>
        </w:tabs>
        <w:jc w:val="both"/>
        <w:rPr>
          <w:rFonts w:asciiTheme="minorHAnsi" w:eastAsia="新細明體" w:hAnsiTheme="minorHAnsi" w:cstheme="minorHAnsi"/>
          <w:bCs/>
          <w:noProof w:val="0"/>
          <w:sz w:val="24"/>
          <w:szCs w:val="24"/>
          <w:lang w:eastAsia="zh-TW"/>
        </w:rPr>
      </w:pPr>
      <w:r>
        <w:rPr>
          <w:rFonts w:asciiTheme="minorHAnsi" w:eastAsiaTheme="minorEastAsia" w:hAnsiTheme="minorHAnsi" w:cstheme="minorHAnsi"/>
          <w:bCs/>
          <w:noProof w:val="0"/>
          <w:sz w:val="24"/>
          <w:szCs w:val="24"/>
          <w:lang w:eastAsia="zh-CN"/>
        </w:rPr>
        <w:t xml:space="preserve">Agenda Item: </w:t>
      </w:r>
      <w:r w:rsidR="00643D10" w:rsidRPr="00E748DB">
        <w:rPr>
          <w:rFonts w:asciiTheme="minorHAnsi" w:eastAsiaTheme="minorEastAsia" w:hAnsiTheme="minorHAnsi" w:cstheme="minorHAnsi" w:hint="eastAsia"/>
          <w:bCs/>
          <w:noProof w:val="0"/>
          <w:sz w:val="24"/>
          <w:szCs w:val="24"/>
          <w:lang w:eastAsia="zh-CN"/>
        </w:rPr>
        <w:t>4.5</w:t>
      </w:r>
      <w:r w:rsidR="00643D10" w:rsidRPr="00F456B2">
        <w:rPr>
          <w:rFonts w:asciiTheme="minorHAnsi" w:eastAsiaTheme="minorEastAsia" w:hAnsiTheme="minorHAnsi" w:cstheme="minorHAnsi" w:hint="eastAsia"/>
          <w:bCs/>
          <w:noProof w:val="0"/>
          <w:sz w:val="24"/>
          <w:szCs w:val="24"/>
          <w:lang w:eastAsia="zh-CN"/>
        </w:rPr>
        <w:t>.</w:t>
      </w:r>
      <w:r w:rsidR="00643D10" w:rsidRPr="00E748DB">
        <w:rPr>
          <w:rFonts w:asciiTheme="minorHAnsi" w:eastAsiaTheme="minorEastAsia" w:hAnsiTheme="minorHAnsi" w:cstheme="minorHAnsi" w:hint="eastAsia"/>
          <w:bCs/>
          <w:noProof w:val="0"/>
          <w:sz w:val="24"/>
          <w:szCs w:val="24"/>
          <w:lang w:eastAsia="zh-CN"/>
        </w:rPr>
        <w:t>1</w:t>
      </w:r>
      <w:r w:rsidR="00643D10" w:rsidRPr="00F456B2">
        <w:rPr>
          <w:rFonts w:asciiTheme="minorHAnsi" w:eastAsiaTheme="minorEastAsia" w:hAnsiTheme="minorHAnsi" w:cstheme="minorHAnsi" w:hint="eastAsia"/>
          <w:bCs/>
          <w:noProof w:val="0"/>
          <w:sz w:val="24"/>
          <w:szCs w:val="24"/>
          <w:lang w:eastAsia="zh-CN"/>
        </w:rPr>
        <w:t>.</w:t>
      </w:r>
      <w:r w:rsidR="00643D10">
        <w:rPr>
          <w:rFonts w:asciiTheme="minorHAnsi" w:eastAsia="新細明體" w:hAnsiTheme="minorHAnsi" w:cstheme="minorHAnsi" w:hint="eastAsia"/>
          <w:bCs/>
          <w:noProof w:val="0"/>
          <w:sz w:val="24"/>
          <w:szCs w:val="24"/>
          <w:lang w:eastAsia="zh-TW"/>
        </w:rPr>
        <w:t>2</w:t>
      </w:r>
    </w:p>
    <w:p w14:paraId="25747DAE"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04A0067F" w:rsidR="00174EC2"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CA71C3" w:rsidRPr="00CA71C3">
        <w:rPr>
          <w:rFonts w:asciiTheme="minorHAnsi" w:eastAsiaTheme="minorEastAsia" w:hAnsiTheme="minorHAnsi" w:cstheme="minorHAnsi"/>
          <w:bCs/>
          <w:noProof w:val="0"/>
          <w:sz w:val="24"/>
          <w:szCs w:val="24"/>
          <w:lang w:eastAsia="zh-CN"/>
        </w:rPr>
        <w:t xml:space="preserve">Discussion on inter cell beam management </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bookmarkEnd w:id="2"/>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04C4EAE3" w:rsidR="0052332A" w:rsidRPr="001354F1" w:rsidRDefault="001A062F" w:rsidP="00995B01">
      <w:pPr>
        <w:jc w:val="both"/>
        <w:rPr>
          <w:rFonts w:eastAsia="新細明體" w:cstheme="minorHAnsi"/>
          <w:szCs w:val="24"/>
        </w:rPr>
      </w:pPr>
      <w:r>
        <w:rPr>
          <w:rFonts w:eastAsia="新細明體" w:cstheme="minorHAnsi"/>
          <w:szCs w:val="24"/>
          <w:lang w:val="en-GB"/>
        </w:rPr>
        <w:t xml:space="preserve">According to </w:t>
      </w:r>
      <w:r>
        <w:rPr>
          <w:rFonts w:eastAsia="新細明體" w:cstheme="minorHAnsi"/>
          <w:szCs w:val="24"/>
        </w:rPr>
        <w:fldChar w:fldCharType="begin"/>
      </w:r>
      <w:r>
        <w:rPr>
          <w:rFonts w:eastAsia="新細明體" w:cstheme="minorHAnsi"/>
          <w:szCs w:val="24"/>
        </w:rPr>
        <w:instrText xml:space="preserve"> REF _Ref94781619 \r \h </w:instrText>
      </w:r>
      <w:r>
        <w:rPr>
          <w:rFonts w:eastAsia="新細明體" w:cstheme="minorHAnsi"/>
          <w:szCs w:val="24"/>
        </w:rPr>
      </w:r>
      <w:r>
        <w:rPr>
          <w:rFonts w:eastAsia="新細明體" w:cstheme="minorHAnsi"/>
          <w:szCs w:val="24"/>
        </w:rPr>
        <w:fldChar w:fldCharType="separate"/>
      </w:r>
      <w:r w:rsidR="00101CB3">
        <w:rPr>
          <w:rFonts w:eastAsia="新細明體" w:cstheme="minorHAnsi"/>
          <w:szCs w:val="24"/>
        </w:rPr>
        <w:t>[1]</w:t>
      </w:r>
      <w:r>
        <w:rPr>
          <w:rFonts w:eastAsia="新細明體" w:cstheme="minorHAnsi"/>
          <w:szCs w:val="24"/>
        </w:rPr>
        <w:fldChar w:fldCharType="end"/>
      </w:r>
      <w:r>
        <w:rPr>
          <w:rFonts w:eastAsia="新細明體" w:cstheme="minorHAnsi"/>
          <w:szCs w:val="24"/>
          <w:lang w:val="en-GB"/>
        </w:rPr>
        <w:t xml:space="preserve">, </w:t>
      </w:r>
      <w:r>
        <w:rPr>
          <w:rFonts w:eastAsia="新細明體" w:cstheme="minorHAnsi"/>
          <w:szCs w:val="24"/>
        </w:rPr>
        <w:t>s</w:t>
      </w:r>
      <w:r w:rsidR="00084F88">
        <w:rPr>
          <w:rFonts w:eastAsia="新細明體" w:cstheme="minorHAnsi"/>
          <w:szCs w:val="24"/>
        </w:rPr>
        <w:t>ome issues have been concluded</w:t>
      </w:r>
      <w:r w:rsidR="00CE398B">
        <w:rPr>
          <w:rFonts w:eastAsia="新細明體" w:cstheme="minorHAnsi"/>
          <w:szCs w:val="24"/>
        </w:rPr>
        <w:t xml:space="preserve"> in the last meeting</w:t>
      </w:r>
      <w:r w:rsidR="00851C6B" w:rsidRPr="001354F1">
        <w:rPr>
          <w:rFonts w:eastAsia="新細明體" w:cstheme="minorHAnsi"/>
          <w:szCs w:val="24"/>
        </w:rPr>
        <w:t xml:space="preserve">. </w:t>
      </w:r>
      <w:r w:rsidR="00995B01">
        <w:rPr>
          <w:rFonts w:eastAsia="新細明體" w:cstheme="minorHAnsi"/>
          <w:szCs w:val="24"/>
        </w:rPr>
        <w:t xml:space="preserve">In this paper, </w:t>
      </w:r>
      <w:r w:rsidR="008626E3">
        <w:rPr>
          <w:rFonts w:eastAsia="新細明體" w:cstheme="minorHAnsi"/>
          <w:szCs w:val="24"/>
        </w:rPr>
        <w:t xml:space="preserve">we would like to further discuss the </w:t>
      </w:r>
      <w:r>
        <w:rPr>
          <w:rFonts w:eastAsia="新細明體" w:cstheme="minorHAnsi"/>
          <w:szCs w:val="24"/>
        </w:rPr>
        <w:t xml:space="preserve">open issues, e.g. </w:t>
      </w:r>
      <w:r w:rsidR="006E3F0B" w:rsidRPr="00DA134E">
        <w:rPr>
          <w:rFonts w:eastAsia="新細明體" w:cstheme="minorHAnsi"/>
          <w:szCs w:val="24"/>
        </w:rPr>
        <w:t>applicability</w:t>
      </w:r>
      <w:r w:rsidR="006E3F0B">
        <w:rPr>
          <w:rFonts w:eastAsia="新細明體" w:cstheme="minorHAnsi"/>
          <w:szCs w:val="24"/>
        </w:rPr>
        <w:t xml:space="preserve"> of FR 2-2, </w:t>
      </w:r>
      <w:r w:rsidR="00DA134E">
        <w:rPr>
          <w:rFonts w:eastAsia="新細明體" w:cstheme="minorHAnsi"/>
          <w:szCs w:val="24"/>
        </w:rPr>
        <w:t>s</w:t>
      </w:r>
      <w:r w:rsidR="00DA134E" w:rsidRPr="00DA134E">
        <w:rPr>
          <w:rFonts w:eastAsia="新細明體" w:cstheme="minorHAnsi"/>
          <w:szCs w:val="24"/>
        </w:rPr>
        <w:t>cheduling restriction for dynamic TDD</w:t>
      </w:r>
      <w:r>
        <w:rPr>
          <w:rFonts w:eastAsia="新細明體" w:cstheme="minorHAnsi"/>
          <w:szCs w:val="24"/>
        </w:rPr>
        <w:t xml:space="preserve">, </w:t>
      </w:r>
      <w:r w:rsidR="006E3F0B">
        <w:rPr>
          <w:rFonts w:eastAsia="新細明體" w:cstheme="minorHAnsi"/>
          <w:szCs w:val="24"/>
        </w:rPr>
        <w:t xml:space="preserve">and </w:t>
      </w:r>
      <w:r w:rsidR="00DA134E" w:rsidRPr="00DA134E">
        <w:rPr>
          <w:rFonts w:eastAsia="新細明體" w:cstheme="minorHAnsi"/>
          <w:szCs w:val="24"/>
        </w:rPr>
        <w:t>SSB and PDCCH/PDSCH are overlapped on the same R</w:t>
      </w:r>
      <w:r w:rsidR="006E3F0B">
        <w:rPr>
          <w:rFonts w:eastAsia="新細明體" w:cstheme="minorHAnsi"/>
          <w:szCs w:val="24"/>
        </w:rPr>
        <w:t>E</w:t>
      </w:r>
      <w:r>
        <w:rPr>
          <w:rFonts w:eastAsia="新細明體" w:cstheme="minorHAnsi"/>
          <w:szCs w:val="24"/>
        </w:rPr>
        <w:t>.</w:t>
      </w:r>
    </w:p>
    <w:p w14:paraId="36611B74" w14:textId="15E267E9" w:rsidR="00A53884" w:rsidRPr="0043734C" w:rsidRDefault="00C51F3B" w:rsidP="00A53884">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1254208F" w14:textId="4D44D16B" w:rsidR="00A53884" w:rsidRPr="001354F1" w:rsidRDefault="00A53884" w:rsidP="00A53884">
      <w:pPr>
        <w:pStyle w:val="2"/>
        <w:rPr>
          <w:rFonts w:asciiTheme="minorHAnsi" w:hAnsiTheme="minorHAnsi" w:cstheme="minorHAnsi"/>
          <w:szCs w:val="32"/>
        </w:rPr>
      </w:pPr>
      <w:r w:rsidRPr="001354F1">
        <w:rPr>
          <w:rFonts w:asciiTheme="minorHAnsi" w:hAnsiTheme="minorHAnsi" w:cstheme="minorHAnsi"/>
          <w:szCs w:val="32"/>
        </w:rPr>
        <w:t xml:space="preserve">2.1 </w:t>
      </w:r>
      <w:r w:rsidR="006E3F0B">
        <w:rPr>
          <w:rFonts w:asciiTheme="minorHAnsi" w:hAnsiTheme="minorHAnsi" w:cstheme="minorHAnsi"/>
          <w:szCs w:val="32"/>
        </w:rPr>
        <w:t>A</w:t>
      </w:r>
      <w:r w:rsidR="006E3F0B" w:rsidRPr="006E3F0B">
        <w:rPr>
          <w:rFonts w:asciiTheme="minorHAnsi" w:hAnsiTheme="minorHAnsi" w:cstheme="minorHAnsi"/>
          <w:szCs w:val="32"/>
        </w:rPr>
        <w:t>pplicability of FR 2-2</w:t>
      </w:r>
    </w:p>
    <w:p w14:paraId="32B1C963" w14:textId="60938360" w:rsidR="006E3F0B" w:rsidRDefault="006E3F0B" w:rsidP="00FD2347">
      <w:pPr>
        <w:spacing w:before="100" w:beforeAutospacing="1" w:after="100" w:afterAutospacing="1"/>
        <w:jc w:val="both"/>
        <w:rPr>
          <w:rFonts w:eastAsia="新細明體"/>
          <w:lang w:val="en-GB"/>
        </w:rPr>
      </w:pPr>
      <w:r>
        <w:rPr>
          <w:rFonts w:eastAsia="新細明體" w:hint="eastAsia"/>
          <w:lang w:val="en-GB"/>
        </w:rPr>
        <w:t>A</w:t>
      </w:r>
      <w:r>
        <w:rPr>
          <w:rFonts w:eastAsia="新細明體"/>
          <w:lang w:val="en-GB"/>
        </w:rPr>
        <w:t xml:space="preserve">ccording to </w:t>
      </w:r>
      <w:r w:rsidR="00CD648A">
        <w:rPr>
          <w:rFonts w:eastAsia="新細明體"/>
          <w:lang w:val="en-GB"/>
        </w:rPr>
        <w:t xml:space="preserve">the </w:t>
      </w:r>
      <w:r>
        <w:rPr>
          <w:rFonts w:eastAsia="新細明體"/>
          <w:lang w:val="en-GB"/>
        </w:rPr>
        <w:t xml:space="preserve">current spec as below, we would like to further discuss whether </w:t>
      </w:r>
      <w:r w:rsidR="00AF0A8F">
        <w:rPr>
          <w:rFonts w:eastAsia="新細明體"/>
          <w:lang w:val="en-GB"/>
        </w:rPr>
        <w:t>R17 inter cell beam management</w:t>
      </w:r>
      <w:r>
        <w:rPr>
          <w:rFonts w:eastAsia="新細明體"/>
          <w:lang w:val="en-GB"/>
        </w:rPr>
        <w:t xml:space="preserve"> is applicable </w:t>
      </w:r>
      <w:r w:rsidR="00AF0A8F">
        <w:rPr>
          <w:rFonts w:eastAsia="新細明體"/>
          <w:lang w:val="en-GB"/>
        </w:rPr>
        <w:t>for FR2-2</w:t>
      </w:r>
      <w:r>
        <w:rPr>
          <w:rFonts w:eastAsia="新細明體"/>
          <w:lang w:val="en-GB"/>
        </w:rPr>
        <w:t xml:space="preserve"> or not.</w:t>
      </w:r>
    </w:p>
    <w:tbl>
      <w:tblPr>
        <w:tblStyle w:val="af7"/>
        <w:tblW w:w="0" w:type="auto"/>
        <w:tblLook w:val="04A0" w:firstRow="1" w:lastRow="0" w:firstColumn="1" w:lastColumn="0" w:noHBand="0" w:noVBand="1"/>
      </w:tblPr>
      <w:tblGrid>
        <w:gridCol w:w="9629"/>
      </w:tblGrid>
      <w:tr w:rsidR="006E3F0B" w14:paraId="462602C3" w14:textId="77777777" w:rsidTr="006E3F0B">
        <w:tc>
          <w:tcPr>
            <w:tcW w:w="9629" w:type="dxa"/>
          </w:tcPr>
          <w:p w14:paraId="54F7379E" w14:textId="77777777" w:rsidR="006E3F0B" w:rsidRPr="006E3F0B" w:rsidRDefault="006E3F0B" w:rsidP="006E3F0B">
            <w:pPr>
              <w:pStyle w:val="3"/>
              <w:spacing w:before="100" w:beforeAutospacing="1" w:after="100" w:afterAutospacing="1"/>
              <w:rPr>
                <w:rFonts w:eastAsiaTheme="minorEastAsia"/>
                <w:sz w:val="24"/>
                <w:szCs w:val="18"/>
              </w:rPr>
            </w:pPr>
            <w:r w:rsidRPr="006E3F0B">
              <w:rPr>
                <w:rFonts w:eastAsiaTheme="minorEastAsia"/>
                <w:sz w:val="24"/>
                <w:szCs w:val="18"/>
                <w:lang w:val="en-US" w:eastAsia="ko-KR"/>
              </w:rPr>
              <w:t>3.6.13</w:t>
            </w:r>
            <w:r w:rsidRPr="006E3F0B">
              <w:rPr>
                <w:rFonts w:eastAsiaTheme="minorEastAsia"/>
                <w:sz w:val="24"/>
                <w:szCs w:val="18"/>
                <w:lang w:val="en-US" w:eastAsia="ko-KR"/>
              </w:rPr>
              <w:tab/>
            </w:r>
            <w:r w:rsidRPr="006E3F0B">
              <w:rPr>
                <w:rFonts w:eastAsiaTheme="minorEastAsia"/>
                <w:sz w:val="24"/>
                <w:szCs w:val="18"/>
              </w:rPr>
              <w:t>Applicability of requirements for FR2</w:t>
            </w:r>
          </w:p>
          <w:p w14:paraId="2B1D86F6" w14:textId="77777777" w:rsidR="006E3F0B" w:rsidRPr="006E3F0B" w:rsidRDefault="006E3F0B" w:rsidP="006E3F0B">
            <w:pPr>
              <w:spacing w:before="100" w:beforeAutospacing="1" w:after="100" w:afterAutospacing="1"/>
              <w:rPr>
                <w:sz w:val="22"/>
                <w:szCs w:val="20"/>
                <w:lang w:eastAsia="zh-CN"/>
              </w:rPr>
            </w:pPr>
            <w:r w:rsidRPr="006E3F0B">
              <w:rPr>
                <w:sz w:val="22"/>
                <w:szCs w:val="20"/>
                <w:lang w:eastAsia="zh-CN"/>
              </w:rPr>
              <w:t>Unless stated otherwise, the requirements for FR2 are applicable to both FR2-1 and FR2-2, except for the following cases:</w:t>
            </w:r>
          </w:p>
          <w:p w14:paraId="26CF47B0" w14:textId="77777777" w:rsidR="006E3F0B" w:rsidRPr="006E3F0B" w:rsidRDefault="006E3F0B" w:rsidP="006E3F0B">
            <w:pPr>
              <w:spacing w:before="100" w:beforeAutospacing="1" w:after="100" w:afterAutospacing="1"/>
              <w:rPr>
                <w:sz w:val="22"/>
                <w:szCs w:val="20"/>
                <w:lang w:eastAsia="zh-CN"/>
              </w:rPr>
            </w:pPr>
            <w:r w:rsidRPr="006E3F0B">
              <w:rPr>
                <w:sz w:val="22"/>
                <w:szCs w:val="20"/>
                <w:lang w:eastAsia="zh-CN"/>
              </w:rPr>
              <w:t xml:space="preserve">SFTD measurement requirements in clause </w:t>
            </w:r>
            <w:r w:rsidRPr="006E3F0B">
              <w:rPr>
                <w:rFonts w:hint="eastAsia"/>
                <w:sz w:val="22"/>
                <w:szCs w:val="20"/>
                <w:lang w:eastAsia="zh-CN"/>
              </w:rPr>
              <w:t>9</w:t>
            </w:r>
            <w:r w:rsidRPr="006E3F0B">
              <w:rPr>
                <w:sz w:val="22"/>
                <w:szCs w:val="20"/>
                <w:lang w:eastAsia="zh-CN"/>
              </w:rPr>
              <w:t>.2.5.4, 9.3.8, 10.1.21 for FR2 are only applicable for FR2-1,</w:t>
            </w:r>
          </w:p>
          <w:p w14:paraId="78FDE6E1" w14:textId="77777777" w:rsidR="006E3F0B" w:rsidRPr="006E3F0B" w:rsidRDefault="006E3F0B" w:rsidP="006E3F0B">
            <w:pPr>
              <w:spacing w:before="100" w:beforeAutospacing="1" w:after="100" w:afterAutospacing="1"/>
              <w:rPr>
                <w:sz w:val="22"/>
                <w:szCs w:val="20"/>
                <w:lang w:eastAsia="zh-CN"/>
              </w:rPr>
            </w:pPr>
            <w:r w:rsidRPr="006E3F0B">
              <w:rPr>
                <w:sz w:val="22"/>
                <w:szCs w:val="20"/>
                <w:lang w:eastAsia="zh-CN"/>
              </w:rPr>
              <w:t xml:space="preserve">CGI identification requirements in </w:t>
            </w:r>
            <w:r w:rsidRPr="006E3F0B">
              <w:rPr>
                <w:rFonts w:hint="eastAsia"/>
                <w:sz w:val="22"/>
                <w:szCs w:val="20"/>
                <w:lang w:eastAsia="zh-CN"/>
              </w:rPr>
              <w:t>clause</w:t>
            </w:r>
            <w:r w:rsidRPr="006E3F0B">
              <w:rPr>
                <w:sz w:val="22"/>
                <w:szCs w:val="20"/>
                <w:lang w:eastAsia="zh-CN"/>
              </w:rPr>
              <w:t xml:space="preserve"> 9.11 for FR2 are only applicable for FR2-1,</w:t>
            </w:r>
          </w:p>
          <w:p w14:paraId="3EC27C44" w14:textId="599903F9" w:rsidR="006E3F0B" w:rsidRPr="006E3F0B" w:rsidRDefault="006E3F0B" w:rsidP="006E3F0B">
            <w:pPr>
              <w:spacing w:before="100" w:beforeAutospacing="1" w:after="100" w:afterAutospacing="1"/>
              <w:rPr>
                <w:lang w:eastAsia="zh-CN"/>
              </w:rPr>
            </w:pPr>
            <w:r w:rsidRPr="006E3F0B">
              <w:rPr>
                <w:sz w:val="22"/>
                <w:szCs w:val="20"/>
                <w:lang w:eastAsia="zh-CN"/>
              </w:rPr>
              <w:t xml:space="preserve">Inter-band CA requirements </w:t>
            </w:r>
            <w:r w:rsidRPr="006E3F0B">
              <w:rPr>
                <w:rFonts w:hint="eastAsia"/>
                <w:sz w:val="22"/>
                <w:szCs w:val="20"/>
                <w:lang w:eastAsia="zh-CN"/>
              </w:rPr>
              <w:t>in</w:t>
            </w:r>
            <w:r w:rsidRPr="006E3F0B">
              <w:rPr>
                <w:sz w:val="22"/>
                <w:szCs w:val="20"/>
                <w:lang w:eastAsia="zh-CN"/>
              </w:rPr>
              <w:t xml:space="preserve"> </w:t>
            </w:r>
            <w:r w:rsidRPr="006E3F0B">
              <w:rPr>
                <w:rFonts w:hint="eastAsia"/>
                <w:sz w:val="22"/>
                <w:szCs w:val="20"/>
                <w:lang w:eastAsia="zh-CN"/>
              </w:rPr>
              <w:t>all</w:t>
            </w:r>
            <w:r w:rsidRPr="006E3F0B">
              <w:rPr>
                <w:sz w:val="22"/>
                <w:szCs w:val="20"/>
                <w:lang w:eastAsia="zh-CN"/>
              </w:rPr>
              <w:t xml:space="preserve"> corresponding</w:t>
            </w:r>
            <w:r w:rsidRPr="006E3F0B">
              <w:rPr>
                <w:rFonts w:hint="eastAsia"/>
                <w:sz w:val="22"/>
                <w:szCs w:val="20"/>
                <w:lang w:eastAsia="zh-CN"/>
              </w:rPr>
              <w:t xml:space="preserve"> clause</w:t>
            </w:r>
            <w:r w:rsidRPr="006E3F0B">
              <w:rPr>
                <w:sz w:val="22"/>
                <w:szCs w:val="20"/>
                <w:lang w:eastAsia="zh-CN"/>
              </w:rPr>
              <w:t>s for FR2 are only applicable for FR2-1.</w:t>
            </w:r>
          </w:p>
        </w:tc>
      </w:tr>
    </w:tbl>
    <w:p w14:paraId="230AE9F8" w14:textId="77777777" w:rsidR="006E3F0B" w:rsidRDefault="006E3F0B" w:rsidP="00A53884">
      <w:pPr>
        <w:rPr>
          <w:rFonts w:eastAsia="新細明體"/>
          <w:lang w:val="en-GB"/>
        </w:rPr>
      </w:pPr>
    </w:p>
    <w:p w14:paraId="15D138C7" w14:textId="359BD38E" w:rsidR="006E3F0B" w:rsidRDefault="006E3F0B" w:rsidP="006E3F0B">
      <w:pPr>
        <w:jc w:val="both"/>
        <w:rPr>
          <w:rFonts w:eastAsia="新細明體"/>
          <w:lang w:val="en-GB"/>
        </w:rPr>
      </w:pPr>
      <w:r>
        <w:rPr>
          <w:rFonts w:eastAsia="新細明體" w:hint="eastAsia"/>
          <w:lang w:val="en-GB"/>
        </w:rPr>
        <w:t>T</w:t>
      </w:r>
      <w:r>
        <w:rPr>
          <w:rFonts w:eastAsia="新細明體"/>
          <w:lang w:val="en-GB"/>
        </w:rPr>
        <w:t xml:space="preserve">o our understanding, R17 inter cell </w:t>
      </w:r>
      <w:r w:rsidR="00AF0A8F">
        <w:rPr>
          <w:rFonts w:eastAsia="新細明體"/>
          <w:lang w:val="en-GB"/>
        </w:rPr>
        <w:t>beam management is not applicable for FR2-2</w:t>
      </w:r>
      <w:r>
        <w:rPr>
          <w:rFonts w:eastAsia="新細明體"/>
          <w:lang w:val="en-GB"/>
        </w:rPr>
        <w:t xml:space="preserve">. The reason is because </w:t>
      </w:r>
      <w:r w:rsidR="004808C8">
        <w:rPr>
          <w:rFonts w:eastAsia="新細明體"/>
          <w:lang w:val="en-GB"/>
        </w:rPr>
        <w:t xml:space="preserve">FR2-2 is not considered in current </w:t>
      </w:r>
      <w:r>
        <w:rPr>
          <w:rFonts w:eastAsia="新細明體"/>
          <w:lang w:val="en-GB"/>
        </w:rPr>
        <w:t>scheduling restriction</w:t>
      </w:r>
      <w:r w:rsidR="00E2196F">
        <w:rPr>
          <w:rFonts w:eastAsia="新細明體"/>
          <w:lang w:val="en-GB"/>
        </w:rPr>
        <w:t xml:space="preserve"> </w:t>
      </w:r>
      <w:r w:rsidR="00A30A46">
        <w:rPr>
          <w:rFonts w:eastAsia="新細明體"/>
          <w:lang w:val="en-GB"/>
        </w:rPr>
        <w:t xml:space="preserve">requirement </w:t>
      </w:r>
      <w:r w:rsidR="004808C8">
        <w:rPr>
          <w:rFonts w:eastAsia="新細明體"/>
          <w:lang w:val="en-GB"/>
        </w:rPr>
        <w:t>for non-serving cell (clause 9.13.6)</w:t>
      </w:r>
      <w:r>
        <w:rPr>
          <w:rFonts w:eastAsia="新細明體"/>
          <w:lang w:val="en-GB"/>
        </w:rPr>
        <w:t xml:space="preserve">. </w:t>
      </w:r>
      <w:r w:rsidR="004808C8">
        <w:rPr>
          <w:rFonts w:eastAsia="新細明體"/>
          <w:lang w:val="en-GB"/>
        </w:rPr>
        <w:t xml:space="preserve">Because </w:t>
      </w:r>
      <w:r>
        <w:rPr>
          <w:rFonts w:eastAsia="新細明體"/>
          <w:lang w:val="en-GB"/>
        </w:rPr>
        <w:t xml:space="preserve">scheduling restriction is </w:t>
      </w:r>
      <w:r w:rsidR="00EE45DF">
        <w:rPr>
          <w:rFonts w:eastAsia="新細明體"/>
          <w:lang w:val="en-GB"/>
        </w:rPr>
        <w:t xml:space="preserve">a </w:t>
      </w:r>
      <w:r>
        <w:rPr>
          <w:rFonts w:eastAsia="新細明體"/>
          <w:lang w:val="en-GB"/>
        </w:rPr>
        <w:t>prerequisite of the measurement behaviou</w:t>
      </w:r>
      <w:r w:rsidR="00FC7B08">
        <w:rPr>
          <w:rFonts w:eastAsia="新細明體"/>
          <w:lang w:val="en-GB"/>
        </w:rPr>
        <w:t>r</w:t>
      </w:r>
      <w:r w:rsidR="00AF0A8F">
        <w:rPr>
          <w:rFonts w:eastAsia="新細明體"/>
          <w:lang w:val="en-GB"/>
        </w:rPr>
        <w:t>, to our understanding, i</w:t>
      </w:r>
      <w:r w:rsidR="00EE45DF">
        <w:rPr>
          <w:rFonts w:eastAsia="新細明體"/>
          <w:lang w:val="en-GB"/>
        </w:rPr>
        <w:t>t means whole measurement is not applicable.</w:t>
      </w:r>
      <w:r>
        <w:rPr>
          <w:rFonts w:eastAsia="新細明體"/>
          <w:lang w:val="en-GB"/>
        </w:rPr>
        <w:t xml:space="preserve"> Therefore, the following proposal is suggested.</w:t>
      </w:r>
    </w:p>
    <w:p w14:paraId="2C085CEF" w14:textId="56890CBB" w:rsidR="006E3F0B" w:rsidRDefault="006E3F0B" w:rsidP="00A53884">
      <w:pPr>
        <w:rPr>
          <w:rFonts w:eastAsia="新細明體"/>
          <w:lang w:val="en-GB"/>
        </w:rPr>
      </w:pPr>
    </w:p>
    <w:p w14:paraId="1C45BA32" w14:textId="75B5C339" w:rsidR="006E3F0B" w:rsidRPr="004E530C" w:rsidRDefault="006E3F0B" w:rsidP="006E3F0B">
      <w:pPr>
        <w:pStyle w:val="af1"/>
        <w:jc w:val="both"/>
        <w:rPr>
          <w:sz w:val="24"/>
          <w:szCs w:val="24"/>
        </w:rPr>
      </w:pPr>
      <w:bookmarkStart w:id="3" w:name="_Ref115371437"/>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101CB3">
        <w:rPr>
          <w:noProof/>
          <w:sz w:val="24"/>
          <w:szCs w:val="24"/>
        </w:rPr>
        <w:t>1</w:t>
      </w:r>
      <w:r w:rsidRPr="004E530C">
        <w:rPr>
          <w:noProof/>
          <w:sz w:val="24"/>
          <w:szCs w:val="24"/>
        </w:rPr>
        <w:fldChar w:fldCharType="end"/>
      </w:r>
      <w:r w:rsidRPr="004E530C">
        <w:rPr>
          <w:sz w:val="24"/>
          <w:szCs w:val="24"/>
        </w:rPr>
        <w:t xml:space="preserve">: </w:t>
      </w:r>
      <w:r w:rsidR="0063155F">
        <w:rPr>
          <w:sz w:val="24"/>
          <w:szCs w:val="24"/>
        </w:rPr>
        <w:t>FR 2-2 is not applicable to R17 inter cell beam management</w:t>
      </w:r>
      <w:r w:rsidRPr="007B7504">
        <w:rPr>
          <w:sz w:val="24"/>
          <w:szCs w:val="24"/>
        </w:rPr>
        <w:t>.</w:t>
      </w:r>
      <w:bookmarkEnd w:id="3"/>
    </w:p>
    <w:p w14:paraId="62BA54CC" w14:textId="77777777" w:rsidR="006E3F0B" w:rsidRPr="006E3F0B" w:rsidRDefault="006E3F0B" w:rsidP="00A53884">
      <w:pPr>
        <w:rPr>
          <w:rFonts w:eastAsia="新細明體"/>
        </w:rPr>
      </w:pPr>
    </w:p>
    <w:p w14:paraId="159AFFCE" w14:textId="77777777" w:rsidR="006E3F0B" w:rsidRDefault="006E3F0B" w:rsidP="00A53884">
      <w:pPr>
        <w:rPr>
          <w:rFonts w:eastAsia="新細明體"/>
          <w:lang w:val="en-GB"/>
        </w:rPr>
      </w:pPr>
    </w:p>
    <w:p w14:paraId="1AD849D8" w14:textId="09EEBC41" w:rsidR="006E3F0B" w:rsidRPr="0063155F" w:rsidRDefault="006E3F0B" w:rsidP="0063155F">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2</w:t>
      </w:r>
      <w:r w:rsidRPr="001354F1">
        <w:rPr>
          <w:rFonts w:asciiTheme="minorHAnsi" w:hAnsiTheme="minorHAnsi" w:cstheme="minorHAnsi"/>
          <w:szCs w:val="32"/>
        </w:rPr>
        <w:t xml:space="preserve"> </w:t>
      </w:r>
      <w:r w:rsidRPr="006E3F0B">
        <w:rPr>
          <w:rFonts w:asciiTheme="minorHAnsi" w:hAnsiTheme="minorHAnsi" w:cstheme="minorHAnsi"/>
          <w:szCs w:val="32"/>
        </w:rPr>
        <w:t>scheduling restriction for dynamic TDD</w:t>
      </w:r>
    </w:p>
    <w:p w14:paraId="1354AC39" w14:textId="008F5F9B" w:rsidR="0063155F" w:rsidRDefault="0063155F" w:rsidP="0063155F">
      <w:pPr>
        <w:spacing w:before="100" w:beforeAutospacing="1" w:after="100" w:afterAutospacing="1"/>
        <w:jc w:val="both"/>
        <w:rPr>
          <w:rFonts w:eastAsia="新細明體"/>
          <w:lang w:val="en-GB"/>
        </w:rPr>
      </w:pPr>
      <w:r>
        <w:rPr>
          <w:rFonts w:eastAsia="新細明體"/>
          <w:lang w:val="en-GB"/>
        </w:rPr>
        <w:t>One open issue regarding scheduling restriction for dynamic TDD is discussed in the last meeting</w:t>
      </w:r>
      <w:r w:rsidR="006E3F0B">
        <w:rPr>
          <w:rFonts w:eastAsia="新細明體"/>
          <w:lang w:val="en-GB"/>
        </w:rPr>
        <w:t>.</w:t>
      </w:r>
      <w:r>
        <w:rPr>
          <w:rFonts w:eastAsia="新細明體"/>
          <w:lang w:val="en-GB"/>
        </w:rPr>
        <w:t xml:space="preserve"> To our understanding, the additional scheduling restriction is needed. The reason is because, as </w:t>
      </w:r>
      <w:r>
        <w:rPr>
          <w:rFonts w:eastAsia="新細明體"/>
          <w:lang w:val="en-GB"/>
        </w:rPr>
        <w:fldChar w:fldCharType="begin"/>
      </w:r>
      <w:r>
        <w:rPr>
          <w:rFonts w:eastAsia="新細明體"/>
          <w:lang w:val="en-GB"/>
        </w:rPr>
        <w:instrText xml:space="preserve"> REF _Ref115170548 \h </w:instrText>
      </w:r>
      <w:r>
        <w:rPr>
          <w:rFonts w:eastAsia="新細明體"/>
          <w:lang w:val="en-GB"/>
        </w:rPr>
      </w:r>
      <w:r>
        <w:rPr>
          <w:rFonts w:eastAsia="新細明體"/>
          <w:lang w:val="en-GB"/>
        </w:rPr>
        <w:fldChar w:fldCharType="separate"/>
      </w:r>
      <w:r w:rsidR="00101CB3">
        <w:t xml:space="preserve">Figure </w:t>
      </w:r>
      <w:r w:rsidR="00101CB3">
        <w:rPr>
          <w:noProof/>
        </w:rPr>
        <w:t>1</w:t>
      </w:r>
      <w:r>
        <w:rPr>
          <w:rFonts w:eastAsia="新細明體"/>
          <w:lang w:val="en-GB"/>
        </w:rPr>
        <w:fldChar w:fldCharType="end"/>
      </w:r>
      <w:r>
        <w:rPr>
          <w:rFonts w:eastAsia="新細明體"/>
          <w:lang w:val="en-GB"/>
        </w:rPr>
        <w:t xml:space="preserve">, sometimes the flexible symbol may be overwritten as DL symbol for SSB transmission. In that case, the symbol which overlaps with SSB cannot be used for data transmission. In addition, considering </w:t>
      </w:r>
      <w:r>
        <w:rPr>
          <w:rFonts w:eastAsia="新細明體"/>
          <w:lang w:val="en-GB"/>
        </w:rPr>
        <w:lastRenderedPageBreak/>
        <w:t>TA, one additional symbol should be considered.</w:t>
      </w:r>
    </w:p>
    <w:p w14:paraId="612E3CCC" w14:textId="3AA163A5" w:rsidR="006E3F0B" w:rsidRPr="0063155F" w:rsidRDefault="0063155F" w:rsidP="00C2319F">
      <w:pPr>
        <w:spacing w:before="100" w:beforeAutospacing="1" w:after="100" w:afterAutospacing="1"/>
        <w:jc w:val="center"/>
        <w:rPr>
          <w:rFonts w:eastAsia="新細明體"/>
          <w:lang w:val="en-GB"/>
        </w:rPr>
      </w:pPr>
      <w:r>
        <w:rPr>
          <w:rFonts w:eastAsia="新細明體"/>
          <w:noProof/>
          <w:lang w:val="en-GB"/>
        </w:rPr>
        <w:drawing>
          <wp:inline distT="0" distB="0" distL="0" distR="0" wp14:anchorId="67CCCBDD" wp14:editId="519C53F0">
            <wp:extent cx="5715853" cy="2536821"/>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486" cy="2543316"/>
                    </a:xfrm>
                    <a:prstGeom prst="rect">
                      <a:avLst/>
                    </a:prstGeom>
                    <a:noFill/>
                    <a:ln>
                      <a:noFill/>
                    </a:ln>
                  </pic:spPr>
                </pic:pic>
              </a:graphicData>
            </a:graphic>
          </wp:inline>
        </w:drawing>
      </w:r>
    </w:p>
    <w:p w14:paraId="3FFC16E3" w14:textId="162D50F8" w:rsidR="0063155F" w:rsidRPr="009A2DC4" w:rsidRDefault="0063155F" w:rsidP="0063155F">
      <w:pPr>
        <w:pStyle w:val="af1"/>
        <w:spacing w:before="100" w:beforeAutospacing="1" w:after="100" w:afterAutospacing="1"/>
        <w:jc w:val="center"/>
        <w:rPr>
          <w:rFonts w:eastAsia="新細明體"/>
          <w:lang w:val="en-GB"/>
        </w:rPr>
      </w:pPr>
      <w:bookmarkStart w:id="4" w:name="_Ref115170548"/>
      <w:r>
        <w:t xml:space="preserve">Figure </w:t>
      </w:r>
      <w:r w:rsidR="00B325FE">
        <w:fldChar w:fldCharType="begin"/>
      </w:r>
      <w:r w:rsidR="00B325FE">
        <w:instrText xml:space="preserve"> SEQ Figure \* ARABIC </w:instrText>
      </w:r>
      <w:r w:rsidR="00B325FE">
        <w:fldChar w:fldCharType="separate"/>
      </w:r>
      <w:r w:rsidR="00101CB3">
        <w:rPr>
          <w:noProof/>
        </w:rPr>
        <w:t>1</w:t>
      </w:r>
      <w:r w:rsidR="00B325FE">
        <w:rPr>
          <w:noProof/>
        </w:rPr>
        <w:fldChar w:fldCharType="end"/>
      </w:r>
      <w:bookmarkEnd w:id="4"/>
      <w:r>
        <w:t xml:space="preserve">. </w:t>
      </w:r>
      <w:r w:rsidRPr="0063155F">
        <w:t>scheduling restriction for dynamic TDD</w:t>
      </w:r>
    </w:p>
    <w:p w14:paraId="30D03E8B" w14:textId="4FD3F13B" w:rsidR="0063155F" w:rsidRPr="0063155F" w:rsidRDefault="0063155F" w:rsidP="0063155F">
      <w:pPr>
        <w:pStyle w:val="af1"/>
        <w:spacing w:before="100" w:beforeAutospacing="1" w:after="100" w:afterAutospacing="1"/>
        <w:jc w:val="both"/>
        <w:rPr>
          <w:rFonts w:eastAsia="新細明體"/>
          <w:b w:val="0"/>
          <w:sz w:val="24"/>
          <w:szCs w:val="22"/>
          <w:lang w:val="en-GB"/>
        </w:rPr>
      </w:pPr>
      <w:r w:rsidRPr="0063155F">
        <w:rPr>
          <w:rFonts w:eastAsia="新細明體" w:hint="eastAsia"/>
          <w:b w:val="0"/>
          <w:sz w:val="24"/>
          <w:szCs w:val="22"/>
          <w:lang w:val="en-GB"/>
        </w:rPr>
        <w:t>T</w:t>
      </w:r>
      <w:r w:rsidRPr="0063155F">
        <w:rPr>
          <w:rFonts w:eastAsia="新細明體"/>
          <w:b w:val="0"/>
          <w:sz w:val="24"/>
          <w:szCs w:val="22"/>
          <w:lang w:val="en-GB"/>
        </w:rPr>
        <w:t>herefore, based on above analysis, following proposal is suggested.</w:t>
      </w:r>
    </w:p>
    <w:p w14:paraId="3B41CA7E" w14:textId="6EFC23C4" w:rsidR="006E3F0B" w:rsidRPr="0063155F" w:rsidRDefault="006E3F0B" w:rsidP="0063155F">
      <w:pPr>
        <w:pStyle w:val="af1"/>
        <w:spacing w:before="100" w:beforeAutospacing="1" w:after="100" w:afterAutospacing="1"/>
        <w:jc w:val="both"/>
        <w:rPr>
          <w:sz w:val="24"/>
          <w:szCs w:val="24"/>
        </w:rPr>
      </w:pPr>
      <w:bookmarkStart w:id="5" w:name="_Ref115371438"/>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101CB3">
        <w:rPr>
          <w:noProof/>
          <w:sz w:val="24"/>
          <w:szCs w:val="24"/>
        </w:rPr>
        <w:t>2</w:t>
      </w:r>
      <w:r w:rsidRPr="004E530C">
        <w:rPr>
          <w:noProof/>
          <w:sz w:val="24"/>
          <w:szCs w:val="24"/>
        </w:rPr>
        <w:fldChar w:fldCharType="end"/>
      </w:r>
      <w:r w:rsidRPr="004E530C">
        <w:rPr>
          <w:sz w:val="24"/>
          <w:szCs w:val="24"/>
        </w:rPr>
        <w:t>:</w:t>
      </w:r>
      <w:r w:rsidR="0063155F" w:rsidRPr="0063155F">
        <w:t xml:space="preserve"> </w:t>
      </w:r>
      <w:r w:rsidR="0063155F" w:rsidRPr="0063155F">
        <w:rPr>
          <w:sz w:val="24"/>
          <w:szCs w:val="24"/>
        </w:rPr>
        <w:t>Introduce scheduling restriction for dynamic TDD on serving cell UL symbols which fully or partially (because of TA) overlaps with the SSB for L1-RSRP measurement on cell with different PCI.</w:t>
      </w:r>
      <w:bookmarkEnd w:id="5"/>
    </w:p>
    <w:p w14:paraId="7859B72C" w14:textId="77777777" w:rsidR="006E3F0B" w:rsidRDefault="006E3F0B" w:rsidP="00A53884">
      <w:pPr>
        <w:rPr>
          <w:rFonts w:eastAsia="新細明體"/>
          <w:lang w:val="en-GB"/>
        </w:rPr>
      </w:pPr>
    </w:p>
    <w:p w14:paraId="69C92B92" w14:textId="4A5D4562" w:rsidR="006E3F0B" w:rsidRPr="001354F1" w:rsidRDefault="006E3F0B" w:rsidP="006E3F0B">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3</w:t>
      </w:r>
      <w:r w:rsidRPr="001354F1">
        <w:rPr>
          <w:rFonts w:asciiTheme="minorHAnsi" w:hAnsiTheme="minorHAnsi" w:cstheme="minorHAnsi"/>
          <w:szCs w:val="32"/>
        </w:rPr>
        <w:t xml:space="preserve"> </w:t>
      </w:r>
      <w:r w:rsidRPr="006E3F0B">
        <w:rPr>
          <w:rFonts w:asciiTheme="minorHAnsi" w:hAnsiTheme="minorHAnsi" w:cstheme="minorHAnsi"/>
          <w:szCs w:val="32"/>
        </w:rPr>
        <w:t>SSB and PDCCH/PDSCH are overlapped on the same RE</w:t>
      </w:r>
    </w:p>
    <w:p w14:paraId="7A3F8F4D" w14:textId="2FCFDF7E" w:rsidR="00A53884" w:rsidRDefault="004A1E1C" w:rsidP="00A53884">
      <w:pPr>
        <w:rPr>
          <w:rFonts w:eastAsia="新細明體"/>
          <w:lang w:val="en-GB"/>
        </w:rPr>
      </w:pPr>
      <w:r>
        <w:rPr>
          <w:rFonts w:eastAsia="新細明體" w:hint="eastAsia"/>
          <w:lang w:val="en-GB"/>
        </w:rPr>
        <w:t>I</w:t>
      </w:r>
      <w:r>
        <w:rPr>
          <w:rFonts w:eastAsia="新細明體"/>
          <w:lang w:val="en-GB"/>
        </w:rPr>
        <w:t>n the last meeting, there is one open issue as below.</w:t>
      </w:r>
    </w:p>
    <w:p w14:paraId="0181266E" w14:textId="77777777" w:rsidR="00C17CB8" w:rsidRDefault="00C17CB8" w:rsidP="00A53884">
      <w:pPr>
        <w:rPr>
          <w:rFonts w:eastAsia="新細明體"/>
          <w:lang w:val="en-GB"/>
        </w:rPr>
      </w:pPr>
    </w:p>
    <w:tbl>
      <w:tblPr>
        <w:tblStyle w:val="af7"/>
        <w:tblW w:w="0" w:type="auto"/>
        <w:tblLook w:val="04A0" w:firstRow="1" w:lastRow="0" w:firstColumn="1" w:lastColumn="0" w:noHBand="0" w:noVBand="1"/>
      </w:tblPr>
      <w:tblGrid>
        <w:gridCol w:w="9629"/>
      </w:tblGrid>
      <w:tr w:rsidR="004A1E1C" w14:paraId="0FE8FB1C" w14:textId="77777777" w:rsidTr="004A1E1C">
        <w:tc>
          <w:tcPr>
            <w:tcW w:w="9629" w:type="dxa"/>
          </w:tcPr>
          <w:p w14:paraId="7D0987CE" w14:textId="77777777" w:rsidR="005177D9" w:rsidRPr="00C2319F" w:rsidRDefault="005177D9" w:rsidP="005177D9">
            <w:pPr>
              <w:spacing w:after="120"/>
              <w:rPr>
                <w:rFonts w:eastAsia="SimSun"/>
                <w:sz w:val="20"/>
                <w:szCs w:val="20"/>
                <w:lang w:eastAsia="zh-CN"/>
              </w:rPr>
            </w:pPr>
            <w:r w:rsidRPr="00C2319F">
              <w:rPr>
                <w:b/>
                <w:bCs/>
                <w:sz w:val="22"/>
                <w:szCs w:val="20"/>
                <w:u w:val="single"/>
                <w:lang w:eastAsia="zh-CN"/>
              </w:rPr>
              <w:t>Issue 2-6-2: Whether any clarification or update is needed in RAN4 spec when SSB and PDCCH/PDSCH are overlapped on the same RE</w:t>
            </w:r>
          </w:p>
          <w:p w14:paraId="71ABE218" w14:textId="77777777" w:rsidR="005177D9" w:rsidRPr="00C2319F" w:rsidRDefault="005177D9" w:rsidP="005177D9">
            <w:pPr>
              <w:widowControl/>
              <w:numPr>
                <w:ilvl w:val="0"/>
                <w:numId w:val="15"/>
              </w:numPr>
              <w:spacing w:after="120"/>
              <w:ind w:left="720"/>
              <w:rPr>
                <w:sz w:val="22"/>
                <w:szCs w:val="20"/>
                <w:lang w:val="sv-SE" w:eastAsia="zh-CN"/>
              </w:rPr>
            </w:pPr>
            <w:r w:rsidRPr="00C2319F">
              <w:rPr>
                <w:sz w:val="22"/>
                <w:szCs w:val="20"/>
                <w:lang w:eastAsia="zh-CN"/>
              </w:rPr>
              <w:t>Option 1</w:t>
            </w:r>
            <w:r w:rsidRPr="00C2319F">
              <w:rPr>
                <w:sz w:val="22"/>
                <w:szCs w:val="20"/>
                <w:lang w:val="sv-SE" w:eastAsia="zh-CN"/>
              </w:rPr>
              <w:t>:</w:t>
            </w:r>
          </w:p>
          <w:p w14:paraId="6A0DA116" w14:textId="77777777" w:rsidR="005177D9" w:rsidRPr="00C2319F" w:rsidRDefault="005177D9" w:rsidP="005177D9">
            <w:pPr>
              <w:widowControl/>
              <w:numPr>
                <w:ilvl w:val="1"/>
                <w:numId w:val="15"/>
              </w:numPr>
              <w:spacing w:after="120"/>
              <w:ind w:left="1656"/>
              <w:rPr>
                <w:sz w:val="22"/>
                <w:szCs w:val="20"/>
              </w:rPr>
            </w:pPr>
            <w:r w:rsidRPr="00C2319F">
              <w:rPr>
                <w:sz w:val="22"/>
                <w:szCs w:val="20"/>
                <w:lang w:eastAsia="zh-CN"/>
              </w:rPr>
              <w:t>No.</w:t>
            </w:r>
          </w:p>
          <w:p w14:paraId="27E9B843" w14:textId="77777777" w:rsidR="005177D9" w:rsidRPr="00C2319F" w:rsidRDefault="005177D9" w:rsidP="005177D9">
            <w:pPr>
              <w:widowControl/>
              <w:numPr>
                <w:ilvl w:val="0"/>
                <w:numId w:val="15"/>
              </w:numPr>
              <w:spacing w:after="120"/>
              <w:ind w:left="720"/>
              <w:rPr>
                <w:sz w:val="22"/>
                <w:szCs w:val="20"/>
                <w:lang w:val="sv-SE" w:eastAsia="zh-CN"/>
              </w:rPr>
            </w:pPr>
            <w:r w:rsidRPr="00C2319F">
              <w:rPr>
                <w:sz w:val="22"/>
                <w:szCs w:val="20"/>
                <w:lang w:eastAsia="zh-CN"/>
              </w:rPr>
              <w:t>Option 2</w:t>
            </w:r>
            <w:r w:rsidRPr="00C2319F">
              <w:rPr>
                <w:sz w:val="22"/>
                <w:szCs w:val="20"/>
                <w:lang w:val="sv-SE" w:eastAsia="zh-CN"/>
              </w:rPr>
              <w:t>:</w:t>
            </w:r>
          </w:p>
          <w:p w14:paraId="4C4EB210" w14:textId="77777777" w:rsidR="005177D9" w:rsidRPr="00C2319F" w:rsidRDefault="005177D9" w:rsidP="005177D9">
            <w:pPr>
              <w:widowControl/>
              <w:numPr>
                <w:ilvl w:val="1"/>
                <w:numId w:val="15"/>
              </w:numPr>
              <w:spacing w:after="120"/>
              <w:ind w:left="1656"/>
              <w:rPr>
                <w:sz w:val="22"/>
                <w:szCs w:val="20"/>
              </w:rPr>
            </w:pPr>
            <w:r w:rsidRPr="00C2319F">
              <w:rPr>
                <w:sz w:val="22"/>
                <w:szCs w:val="20"/>
                <w:lang w:eastAsia="zh-CN"/>
              </w:rPr>
              <w:t>Clarify that performance degradation is expected when overlapping happen in RAN4 spec.</w:t>
            </w:r>
          </w:p>
          <w:p w14:paraId="0211F3D9" w14:textId="77777777" w:rsidR="005177D9" w:rsidRPr="00C2319F" w:rsidRDefault="005177D9" w:rsidP="005177D9">
            <w:pPr>
              <w:widowControl/>
              <w:numPr>
                <w:ilvl w:val="0"/>
                <w:numId w:val="15"/>
              </w:numPr>
              <w:spacing w:after="120"/>
              <w:ind w:left="720"/>
              <w:rPr>
                <w:sz w:val="22"/>
                <w:szCs w:val="20"/>
                <w:lang w:val="sv-SE" w:eastAsia="zh-CN"/>
              </w:rPr>
            </w:pPr>
            <w:r w:rsidRPr="00C2319F">
              <w:rPr>
                <w:sz w:val="22"/>
                <w:szCs w:val="20"/>
                <w:lang w:eastAsia="zh-CN"/>
              </w:rPr>
              <w:t>Option 3</w:t>
            </w:r>
            <w:r w:rsidRPr="00C2319F">
              <w:rPr>
                <w:sz w:val="22"/>
                <w:szCs w:val="20"/>
                <w:lang w:val="sv-SE" w:eastAsia="zh-CN"/>
              </w:rPr>
              <w:t>:</w:t>
            </w:r>
          </w:p>
          <w:p w14:paraId="05C46BC1" w14:textId="77777777" w:rsidR="005177D9" w:rsidRPr="00C2319F" w:rsidRDefault="005177D9" w:rsidP="005177D9">
            <w:pPr>
              <w:widowControl/>
              <w:numPr>
                <w:ilvl w:val="1"/>
                <w:numId w:val="15"/>
              </w:numPr>
              <w:spacing w:after="120"/>
              <w:ind w:left="1656"/>
              <w:rPr>
                <w:sz w:val="22"/>
                <w:szCs w:val="20"/>
              </w:rPr>
            </w:pPr>
            <w:r w:rsidRPr="00C2319F">
              <w:rPr>
                <w:sz w:val="22"/>
                <w:szCs w:val="20"/>
                <w:lang w:eastAsia="zh-CN"/>
              </w:rPr>
              <w:t>Clarify that there is no UE requirement when overlapping happen in RAN4 spec.</w:t>
            </w:r>
          </w:p>
          <w:p w14:paraId="5B668D20" w14:textId="77777777" w:rsidR="005177D9" w:rsidRPr="00C2319F" w:rsidRDefault="005177D9" w:rsidP="005177D9">
            <w:pPr>
              <w:widowControl/>
              <w:numPr>
                <w:ilvl w:val="0"/>
                <w:numId w:val="15"/>
              </w:numPr>
              <w:spacing w:after="120"/>
              <w:ind w:left="720"/>
              <w:rPr>
                <w:sz w:val="22"/>
                <w:szCs w:val="20"/>
                <w:lang w:val="sv-SE" w:eastAsia="zh-CN"/>
              </w:rPr>
            </w:pPr>
            <w:r w:rsidRPr="00C2319F">
              <w:rPr>
                <w:sz w:val="22"/>
                <w:szCs w:val="20"/>
                <w:lang w:eastAsia="zh-CN"/>
              </w:rPr>
              <w:t>Option 4</w:t>
            </w:r>
            <w:r w:rsidRPr="00C2319F">
              <w:rPr>
                <w:sz w:val="22"/>
                <w:szCs w:val="20"/>
                <w:lang w:val="sv-SE" w:eastAsia="zh-CN"/>
              </w:rPr>
              <w:t>:</w:t>
            </w:r>
          </w:p>
          <w:p w14:paraId="04FD9926" w14:textId="710185D3" w:rsidR="004A1E1C" w:rsidRPr="004A1E1C" w:rsidRDefault="005177D9" w:rsidP="005177D9">
            <w:pPr>
              <w:widowControl/>
              <w:numPr>
                <w:ilvl w:val="1"/>
                <w:numId w:val="15"/>
              </w:numPr>
              <w:spacing w:after="120"/>
              <w:ind w:left="1656"/>
            </w:pPr>
            <w:r w:rsidRPr="00C2319F">
              <w:rPr>
                <w:sz w:val="22"/>
                <w:szCs w:val="20"/>
                <w:lang w:eastAsia="zh-CN"/>
              </w:rPr>
              <w:t>Define scheduling restriction to avoid overlap between SSB and data on the same RE in RAN4 spec.</w:t>
            </w:r>
          </w:p>
        </w:tc>
      </w:tr>
    </w:tbl>
    <w:p w14:paraId="024B727F" w14:textId="7D48B6DD" w:rsidR="004A1E1C" w:rsidRDefault="004A1E1C" w:rsidP="00A53884">
      <w:pPr>
        <w:rPr>
          <w:rFonts w:eastAsia="新細明體"/>
          <w:lang w:val="en-GB"/>
        </w:rPr>
      </w:pPr>
    </w:p>
    <w:p w14:paraId="699C3A8A" w14:textId="552A3956" w:rsidR="004A1E1C" w:rsidRDefault="00CE157D" w:rsidP="004A1E1C">
      <w:pPr>
        <w:jc w:val="both"/>
        <w:rPr>
          <w:rFonts w:eastAsia="新細明體"/>
          <w:lang w:val="en-GB"/>
        </w:rPr>
      </w:pPr>
      <w:r>
        <w:rPr>
          <w:rFonts w:eastAsia="新細明體"/>
          <w:lang w:val="en-GB"/>
        </w:rPr>
        <w:t>Because RAN4 sen</w:t>
      </w:r>
      <w:r w:rsidR="006F20A1">
        <w:rPr>
          <w:rFonts w:eastAsia="新細明體"/>
          <w:lang w:val="en-GB"/>
        </w:rPr>
        <w:t>t</w:t>
      </w:r>
      <w:r>
        <w:rPr>
          <w:rFonts w:eastAsia="新細明體"/>
          <w:lang w:val="en-GB"/>
        </w:rPr>
        <w:t xml:space="preserve"> a reply LS to RAN1 in the last meeting. So, t</w:t>
      </w:r>
      <w:r w:rsidR="004A1E1C">
        <w:rPr>
          <w:rFonts w:eastAsia="新細明體"/>
          <w:lang w:val="en-GB"/>
        </w:rPr>
        <w:t xml:space="preserve">o our understanding, </w:t>
      </w:r>
      <w:r w:rsidR="00634719">
        <w:rPr>
          <w:rFonts w:eastAsia="新細明體"/>
          <w:lang w:val="en-GB"/>
        </w:rPr>
        <w:t>whether to update RAN4 spec for overlap between SSB and data on the same RE should wait for RAN1</w:t>
      </w:r>
      <w:r w:rsidR="004B1252">
        <w:rPr>
          <w:rFonts w:eastAsia="新細明體"/>
          <w:lang w:val="en-GB"/>
        </w:rPr>
        <w:t xml:space="preserve"> </w:t>
      </w:r>
      <w:r w:rsidR="00634719">
        <w:rPr>
          <w:rFonts w:eastAsia="新細明體"/>
          <w:lang w:val="en-GB"/>
        </w:rPr>
        <w:t>conclusion</w:t>
      </w:r>
      <w:r w:rsidR="004A1E1C" w:rsidRPr="004A1E1C">
        <w:rPr>
          <w:rFonts w:eastAsia="新細明體"/>
          <w:lang w:val="en-GB"/>
        </w:rPr>
        <w:t>.</w:t>
      </w:r>
      <w:r w:rsidR="00634719">
        <w:rPr>
          <w:rFonts w:eastAsia="新細明體"/>
          <w:lang w:val="en-GB"/>
        </w:rPr>
        <w:t xml:space="preserve"> If RAN1 define</w:t>
      </w:r>
      <w:r w:rsidR="00B37B92">
        <w:rPr>
          <w:rFonts w:eastAsia="新細明體"/>
          <w:lang w:val="en-GB"/>
        </w:rPr>
        <w:t>s</w:t>
      </w:r>
      <w:r w:rsidR="00634719">
        <w:rPr>
          <w:rFonts w:eastAsia="新細明體"/>
          <w:lang w:val="en-GB"/>
        </w:rPr>
        <w:t xml:space="preserve"> any rate matching requirement</w:t>
      </w:r>
      <w:r w:rsidR="00B37B92">
        <w:rPr>
          <w:rFonts w:eastAsia="新細明體"/>
          <w:lang w:val="en-GB"/>
        </w:rPr>
        <w:t xml:space="preserve"> in RAN1 spec</w:t>
      </w:r>
      <w:r w:rsidR="00634719">
        <w:rPr>
          <w:rFonts w:eastAsia="新細明體"/>
          <w:lang w:val="en-GB"/>
        </w:rPr>
        <w:t xml:space="preserve">, then RAN4 spec update is </w:t>
      </w:r>
      <w:r w:rsidR="00634719">
        <w:rPr>
          <w:rFonts w:eastAsia="新細明體"/>
          <w:lang w:val="en-GB"/>
        </w:rPr>
        <w:lastRenderedPageBreak/>
        <w:t>not needed. If no, RAN4 can further study how/whether to update the RAN4 spec.</w:t>
      </w:r>
    </w:p>
    <w:p w14:paraId="6BF8710B" w14:textId="3515B5AC" w:rsidR="002856E2" w:rsidRDefault="002856E2" w:rsidP="004A1E1C">
      <w:pPr>
        <w:jc w:val="both"/>
        <w:rPr>
          <w:rFonts w:eastAsia="新細明體"/>
          <w:lang w:val="en-GB"/>
        </w:rPr>
      </w:pPr>
    </w:p>
    <w:p w14:paraId="0503B2E0" w14:textId="7CC5C4B4" w:rsidR="00132DD4" w:rsidRPr="005177D9" w:rsidRDefault="002856E2" w:rsidP="00132DD4">
      <w:pPr>
        <w:pStyle w:val="af1"/>
        <w:jc w:val="both"/>
        <w:rPr>
          <w:rFonts w:eastAsia="新細明體"/>
          <w:sz w:val="24"/>
          <w:szCs w:val="24"/>
        </w:rPr>
      </w:pPr>
      <w:bookmarkStart w:id="6" w:name="_Ref110952035"/>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101CB3">
        <w:rPr>
          <w:noProof/>
          <w:sz w:val="24"/>
          <w:szCs w:val="24"/>
        </w:rPr>
        <w:t>3</w:t>
      </w:r>
      <w:r w:rsidRPr="004E530C">
        <w:rPr>
          <w:noProof/>
          <w:sz w:val="24"/>
          <w:szCs w:val="24"/>
        </w:rPr>
        <w:fldChar w:fldCharType="end"/>
      </w:r>
      <w:r w:rsidRPr="004E530C">
        <w:rPr>
          <w:sz w:val="24"/>
          <w:szCs w:val="24"/>
        </w:rPr>
        <w:t xml:space="preserve">: </w:t>
      </w:r>
      <w:r w:rsidR="00634719">
        <w:rPr>
          <w:sz w:val="24"/>
          <w:szCs w:val="24"/>
        </w:rPr>
        <w:t>W</w:t>
      </w:r>
      <w:r w:rsidR="00634719" w:rsidRPr="00634719">
        <w:rPr>
          <w:sz w:val="24"/>
          <w:szCs w:val="24"/>
        </w:rPr>
        <w:t xml:space="preserve">hether </w:t>
      </w:r>
      <w:r w:rsidR="00634719">
        <w:rPr>
          <w:sz w:val="24"/>
          <w:szCs w:val="24"/>
        </w:rPr>
        <w:t xml:space="preserve">to define the requirement of overlap between </w:t>
      </w:r>
      <w:r w:rsidR="00634719" w:rsidRPr="00634719">
        <w:rPr>
          <w:sz w:val="24"/>
          <w:szCs w:val="24"/>
        </w:rPr>
        <w:t xml:space="preserve">SSB and PDCCH/PDSCH </w:t>
      </w:r>
      <w:r w:rsidR="00634719">
        <w:rPr>
          <w:sz w:val="24"/>
          <w:szCs w:val="24"/>
        </w:rPr>
        <w:t xml:space="preserve">in </w:t>
      </w:r>
      <w:r w:rsidR="00634719" w:rsidRPr="00634719">
        <w:rPr>
          <w:sz w:val="24"/>
          <w:szCs w:val="24"/>
        </w:rPr>
        <w:t>the same RE</w:t>
      </w:r>
      <w:r w:rsidR="00634719">
        <w:rPr>
          <w:sz w:val="24"/>
          <w:szCs w:val="24"/>
        </w:rPr>
        <w:t xml:space="preserve"> should wait for RAN1 conclusion</w:t>
      </w:r>
      <w:r w:rsidRPr="0071597D">
        <w:rPr>
          <w:sz w:val="24"/>
          <w:szCs w:val="24"/>
        </w:rPr>
        <w:t>.</w:t>
      </w:r>
      <w:bookmarkEnd w:id="6"/>
    </w:p>
    <w:p w14:paraId="378BF71F" w14:textId="77777777" w:rsidR="00EE049C" w:rsidRPr="00504F27" w:rsidRDefault="00EE049C" w:rsidP="00B76330">
      <w:pPr>
        <w:rPr>
          <w:rFonts w:eastAsia="新細明體"/>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3242A95F" w:rsid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Pr>
          <w:rFonts w:cstheme="minorHAnsi"/>
          <w:szCs w:val="24"/>
        </w:rPr>
        <w:t>inter cell beam management</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6E4E85FF" w14:textId="7C1A1437" w:rsidR="00C76787" w:rsidRPr="00C76787" w:rsidRDefault="00C76787" w:rsidP="00264B9B">
      <w:pPr>
        <w:adjustRightInd w:val="0"/>
        <w:snapToGrid w:val="0"/>
        <w:spacing w:before="180" w:after="120"/>
        <w:jc w:val="both"/>
        <w:rPr>
          <w:rFonts w:eastAsia="新細明體" w:cstheme="minorHAnsi"/>
          <w:b/>
          <w:bCs/>
          <w:szCs w:val="24"/>
        </w:rPr>
      </w:pPr>
      <w:r w:rsidRPr="00C76787">
        <w:rPr>
          <w:rFonts w:eastAsia="新細明體" w:cstheme="minorHAnsi"/>
          <w:b/>
          <w:bCs/>
          <w:szCs w:val="24"/>
        </w:rPr>
        <w:fldChar w:fldCharType="begin"/>
      </w:r>
      <w:r w:rsidRPr="00C76787">
        <w:rPr>
          <w:rFonts w:eastAsia="新細明體" w:cstheme="minorHAnsi"/>
          <w:b/>
          <w:bCs/>
          <w:szCs w:val="24"/>
        </w:rPr>
        <w:instrText xml:space="preserve"> REF _Ref115371437 \h </w:instrText>
      </w:r>
      <w:r>
        <w:rPr>
          <w:rFonts w:eastAsia="新細明體" w:cstheme="minorHAnsi"/>
          <w:b/>
          <w:bCs/>
          <w:szCs w:val="24"/>
        </w:rPr>
        <w:instrText xml:space="preserve"> \* MERGEFORMAT </w:instrText>
      </w:r>
      <w:r w:rsidRPr="00C76787">
        <w:rPr>
          <w:rFonts w:eastAsia="新細明體" w:cstheme="minorHAnsi"/>
          <w:b/>
          <w:bCs/>
          <w:szCs w:val="24"/>
        </w:rPr>
      </w:r>
      <w:r w:rsidRPr="00C76787">
        <w:rPr>
          <w:rFonts w:eastAsia="新細明體" w:cstheme="minorHAnsi"/>
          <w:b/>
          <w:bCs/>
          <w:szCs w:val="24"/>
        </w:rPr>
        <w:fldChar w:fldCharType="separate"/>
      </w:r>
      <w:r w:rsidR="00101CB3" w:rsidRPr="00101CB3">
        <w:rPr>
          <w:b/>
          <w:bCs/>
          <w:szCs w:val="24"/>
        </w:rPr>
        <w:t xml:space="preserve">Proposal </w:t>
      </w:r>
      <w:r w:rsidR="00101CB3" w:rsidRPr="00101CB3">
        <w:rPr>
          <w:b/>
          <w:bCs/>
          <w:noProof/>
          <w:szCs w:val="24"/>
        </w:rPr>
        <w:t>1</w:t>
      </w:r>
      <w:r w:rsidR="00101CB3" w:rsidRPr="00101CB3">
        <w:rPr>
          <w:b/>
          <w:bCs/>
          <w:szCs w:val="24"/>
        </w:rPr>
        <w:t>: FR 2-2 is not applicable to R17 inter cell beam management.</w:t>
      </w:r>
      <w:r w:rsidRPr="00C76787">
        <w:rPr>
          <w:rFonts w:eastAsia="新細明體" w:cstheme="minorHAnsi"/>
          <w:b/>
          <w:bCs/>
          <w:szCs w:val="24"/>
        </w:rPr>
        <w:fldChar w:fldCharType="end"/>
      </w:r>
    </w:p>
    <w:p w14:paraId="6478224D" w14:textId="596E4D0C" w:rsidR="00C76787" w:rsidRPr="00C76787" w:rsidRDefault="00C76787" w:rsidP="00264B9B">
      <w:pPr>
        <w:adjustRightInd w:val="0"/>
        <w:snapToGrid w:val="0"/>
        <w:spacing w:before="180" w:after="120"/>
        <w:jc w:val="both"/>
        <w:rPr>
          <w:rFonts w:eastAsia="新細明體" w:cstheme="minorHAnsi"/>
          <w:b/>
          <w:bCs/>
          <w:szCs w:val="24"/>
        </w:rPr>
      </w:pPr>
      <w:r w:rsidRPr="00C76787">
        <w:rPr>
          <w:rFonts w:eastAsia="新細明體" w:cstheme="minorHAnsi"/>
          <w:b/>
          <w:bCs/>
          <w:szCs w:val="24"/>
        </w:rPr>
        <w:fldChar w:fldCharType="begin"/>
      </w:r>
      <w:r w:rsidRPr="00C76787">
        <w:rPr>
          <w:rFonts w:eastAsia="新細明體" w:cstheme="minorHAnsi"/>
          <w:b/>
          <w:bCs/>
          <w:szCs w:val="24"/>
        </w:rPr>
        <w:instrText xml:space="preserve"> REF _Ref115371438 \h </w:instrText>
      </w:r>
      <w:r>
        <w:rPr>
          <w:rFonts w:eastAsia="新細明體" w:cstheme="minorHAnsi"/>
          <w:b/>
          <w:bCs/>
          <w:szCs w:val="24"/>
        </w:rPr>
        <w:instrText xml:space="preserve"> \* MERGEFORMAT </w:instrText>
      </w:r>
      <w:r w:rsidRPr="00C76787">
        <w:rPr>
          <w:rFonts w:eastAsia="新細明體" w:cstheme="minorHAnsi"/>
          <w:b/>
          <w:bCs/>
          <w:szCs w:val="24"/>
        </w:rPr>
      </w:r>
      <w:r w:rsidRPr="00C76787">
        <w:rPr>
          <w:rFonts w:eastAsia="新細明體" w:cstheme="minorHAnsi"/>
          <w:b/>
          <w:bCs/>
          <w:szCs w:val="24"/>
        </w:rPr>
        <w:fldChar w:fldCharType="separate"/>
      </w:r>
      <w:r w:rsidR="00101CB3" w:rsidRPr="00101CB3">
        <w:rPr>
          <w:b/>
          <w:bCs/>
          <w:szCs w:val="24"/>
        </w:rPr>
        <w:t xml:space="preserve">Proposal </w:t>
      </w:r>
      <w:r w:rsidR="00101CB3" w:rsidRPr="00101CB3">
        <w:rPr>
          <w:b/>
          <w:bCs/>
          <w:noProof/>
          <w:szCs w:val="24"/>
        </w:rPr>
        <w:t>2</w:t>
      </w:r>
      <w:r w:rsidR="00101CB3" w:rsidRPr="00101CB3">
        <w:rPr>
          <w:b/>
          <w:bCs/>
          <w:szCs w:val="24"/>
        </w:rPr>
        <w:t>:</w:t>
      </w:r>
      <w:r w:rsidR="00101CB3" w:rsidRPr="00101CB3">
        <w:rPr>
          <w:b/>
          <w:bCs/>
        </w:rPr>
        <w:t xml:space="preserve"> </w:t>
      </w:r>
      <w:r w:rsidR="00101CB3" w:rsidRPr="00101CB3">
        <w:rPr>
          <w:b/>
          <w:bCs/>
          <w:szCs w:val="24"/>
        </w:rPr>
        <w:t>Introduce scheduling restriction for dynamic TDD on serving cell UL symbols which fully or partially (because of TA) overlaps with the SSB for L1-RSRP measurement on cell with different PCI.</w:t>
      </w:r>
      <w:r w:rsidRPr="00C76787">
        <w:rPr>
          <w:rFonts w:eastAsia="新細明體" w:cstheme="minorHAnsi"/>
          <w:b/>
          <w:bCs/>
          <w:szCs w:val="24"/>
        </w:rPr>
        <w:fldChar w:fldCharType="end"/>
      </w:r>
    </w:p>
    <w:p w14:paraId="426877E7" w14:textId="63C057EE" w:rsidR="0058385E" w:rsidRPr="00C76787" w:rsidRDefault="00C76787" w:rsidP="00264B9B">
      <w:pPr>
        <w:adjustRightInd w:val="0"/>
        <w:snapToGrid w:val="0"/>
        <w:spacing w:before="180" w:after="120"/>
        <w:jc w:val="both"/>
        <w:rPr>
          <w:rFonts w:eastAsia="新細明體" w:cstheme="minorHAnsi"/>
          <w:b/>
          <w:bCs/>
          <w:szCs w:val="24"/>
        </w:rPr>
      </w:pPr>
      <w:r w:rsidRPr="00C76787">
        <w:rPr>
          <w:rFonts w:eastAsia="新細明體" w:cstheme="minorHAnsi"/>
          <w:b/>
          <w:bCs/>
          <w:szCs w:val="24"/>
        </w:rPr>
        <w:fldChar w:fldCharType="begin"/>
      </w:r>
      <w:r w:rsidRPr="00C76787">
        <w:rPr>
          <w:rFonts w:eastAsia="新細明體" w:cstheme="minorHAnsi"/>
          <w:b/>
          <w:bCs/>
          <w:szCs w:val="24"/>
        </w:rPr>
        <w:instrText xml:space="preserve"> REF _Ref110952035 \h </w:instrText>
      </w:r>
      <w:r>
        <w:rPr>
          <w:rFonts w:eastAsia="新細明體" w:cstheme="minorHAnsi"/>
          <w:b/>
          <w:bCs/>
          <w:szCs w:val="24"/>
        </w:rPr>
        <w:instrText xml:space="preserve"> \* MERGEFORMAT </w:instrText>
      </w:r>
      <w:r w:rsidRPr="00C76787">
        <w:rPr>
          <w:rFonts w:eastAsia="新細明體" w:cstheme="minorHAnsi"/>
          <w:b/>
          <w:bCs/>
          <w:szCs w:val="24"/>
        </w:rPr>
      </w:r>
      <w:r w:rsidRPr="00C76787">
        <w:rPr>
          <w:rFonts w:eastAsia="新細明體" w:cstheme="minorHAnsi"/>
          <w:b/>
          <w:bCs/>
          <w:szCs w:val="24"/>
        </w:rPr>
        <w:fldChar w:fldCharType="separate"/>
      </w:r>
      <w:r w:rsidR="00101CB3" w:rsidRPr="00101CB3">
        <w:rPr>
          <w:b/>
          <w:bCs/>
          <w:szCs w:val="24"/>
        </w:rPr>
        <w:t xml:space="preserve">Proposal </w:t>
      </w:r>
      <w:r w:rsidR="00101CB3" w:rsidRPr="00101CB3">
        <w:rPr>
          <w:b/>
          <w:bCs/>
          <w:noProof/>
          <w:szCs w:val="24"/>
        </w:rPr>
        <w:t>3</w:t>
      </w:r>
      <w:r w:rsidR="00101CB3" w:rsidRPr="00101CB3">
        <w:rPr>
          <w:b/>
          <w:bCs/>
          <w:szCs w:val="24"/>
        </w:rPr>
        <w:t>: Whether to define the requirement of overlap between SSB and PDCCH/PDSCH in the same RE should wait for RAN1 conclusion.</w:t>
      </w:r>
      <w:r w:rsidRPr="00C76787">
        <w:rPr>
          <w:rFonts w:eastAsia="新細明體" w:cstheme="minorHAnsi"/>
          <w:b/>
          <w:bCs/>
          <w:szCs w:val="24"/>
        </w:rPr>
        <w:fldChar w:fldCharType="end"/>
      </w:r>
    </w:p>
    <w:p w14:paraId="12F1169C" w14:textId="77777777" w:rsidR="00B50000" w:rsidRPr="00101CB3" w:rsidRDefault="00B50000" w:rsidP="00114532">
      <w:pPr>
        <w:adjustRightInd w:val="0"/>
        <w:snapToGrid w:val="0"/>
        <w:spacing w:before="180" w:after="120"/>
        <w:jc w:val="both"/>
        <w:rPr>
          <w:rFonts w:eastAsia="新細明體" w:cstheme="minorHAnsi"/>
          <w:b/>
          <w:szCs w:val="24"/>
        </w:rPr>
      </w:pP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7EB3BF68" w14:textId="488777D3" w:rsidR="008F5259" w:rsidRPr="00750DD8" w:rsidRDefault="00BF4981" w:rsidP="00234DFE">
      <w:pPr>
        <w:pStyle w:val="af5"/>
        <w:numPr>
          <w:ilvl w:val="0"/>
          <w:numId w:val="5"/>
        </w:numPr>
        <w:ind w:left="357" w:hanging="357"/>
        <w:jc w:val="both"/>
        <w:rPr>
          <w:rFonts w:eastAsia="新細明體" w:cstheme="minorHAnsi"/>
          <w:szCs w:val="24"/>
          <w:lang w:val="en-GB"/>
        </w:rPr>
      </w:pPr>
      <w:bookmarkStart w:id="7" w:name="_Ref94781619"/>
      <w:bookmarkStart w:id="8" w:name="_Ref110717440"/>
      <w:r w:rsidRPr="00BF4981">
        <w:rPr>
          <w:rFonts w:cstheme="minorHAnsi"/>
          <w:szCs w:val="24"/>
          <w:lang w:val="en-GB"/>
        </w:rPr>
        <w:t>R4-22</w:t>
      </w:r>
      <w:r w:rsidR="0058385E">
        <w:rPr>
          <w:rFonts w:cstheme="minorHAnsi"/>
          <w:szCs w:val="24"/>
          <w:lang w:val="en-GB"/>
        </w:rPr>
        <w:t>14482</w:t>
      </w:r>
      <w:r w:rsidR="008F5259" w:rsidRPr="00750DD8">
        <w:rPr>
          <w:rFonts w:cstheme="minorHAnsi"/>
          <w:szCs w:val="24"/>
          <w:lang w:val="en-GB"/>
        </w:rPr>
        <w:t xml:space="preserve">, </w:t>
      </w:r>
      <w:r w:rsidR="0058385E" w:rsidRPr="0058385E">
        <w:rPr>
          <w:rFonts w:cstheme="minorHAnsi"/>
          <w:szCs w:val="24"/>
          <w:lang w:val="en-GB"/>
        </w:rPr>
        <w:t xml:space="preserve">WF on </w:t>
      </w:r>
      <w:proofErr w:type="spellStart"/>
      <w:r w:rsidR="0058385E" w:rsidRPr="0058385E">
        <w:rPr>
          <w:rFonts w:cstheme="minorHAnsi"/>
          <w:szCs w:val="24"/>
          <w:lang w:val="en-GB"/>
        </w:rPr>
        <w:t>FeMIMO</w:t>
      </w:r>
      <w:proofErr w:type="spellEnd"/>
      <w:r w:rsidR="0058385E" w:rsidRPr="0058385E">
        <w:rPr>
          <w:rFonts w:cstheme="minorHAnsi"/>
          <w:szCs w:val="24"/>
          <w:lang w:val="en-GB"/>
        </w:rPr>
        <w:t xml:space="preserve"> RRM requirements for inter-cell beam management</w:t>
      </w:r>
      <w:r w:rsidR="008F5259" w:rsidRPr="00750DD8">
        <w:rPr>
          <w:rFonts w:cstheme="minorHAnsi"/>
          <w:szCs w:val="24"/>
          <w:lang w:val="en-GB"/>
        </w:rPr>
        <w:t xml:space="preserve">, </w:t>
      </w:r>
      <w:r w:rsidRPr="00BF4981">
        <w:rPr>
          <w:rFonts w:cstheme="minorHAnsi"/>
          <w:szCs w:val="24"/>
          <w:lang w:val="en-GB"/>
        </w:rPr>
        <w:t xml:space="preserve">Huawei, </w:t>
      </w:r>
      <w:proofErr w:type="spellStart"/>
      <w:r w:rsidRPr="00BF4981">
        <w:rPr>
          <w:rFonts w:cstheme="minorHAnsi"/>
          <w:szCs w:val="24"/>
          <w:lang w:val="en-GB"/>
        </w:rPr>
        <w:t>HiSilicon</w:t>
      </w:r>
      <w:proofErr w:type="spellEnd"/>
      <w:r w:rsidR="008F5259" w:rsidRPr="00750DD8">
        <w:rPr>
          <w:rFonts w:cstheme="minorHAnsi"/>
          <w:szCs w:val="24"/>
          <w:lang w:val="en-GB"/>
        </w:rPr>
        <w:t>, RAN4 #10</w:t>
      </w:r>
      <w:bookmarkEnd w:id="7"/>
      <w:r w:rsidR="0058385E">
        <w:rPr>
          <w:rFonts w:cstheme="minorHAnsi"/>
          <w:szCs w:val="24"/>
          <w:lang w:val="en-GB"/>
        </w:rPr>
        <w:t>4</w:t>
      </w:r>
      <w:r w:rsidR="00D36C8F" w:rsidRPr="00750DD8">
        <w:rPr>
          <w:rFonts w:cstheme="minorHAnsi"/>
          <w:szCs w:val="24"/>
          <w:lang w:val="en-GB"/>
        </w:rPr>
        <w:t>-e</w:t>
      </w:r>
      <w:bookmarkEnd w:id="8"/>
    </w:p>
    <w:sectPr w:rsidR="008F5259" w:rsidRPr="00750DD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9FD7" w14:textId="77777777" w:rsidR="00870E8F" w:rsidRDefault="00870E8F">
      <w:r>
        <w:separator/>
      </w:r>
    </w:p>
  </w:endnote>
  <w:endnote w:type="continuationSeparator" w:id="0">
    <w:p w14:paraId="29CAD004" w14:textId="77777777" w:rsidR="00870E8F" w:rsidRDefault="0087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1976" w14:textId="77777777" w:rsidR="00870E8F" w:rsidRDefault="00870E8F">
      <w:r>
        <w:separator/>
      </w:r>
    </w:p>
  </w:footnote>
  <w:footnote w:type="continuationSeparator" w:id="0">
    <w:p w14:paraId="06743584" w14:textId="77777777" w:rsidR="00870E8F" w:rsidRDefault="00870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C14"/>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31F47"/>
    <w:multiLevelType w:val="hybridMultilevel"/>
    <w:tmpl w:val="C3900352"/>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4" w15:restartNumberingAfterBreak="0">
    <w:nsid w:val="1059489C"/>
    <w:multiLevelType w:val="hybridMultilevel"/>
    <w:tmpl w:val="94DEA0EE"/>
    <w:lvl w:ilvl="0" w:tplc="46CEB89A">
      <w:start w:val="1"/>
      <w:numFmt w:val="bullet"/>
      <w:lvlText w:val="•"/>
      <w:lvlJc w:val="left"/>
      <w:pPr>
        <w:tabs>
          <w:tab w:val="num" w:pos="360"/>
        </w:tabs>
        <w:ind w:left="360" w:hanging="360"/>
      </w:pPr>
      <w:rPr>
        <w:rFonts w:ascii="Arial" w:hAnsi="Arial" w:hint="default"/>
      </w:rPr>
    </w:lvl>
    <w:lvl w:ilvl="1" w:tplc="63C4EDEE">
      <w:start w:val="1"/>
      <w:numFmt w:val="bullet"/>
      <w:lvlText w:val="•"/>
      <w:lvlJc w:val="left"/>
      <w:pPr>
        <w:tabs>
          <w:tab w:val="num" w:pos="1080"/>
        </w:tabs>
        <w:ind w:left="1080" w:hanging="360"/>
      </w:pPr>
      <w:rPr>
        <w:rFonts w:ascii="Arial" w:hAnsi="Arial" w:hint="default"/>
      </w:rPr>
    </w:lvl>
    <w:lvl w:ilvl="2" w:tplc="43E88378">
      <w:numFmt w:val="bullet"/>
      <w:lvlText w:val="•"/>
      <w:lvlJc w:val="left"/>
      <w:pPr>
        <w:tabs>
          <w:tab w:val="num" w:pos="1800"/>
        </w:tabs>
        <w:ind w:left="1800" w:hanging="360"/>
      </w:pPr>
      <w:rPr>
        <w:rFonts w:ascii="Arial" w:hAnsi="Arial" w:hint="default"/>
      </w:rPr>
    </w:lvl>
    <w:lvl w:ilvl="3" w:tplc="2BA244B4" w:tentative="1">
      <w:start w:val="1"/>
      <w:numFmt w:val="bullet"/>
      <w:lvlText w:val="•"/>
      <w:lvlJc w:val="left"/>
      <w:pPr>
        <w:tabs>
          <w:tab w:val="num" w:pos="2520"/>
        </w:tabs>
        <w:ind w:left="2520" w:hanging="360"/>
      </w:pPr>
      <w:rPr>
        <w:rFonts w:ascii="Arial" w:hAnsi="Arial" w:hint="default"/>
      </w:rPr>
    </w:lvl>
    <w:lvl w:ilvl="4" w:tplc="22208E88" w:tentative="1">
      <w:start w:val="1"/>
      <w:numFmt w:val="bullet"/>
      <w:lvlText w:val="•"/>
      <w:lvlJc w:val="left"/>
      <w:pPr>
        <w:tabs>
          <w:tab w:val="num" w:pos="3240"/>
        </w:tabs>
        <w:ind w:left="3240" w:hanging="360"/>
      </w:pPr>
      <w:rPr>
        <w:rFonts w:ascii="Arial" w:hAnsi="Arial" w:hint="default"/>
      </w:rPr>
    </w:lvl>
    <w:lvl w:ilvl="5" w:tplc="7D5468FE" w:tentative="1">
      <w:start w:val="1"/>
      <w:numFmt w:val="bullet"/>
      <w:lvlText w:val="•"/>
      <w:lvlJc w:val="left"/>
      <w:pPr>
        <w:tabs>
          <w:tab w:val="num" w:pos="3960"/>
        </w:tabs>
        <w:ind w:left="3960" w:hanging="360"/>
      </w:pPr>
      <w:rPr>
        <w:rFonts w:ascii="Arial" w:hAnsi="Arial" w:hint="default"/>
      </w:rPr>
    </w:lvl>
    <w:lvl w:ilvl="6" w:tplc="3B7A49B6" w:tentative="1">
      <w:start w:val="1"/>
      <w:numFmt w:val="bullet"/>
      <w:lvlText w:val="•"/>
      <w:lvlJc w:val="left"/>
      <w:pPr>
        <w:tabs>
          <w:tab w:val="num" w:pos="4680"/>
        </w:tabs>
        <w:ind w:left="4680" w:hanging="360"/>
      </w:pPr>
      <w:rPr>
        <w:rFonts w:ascii="Arial" w:hAnsi="Arial" w:hint="default"/>
      </w:rPr>
    </w:lvl>
    <w:lvl w:ilvl="7" w:tplc="3A0C4676" w:tentative="1">
      <w:start w:val="1"/>
      <w:numFmt w:val="bullet"/>
      <w:lvlText w:val="•"/>
      <w:lvlJc w:val="left"/>
      <w:pPr>
        <w:tabs>
          <w:tab w:val="num" w:pos="5400"/>
        </w:tabs>
        <w:ind w:left="5400" w:hanging="360"/>
      </w:pPr>
      <w:rPr>
        <w:rFonts w:ascii="Arial" w:hAnsi="Arial" w:hint="default"/>
      </w:rPr>
    </w:lvl>
    <w:lvl w:ilvl="8" w:tplc="8A70804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CC14F8"/>
    <w:multiLevelType w:val="hybridMultilevel"/>
    <w:tmpl w:val="637AB6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9A07E2"/>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A8E4BCD"/>
    <w:multiLevelType w:val="hybridMultilevel"/>
    <w:tmpl w:val="5C36D9C4"/>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E17A49"/>
    <w:multiLevelType w:val="hybridMultilevel"/>
    <w:tmpl w:val="3BF80514"/>
    <w:lvl w:ilvl="0" w:tplc="90AC8AB0">
      <w:start w:val="1"/>
      <w:numFmt w:val="bullet"/>
      <w:lvlText w:val="•"/>
      <w:lvlJc w:val="left"/>
      <w:pPr>
        <w:tabs>
          <w:tab w:val="num" w:pos="360"/>
        </w:tabs>
        <w:ind w:left="360" w:hanging="360"/>
      </w:pPr>
      <w:rPr>
        <w:rFonts w:ascii="Arial" w:hAnsi="Arial" w:hint="default"/>
      </w:rPr>
    </w:lvl>
    <w:lvl w:ilvl="1" w:tplc="E1F295A0">
      <w:start w:val="1"/>
      <w:numFmt w:val="bullet"/>
      <w:lvlText w:val="•"/>
      <w:lvlJc w:val="left"/>
      <w:pPr>
        <w:tabs>
          <w:tab w:val="num" w:pos="1080"/>
        </w:tabs>
        <w:ind w:left="1080" w:hanging="360"/>
      </w:pPr>
      <w:rPr>
        <w:rFonts w:ascii="Arial" w:hAnsi="Arial" w:hint="default"/>
      </w:rPr>
    </w:lvl>
    <w:lvl w:ilvl="2" w:tplc="BA5E6040" w:tentative="1">
      <w:start w:val="1"/>
      <w:numFmt w:val="bullet"/>
      <w:lvlText w:val="•"/>
      <w:lvlJc w:val="left"/>
      <w:pPr>
        <w:tabs>
          <w:tab w:val="num" w:pos="1800"/>
        </w:tabs>
        <w:ind w:left="1800" w:hanging="360"/>
      </w:pPr>
      <w:rPr>
        <w:rFonts w:ascii="Arial" w:hAnsi="Arial" w:hint="default"/>
      </w:rPr>
    </w:lvl>
    <w:lvl w:ilvl="3" w:tplc="F98E75FC" w:tentative="1">
      <w:start w:val="1"/>
      <w:numFmt w:val="bullet"/>
      <w:lvlText w:val="•"/>
      <w:lvlJc w:val="left"/>
      <w:pPr>
        <w:tabs>
          <w:tab w:val="num" w:pos="2520"/>
        </w:tabs>
        <w:ind w:left="2520" w:hanging="360"/>
      </w:pPr>
      <w:rPr>
        <w:rFonts w:ascii="Arial" w:hAnsi="Arial" w:hint="default"/>
      </w:rPr>
    </w:lvl>
    <w:lvl w:ilvl="4" w:tplc="B816BC36" w:tentative="1">
      <w:start w:val="1"/>
      <w:numFmt w:val="bullet"/>
      <w:lvlText w:val="•"/>
      <w:lvlJc w:val="left"/>
      <w:pPr>
        <w:tabs>
          <w:tab w:val="num" w:pos="3240"/>
        </w:tabs>
        <w:ind w:left="3240" w:hanging="360"/>
      </w:pPr>
      <w:rPr>
        <w:rFonts w:ascii="Arial" w:hAnsi="Arial" w:hint="default"/>
      </w:rPr>
    </w:lvl>
    <w:lvl w:ilvl="5" w:tplc="F41EC6A0" w:tentative="1">
      <w:start w:val="1"/>
      <w:numFmt w:val="bullet"/>
      <w:lvlText w:val="•"/>
      <w:lvlJc w:val="left"/>
      <w:pPr>
        <w:tabs>
          <w:tab w:val="num" w:pos="3960"/>
        </w:tabs>
        <w:ind w:left="3960" w:hanging="360"/>
      </w:pPr>
      <w:rPr>
        <w:rFonts w:ascii="Arial" w:hAnsi="Arial" w:hint="default"/>
      </w:rPr>
    </w:lvl>
    <w:lvl w:ilvl="6" w:tplc="8A00C346" w:tentative="1">
      <w:start w:val="1"/>
      <w:numFmt w:val="bullet"/>
      <w:lvlText w:val="•"/>
      <w:lvlJc w:val="left"/>
      <w:pPr>
        <w:tabs>
          <w:tab w:val="num" w:pos="4680"/>
        </w:tabs>
        <w:ind w:left="4680" w:hanging="360"/>
      </w:pPr>
      <w:rPr>
        <w:rFonts w:ascii="Arial" w:hAnsi="Arial" w:hint="default"/>
      </w:rPr>
    </w:lvl>
    <w:lvl w:ilvl="7" w:tplc="05028F94" w:tentative="1">
      <w:start w:val="1"/>
      <w:numFmt w:val="bullet"/>
      <w:lvlText w:val="•"/>
      <w:lvlJc w:val="left"/>
      <w:pPr>
        <w:tabs>
          <w:tab w:val="num" w:pos="5400"/>
        </w:tabs>
        <w:ind w:left="5400" w:hanging="360"/>
      </w:pPr>
      <w:rPr>
        <w:rFonts w:ascii="Arial" w:hAnsi="Arial" w:hint="default"/>
      </w:rPr>
    </w:lvl>
    <w:lvl w:ilvl="8" w:tplc="AA7E358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1C21BF"/>
    <w:multiLevelType w:val="hybridMultilevel"/>
    <w:tmpl w:val="C87E2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566F02"/>
    <w:multiLevelType w:val="hybridMultilevel"/>
    <w:tmpl w:val="C8C24D46"/>
    <w:lvl w:ilvl="0" w:tplc="48008CBE">
      <w:numFmt w:val="bullet"/>
      <w:lvlText w:val="•"/>
      <w:lvlJc w:val="left"/>
      <w:pPr>
        <w:ind w:left="64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5A2ABF"/>
    <w:multiLevelType w:val="hybridMultilevel"/>
    <w:tmpl w:val="1DF464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A9C18D0"/>
    <w:multiLevelType w:val="hybridMultilevel"/>
    <w:tmpl w:val="8A880C4E"/>
    <w:lvl w:ilvl="0" w:tplc="31307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7" w15:restartNumberingAfterBreak="0">
    <w:nsid w:val="5A4C53AD"/>
    <w:multiLevelType w:val="hybridMultilevel"/>
    <w:tmpl w:val="D398261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134401A"/>
    <w:multiLevelType w:val="hybridMultilevel"/>
    <w:tmpl w:val="C374F0B4"/>
    <w:lvl w:ilvl="0" w:tplc="F1E225A2">
      <w:start w:val="1"/>
      <w:numFmt w:val="bullet"/>
      <w:lvlText w:val="•"/>
      <w:lvlJc w:val="left"/>
      <w:pPr>
        <w:tabs>
          <w:tab w:val="num" w:pos="357"/>
        </w:tabs>
        <w:ind w:left="357" w:hanging="360"/>
      </w:pPr>
      <w:rPr>
        <w:rFonts w:ascii="Arial" w:hAnsi="Arial" w:hint="default"/>
      </w:rPr>
    </w:lvl>
    <w:lvl w:ilvl="1" w:tplc="35964A34">
      <w:numFmt w:val="bullet"/>
      <w:lvlText w:val="•"/>
      <w:lvlJc w:val="left"/>
      <w:pPr>
        <w:tabs>
          <w:tab w:val="num" w:pos="1077"/>
        </w:tabs>
        <w:ind w:left="1077" w:hanging="360"/>
      </w:pPr>
      <w:rPr>
        <w:rFonts w:ascii="Arial" w:hAnsi="Arial" w:hint="default"/>
      </w:rPr>
    </w:lvl>
    <w:lvl w:ilvl="2" w:tplc="2D4ABF1C" w:tentative="1">
      <w:start w:val="1"/>
      <w:numFmt w:val="bullet"/>
      <w:lvlText w:val="•"/>
      <w:lvlJc w:val="left"/>
      <w:pPr>
        <w:tabs>
          <w:tab w:val="num" w:pos="1797"/>
        </w:tabs>
        <w:ind w:left="1797" w:hanging="360"/>
      </w:pPr>
      <w:rPr>
        <w:rFonts w:ascii="Arial" w:hAnsi="Arial" w:hint="default"/>
      </w:rPr>
    </w:lvl>
    <w:lvl w:ilvl="3" w:tplc="44A6ED6C" w:tentative="1">
      <w:start w:val="1"/>
      <w:numFmt w:val="bullet"/>
      <w:lvlText w:val="•"/>
      <w:lvlJc w:val="left"/>
      <w:pPr>
        <w:tabs>
          <w:tab w:val="num" w:pos="2517"/>
        </w:tabs>
        <w:ind w:left="2517" w:hanging="360"/>
      </w:pPr>
      <w:rPr>
        <w:rFonts w:ascii="Arial" w:hAnsi="Arial" w:hint="default"/>
      </w:rPr>
    </w:lvl>
    <w:lvl w:ilvl="4" w:tplc="DF22CFFA" w:tentative="1">
      <w:start w:val="1"/>
      <w:numFmt w:val="bullet"/>
      <w:lvlText w:val="•"/>
      <w:lvlJc w:val="left"/>
      <w:pPr>
        <w:tabs>
          <w:tab w:val="num" w:pos="3237"/>
        </w:tabs>
        <w:ind w:left="3237" w:hanging="360"/>
      </w:pPr>
      <w:rPr>
        <w:rFonts w:ascii="Arial" w:hAnsi="Arial" w:hint="default"/>
      </w:rPr>
    </w:lvl>
    <w:lvl w:ilvl="5" w:tplc="27A65500" w:tentative="1">
      <w:start w:val="1"/>
      <w:numFmt w:val="bullet"/>
      <w:lvlText w:val="•"/>
      <w:lvlJc w:val="left"/>
      <w:pPr>
        <w:tabs>
          <w:tab w:val="num" w:pos="3957"/>
        </w:tabs>
        <w:ind w:left="3957" w:hanging="360"/>
      </w:pPr>
      <w:rPr>
        <w:rFonts w:ascii="Arial" w:hAnsi="Arial" w:hint="default"/>
      </w:rPr>
    </w:lvl>
    <w:lvl w:ilvl="6" w:tplc="6858705A" w:tentative="1">
      <w:start w:val="1"/>
      <w:numFmt w:val="bullet"/>
      <w:lvlText w:val="•"/>
      <w:lvlJc w:val="left"/>
      <w:pPr>
        <w:tabs>
          <w:tab w:val="num" w:pos="4677"/>
        </w:tabs>
        <w:ind w:left="4677" w:hanging="360"/>
      </w:pPr>
      <w:rPr>
        <w:rFonts w:ascii="Arial" w:hAnsi="Arial" w:hint="default"/>
      </w:rPr>
    </w:lvl>
    <w:lvl w:ilvl="7" w:tplc="88E2CBBC" w:tentative="1">
      <w:start w:val="1"/>
      <w:numFmt w:val="bullet"/>
      <w:lvlText w:val="•"/>
      <w:lvlJc w:val="left"/>
      <w:pPr>
        <w:tabs>
          <w:tab w:val="num" w:pos="5397"/>
        </w:tabs>
        <w:ind w:left="5397" w:hanging="360"/>
      </w:pPr>
      <w:rPr>
        <w:rFonts w:ascii="Arial" w:hAnsi="Arial" w:hint="default"/>
      </w:rPr>
    </w:lvl>
    <w:lvl w:ilvl="8" w:tplc="88B299EA"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62B172C6"/>
    <w:multiLevelType w:val="hybridMultilevel"/>
    <w:tmpl w:val="FA183788"/>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FC1529"/>
    <w:multiLevelType w:val="hybridMultilevel"/>
    <w:tmpl w:val="FD7AD10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1080DAB"/>
    <w:multiLevelType w:val="hybridMultilevel"/>
    <w:tmpl w:val="3CECAF4C"/>
    <w:lvl w:ilvl="0" w:tplc="B9D4AA3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5063B7A"/>
    <w:multiLevelType w:val="hybridMultilevel"/>
    <w:tmpl w:val="D8D87E14"/>
    <w:lvl w:ilvl="0" w:tplc="E1F295A0">
      <w:start w:val="1"/>
      <w:numFmt w:val="bullet"/>
      <w:lvlText w:val="•"/>
      <w:lvlJc w:val="left"/>
      <w:pPr>
        <w:tabs>
          <w:tab w:val="num" w:pos="1080"/>
        </w:tabs>
        <w:ind w:left="108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7066A8A"/>
    <w:multiLevelType w:val="hybridMultilevel"/>
    <w:tmpl w:val="DB16858C"/>
    <w:lvl w:ilvl="0" w:tplc="BC2A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77F1219"/>
    <w:multiLevelType w:val="hybridMultilevel"/>
    <w:tmpl w:val="1BEECAB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B082ED8"/>
    <w:multiLevelType w:val="hybridMultilevel"/>
    <w:tmpl w:val="C3BED59E"/>
    <w:lvl w:ilvl="0" w:tplc="A40043DC">
      <w:start w:val="1"/>
      <w:numFmt w:val="bullet"/>
      <w:lvlText w:val="•"/>
      <w:lvlJc w:val="left"/>
      <w:pPr>
        <w:tabs>
          <w:tab w:val="num" w:pos="720"/>
        </w:tabs>
        <w:ind w:left="720" w:hanging="360"/>
      </w:pPr>
      <w:rPr>
        <w:rFonts w:ascii="Arial" w:hAnsi="Arial" w:hint="default"/>
      </w:rPr>
    </w:lvl>
    <w:lvl w:ilvl="1" w:tplc="AFC8FC5C" w:tentative="1">
      <w:start w:val="1"/>
      <w:numFmt w:val="bullet"/>
      <w:lvlText w:val="•"/>
      <w:lvlJc w:val="left"/>
      <w:pPr>
        <w:tabs>
          <w:tab w:val="num" w:pos="1440"/>
        </w:tabs>
        <w:ind w:left="1440" w:hanging="360"/>
      </w:pPr>
      <w:rPr>
        <w:rFonts w:ascii="Arial" w:hAnsi="Arial" w:hint="default"/>
      </w:rPr>
    </w:lvl>
    <w:lvl w:ilvl="2" w:tplc="EF0896CC">
      <w:start w:val="1"/>
      <w:numFmt w:val="bullet"/>
      <w:lvlText w:val="•"/>
      <w:lvlJc w:val="left"/>
      <w:pPr>
        <w:tabs>
          <w:tab w:val="num" w:pos="2160"/>
        </w:tabs>
        <w:ind w:left="2160" w:hanging="360"/>
      </w:pPr>
      <w:rPr>
        <w:rFonts w:ascii="Arial" w:hAnsi="Arial" w:hint="default"/>
      </w:rPr>
    </w:lvl>
    <w:lvl w:ilvl="3" w:tplc="7B6E90F4" w:tentative="1">
      <w:start w:val="1"/>
      <w:numFmt w:val="bullet"/>
      <w:lvlText w:val="•"/>
      <w:lvlJc w:val="left"/>
      <w:pPr>
        <w:tabs>
          <w:tab w:val="num" w:pos="2880"/>
        </w:tabs>
        <w:ind w:left="2880" w:hanging="360"/>
      </w:pPr>
      <w:rPr>
        <w:rFonts w:ascii="Arial" w:hAnsi="Arial" w:hint="default"/>
      </w:rPr>
    </w:lvl>
    <w:lvl w:ilvl="4" w:tplc="8E1067CC" w:tentative="1">
      <w:start w:val="1"/>
      <w:numFmt w:val="bullet"/>
      <w:lvlText w:val="•"/>
      <w:lvlJc w:val="left"/>
      <w:pPr>
        <w:tabs>
          <w:tab w:val="num" w:pos="3600"/>
        </w:tabs>
        <w:ind w:left="3600" w:hanging="360"/>
      </w:pPr>
      <w:rPr>
        <w:rFonts w:ascii="Arial" w:hAnsi="Arial" w:hint="default"/>
      </w:rPr>
    </w:lvl>
    <w:lvl w:ilvl="5" w:tplc="5B6EDF3C" w:tentative="1">
      <w:start w:val="1"/>
      <w:numFmt w:val="bullet"/>
      <w:lvlText w:val="•"/>
      <w:lvlJc w:val="left"/>
      <w:pPr>
        <w:tabs>
          <w:tab w:val="num" w:pos="4320"/>
        </w:tabs>
        <w:ind w:left="4320" w:hanging="360"/>
      </w:pPr>
      <w:rPr>
        <w:rFonts w:ascii="Arial" w:hAnsi="Arial" w:hint="default"/>
      </w:rPr>
    </w:lvl>
    <w:lvl w:ilvl="6" w:tplc="AAC0FE1E" w:tentative="1">
      <w:start w:val="1"/>
      <w:numFmt w:val="bullet"/>
      <w:lvlText w:val="•"/>
      <w:lvlJc w:val="left"/>
      <w:pPr>
        <w:tabs>
          <w:tab w:val="num" w:pos="5040"/>
        </w:tabs>
        <w:ind w:left="5040" w:hanging="360"/>
      </w:pPr>
      <w:rPr>
        <w:rFonts w:ascii="Arial" w:hAnsi="Arial" w:hint="default"/>
      </w:rPr>
    </w:lvl>
    <w:lvl w:ilvl="7" w:tplc="51E8AA26" w:tentative="1">
      <w:start w:val="1"/>
      <w:numFmt w:val="bullet"/>
      <w:lvlText w:val="•"/>
      <w:lvlJc w:val="left"/>
      <w:pPr>
        <w:tabs>
          <w:tab w:val="num" w:pos="5760"/>
        </w:tabs>
        <w:ind w:left="5760" w:hanging="360"/>
      </w:pPr>
      <w:rPr>
        <w:rFonts w:ascii="Arial" w:hAnsi="Arial" w:hint="default"/>
      </w:rPr>
    </w:lvl>
    <w:lvl w:ilvl="8" w:tplc="F7B0C4A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3"/>
  </w:num>
  <w:num w:numId="3">
    <w:abstractNumId w:val="2"/>
  </w:num>
  <w:num w:numId="4">
    <w:abstractNumId w:val="0"/>
  </w:num>
  <w:num w:numId="5">
    <w:abstractNumId w:val="6"/>
  </w:num>
  <w:num w:numId="6">
    <w:abstractNumId w:val="25"/>
  </w:num>
  <w:num w:numId="7">
    <w:abstractNumId w:val="11"/>
  </w:num>
  <w:num w:numId="8">
    <w:abstractNumId w:val="8"/>
  </w:num>
  <w:num w:numId="9">
    <w:abstractNumId w:val="20"/>
  </w:num>
  <w:num w:numId="10">
    <w:abstractNumId w:val="1"/>
  </w:num>
  <w:num w:numId="11">
    <w:abstractNumId w:val="17"/>
  </w:num>
  <w:num w:numId="12">
    <w:abstractNumId w:val="24"/>
  </w:num>
  <w:num w:numId="13">
    <w:abstractNumId w:val="14"/>
  </w:num>
  <w:num w:numId="14">
    <w:abstractNumId w:val="22"/>
  </w:num>
  <w:num w:numId="15">
    <w:abstractNumId w:val="16"/>
  </w:num>
  <w:num w:numId="16">
    <w:abstractNumId w:val="15"/>
  </w:num>
  <w:num w:numId="17">
    <w:abstractNumId w:val="5"/>
  </w:num>
  <w:num w:numId="18">
    <w:abstractNumId w:val="3"/>
  </w:num>
  <w:num w:numId="19">
    <w:abstractNumId w:val="12"/>
  </w:num>
  <w:num w:numId="20">
    <w:abstractNumId w:val="9"/>
  </w:num>
  <w:num w:numId="21">
    <w:abstractNumId w:val="7"/>
  </w:num>
  <w:num w:numId="22">
    <w:abstractNumId w:val="19"/>
  </w:num>
  <w:num w:numId="23">
    <w:abstractNumId w:val="10"/>
  </w:num>
  <w:num w:numId="24">
    <w:abstractNumId w:val="23"/>
  </w:num>
  <w:num w:numId="25">
    <w:abstractNumId w:val="18"/>
  </w:num>
  <w:num w:numId="26">
    <w:abstractNumId w:val="4"/>
  </w:num>
  <w:num w:numId="2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9B8"/>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B1"/>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265"/>
    <w:rsid w:val="000E27CF"/>
    <w:rsid w:val="000E2FAF"/>
    <w:rsid w:val="000E3216"/>
    <w:rsid w:val="000E3D57"/>
    <w:rsid w:val="000E3FFD"/>
    <w:rsid w:val="000E4197"/>
    <w:rsid w:val="000E448C"/>
    <w:rsid w:val="000E4D00"/>
    <w:rsid w:val="000E548D"/>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1CB3"/>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DF3"/>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8F3"/>
    <w:rsid w:val="00131E70"/>
    <w:rsid w:val="00131E9B"/>
    <w:rsid w:val="0013201C"/>
    <w:rsid w:val="00132111"/>
    <w:rsid w:val="001323F1"/>
    <w:rsid w:val="00132DD4"/>
    <w:rsid w:val="001338E2"/>
    <w:rsid w:val="00133F4A"/>
    <w:rsid w:val="00134041"/>
    <w:rsid w:val="00134091"/>
    <w:rsid w:val="00134309"/>
    <w:rsid w:val="00134CCE"/>
    <w:rsid w:val="00134FE8"/>
    <w:rsid w:val="001354F1"/>
    <w:rsid w:val="0013568D"/>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644"/>
    <w:rsid w:val="00141B12"/>
    <w:rsid w:val="00141B7B"/>
    <w:rsid w:val="00141BAC"/>
    <w:rsid w:val="001428CA"/>
    <w:rsid w:val="001429A6"/>
    <w:rsid w:val="00142DA6"/>
    <w:rsid w:val="00143447"/>
    <w:rsid w:val="0014376F"/>
    <w:rsid w:val="001438A9"/>
    <w:rsid w:val="00143BEF"/>
    <w:rsid w:val="00143D00"/>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2B2"/>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62F"/>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0BE"/>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4C"/>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B0C"/>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4DFE"/>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B7A"/>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8E3"/>
    <w:rsid w:val="00260C7F"/>
    <w:rsid w:val="00260FB8"/>
    <w:rsid w:val="00261162"/>
    <w:rsid w:val="00261182"/>
    <w:rsid w:val="002616D4"/>
    <w:rsid w:val="00261C59"/>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6E2"/>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BC2"/>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9FC"/>
    <w:rsid w:val="002A3C33"/>
    <w:rsid w:val="002A3D74"/>
    <w:rsid w:val="002A40FD"/>
    <w:rsid w:val="002A43E9"/>
    <w:rsid w:val="002A4A03"/>
    <w:rsid w:val="002A4D6B"/>
    <w:rsid w:val="002A5188"/>
    <w:rsid w:val="002A5359"/>
    <w:rsid w:val="002A5B3E"/>
    <w:rsid w:val="002A5B7C"/>
    <w:rsid w:val="002A64D0"/>
    <w:rsid w:val="002A64E2"/>
    <w:rsid w:val="002A6A9E"/>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7A1"/>
    <w:rsid w:val="002C18DD"/>
    <w:rsid w:val="002C1A77"/>
    <w:rsid w:val="002C1D8E"/>
    <w:rsid w:val="002C2C19"/>
    <w:rsid w:val="002C3200"/>
    <w:rsid w:val="002C3C8A"/>
    <w:rsid w:val="002C5643"/>
    <w:rsid w:val="002C5A0A"/>
    <w:rsid w:val="002C5CC9"/>
    <w:rsid w:val="002C61AC"/>
    <w:rsid w:val="002C631D"/>
    <w:rsid w:val="002C6990"/>
    <w:rsid w:val="002C69E5"/>
    <w:rsid w:val="002C7402"/>
    <w:rsid w:val="002C7829"/>
    <w:rsid w:val="002C7CFD"/>
    <w:rsid w:val="002D06C2"/>
    <w:rsid w:val="002D0792"/>
    <w:rsid w:val="002D0DFA"/>
    <w:rsid w:val="002D0EAB"/>
    <w:rsid w:val="002D1181"/>
    <w:rsid w:val="002D1193"/>
    <w:rsid w:val="002D18AA"/>
    <w:rsid w:val="002D193D"/>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B4A"/>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45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852"/>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3207"/>
    <w:rsid w:val="0036408B"/>
    <w:rsid w:val="003642A6"/>
    <w:rsid w:val="003649D3"/>
    <w:rsid w:val="00365B13"/>
    <w:rsid w:val="00365D8F"/>
    <w:rsid w:val="0036634E"/>
    <w:rsid w:val="0036639A"/>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97A"/>
    <w:rsid w:val="003A4BB1"/>
    <w:rsid w:val="003A4BFA"/>
    <w:rsid w:val="003A4CCF"/>
    <w:rsid w:val="003A4D01"/>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480"/>
    <w:rsid w:val="003C2834"/>
    <w:rsid w:val="003C2925"/>
    <w:rsid w:val="003C2CC7"/>
    <w:rsid w:val="003C2EC3"/>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5C7"/>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03"/>
    <w:rsid w:val="0040595C"/>
    <w:rsid w:val="00405A02"/>
    <w:rsid w:val="00406236"/>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1794D"/>
    <w:rsid w:val="00420217"/>
    <w:rsid w:val="0042028C"/>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B9"/>
    <w:rsid w:val="0043615B"/>
    <w:rsid w:val="00436950"/>
    <w:rsid w:val="004372CE"/>
    <w:rsid w:val="0043734C"/>
    <w:rsid w:val="004373B9"/>
    <w:rsid w:val="00437DBB"/>
    <w:rsid w:val="00437DDB"/>
    <w:rsid w:val="00440604"/>
    <w:rsid w:val="0044098B"/>
    <w:rsid w:val="00440BCC"/>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7E4"/>
    <w:rsid w:val="00476991"/>
    <w:rsid w:val="00476AE9"/>
    <w:rsid w:val="004772E9"/>
    <w:rsid w:val="004777D8"/>
    <w:rsid w:val="00477DB3"/>
    <w:rsid w:val="00477E9B"/>
    <w:rsid w:val="00477FEB"/>
    <w:rsid w:val="0048041A"/>
    <w:rsid w:val="004805B4"/>
    <w:rsid w:val="004808C8"/>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AB"/>
    <w:rsid w:val="004A1A52"/>
    <w:rsid w:val="004A1A55"/>
    <w:rsid w:val="004A1BF2"/>
    <w:rsid w:val="004A1E1C"/>
    <w:rsid w:val="004A26A8"/>
    <w:rsid w:val="004A2845"/>
    <w:rsid w:val="004A2996"/>
    <w:rsid w:val="004A2A08"/>
    <w:rsid w:val="004A35D5"/>
    <w:rsid w:val="004A37BA"/>
    <w:rsid w:val="004A3926"/>
    <w:rsid w:val="004A3E17"/>
    <w:rsid w:val="004A3EA4"/>
    <w:rsid w:val="004A3FB4"/>
    <w:rsid w:val="004A438D"/>
    <w:rsid w:val="004A45F3"/>
    <w:rsid w:val="004A474E"/>
    <w:rsid w:val="004A4EE7"/>
    <w:rsid w:val="004A55C5"/>
    <w:rsid w:val="004A566A"/>
    <w:rsid w:val="004A5816"/>
    <w:rsid w:val="004A62A0"/>
    <w:rsid w:val="004A63AE"/>
    <w:rsid w:val="004A6EA7"/>
    <w:rsid w:val="004A6EDD"/>
    <w:rsid w:val="004A7241"/>
    <w:rsid w:val="004A7F28"/>
    <w:rsid w:val="004B0318"/>
    <w:rsid w:val="004B07B8"/>
    <w:rsid w:val="004B07E3"/>
    <w:rsid w:val="004B116F"/>
    <w:rsid w:val="004B1252"/>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1F9"/>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7"/>
    <w:rsid w:val="00506D6D"/>
    <w:rsid w:val="005073D3"/>
    <w:rsid w:val="0050792B"/>
    <w:rsid w:val="00507B82"/>
    <w:rsid w:val="0051041A"/>
    <w:rsid w:val="005104AB"/>
    <w:rsid w:val="005105FA"/>
    <w:rsid w:val="005106B5"/>
    <w:rsid w:val="00511079"/>
    <w:rsid w:val="0051127A"/>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7D9"/>
    <w:rsid w:val="00517973"/>
    <w:rsid w:val="00517AED"/>
    <w:rsid w:val="005206FA"/>
    <w:rsid w:val="00520899"/>
    <w:rsid w:val="00521084"/>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1F6"/>
    <w:rsid w:val="005442D9"/>
    <w:rsid w:val="00544566"/>
    <w:rsid w:val="005446AC"/>
    <w:rsid w:val="0054494A"/>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03F"/>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0FB9"/>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385E"/>
    <w:rsid w:val="00584B74"/>
    <w:rsid w:val="00584FB7"/>
    <w:rsid w:val="00585212"/>
    <w:rsid w:val="005852A4"/>
    <w:rsid w:val="00585431"/>
    <w:rsid w:val="00585771"/>
    <w:rsid w:val="00585D35"/>
    <w:rsid w:val="0058632E"/>
    <w:rsid w:val="00586442"/>
    <w:rsid w:val="005869C9"/>
    <w:rsid w:val="00587142"/>
    <w:rsid w:val="0058723D"/>
    <w:rsid w:val="005876BD"/>
    <w:rsid w:val="00587860"/>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764"/>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3C1C"/>
    <w:rsid w:val="005D4892"/>
    <w:rsid w:val="005D5435"/>
    <w:rsid w:val="005D5612"/>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03"/>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55F"/>
    <w:rsid w:val="006316DA"/>
    <w:rsid w:val="0063176B"/>
    <w:rsid w:val="00631C79"/>
    <w:rsid w:val="00631D46"/>
    <w:rsid w:val="00631F4C"/>
    <w:rsid w:val="006320D7"/>
    <w:rsid w:val="0063286A"/>
    <w:rsid w:val="006332C9"/>
    <w:rsid w:val="00633366"/>
    <w:rsid w:val="0063349C"/>
    <w:rsid w:val="0063407E"/>
    <w:rsid w:val="006345C3"/>
    <w:rsid w:val="00634719"/>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3D10"/>
    <w:rsid w:val="00644278"/>
    <w:rsid w:val="00644625"/>
    <w:rsid w:val="00644C01"/>
    <w:rsid w:val="00645096"/>
    <w:rsid w:val="00645AAA"/>
    <w:rsid w:val="00645B3E"/>
    <w:rsid w:val="00645BCA"/>
    <w:rsid w:val="00645FB8"/>
    <w:rsid w:val="00645FE9"/>
    <w:rsid w:val="00646A2F"/>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A3"/>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2EE6"/>
    <w:rsid w:val="006E3A94"/>
    <w:rsid w:val="006E3F0B"/>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0A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3AAA"/>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597D"/>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B9C"/>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859"/>
    <w:rsid w:val="00735A2C"/>
    <w:rsid w:val="007363C3"/>
    <w:rsid w:val="007365E3"/>
    <w:rsid w:val="00736C9F"/>
    <w:rsid w:val="00737307"/>
    <w:rsid w:val="00737667"/>
    <w:rsid w:val="00737BE1"/>
    <w:rsid w:val="00737DAA"/>
    <w:rsid w:val="00737DB0"/>
    <w:rsid w:val="00737EE8"/>
    <w:rsid w:val="0074044C"/>
    <w:rsid w:val="007407AB"/>
    <w:rsid w:val="007407E7"/>
    <w:rsid w:val="00740B1F"/>
    <w:rsid w:val="00740BB2"/>
    <w:rsid w:val="00740C6C"/>
    <w:rsid w:val="00740D3C"/>
    <w:rsid w:val="007410F3"/>
    <w:rsid w:val="00741127"/>
    <w:rsid w:val="00741134"/>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0DD8"/>
    <w:rsid w:val="00751180"/>
    <w:rsid w:val="007515B7"/>
    <w:rsid w:val="00751FC2"/>
    <w:rsid w:val="007529D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2AE"/>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1D81"/>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504"/>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64D"/>
    <w:rsid w:val="007E67B4"/>
    <w:rsid w:val="007E6991"/>
    <w:rsid w:val="007E6C6F"/>
    <w:rsid w:val="007E6DD5"/>
    <w:rsid w:val="007E6E78"/>
    <w:rsid w:val="007E7692"/>
    <w:rsid w:val="007E7E51"/>
    <w:rsid w:val="007F0715"/>
    <w:rsid w:val="007F08BC"/>
    <w:rsid w:val="007F0B07"/>
    <w:rsid w:val="007F1727"/>
    <w:rsid w:val="007F178E"/>
    <w:rsid w:val="007F17A5"/>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0F2"/>
    <w:rsid w:val="007F52BB"/>
    <w:rsid w:val="007F617E"/>
    <w:rsid w:val="007F62FD"/>
    <w:rsid w:val="007F64DE"/>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4E8"/>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B2"/>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6E3"/>
    <w:rsid w:val="008628C0"/>
    <w:rsid w:val="00862CF7"/>
    <w:rsid w:val="00863105"/>
    <w:rsid w:val="008632DA"/>
    <w:rsid w:val="00863361"/>
    <w:rsid w:val="00863B4A"/>
    <w:rsid w:val="00863C49"/>
    <w:rsid w:val="00863F56"/>
    <w:rsid w:val="008641EE"/>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E8F"/>
    <w:rsid w:val="008713C0"/>
    <w:rsid w:val="00871892"/>
    <w:rsid w:val="00871913"/>
    <w:rsid w:val="0087194D"/>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5F58"/>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5B4"/>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637"/>
    <w:rsid w:val="008C178D"/>
    <w:rsid w:val="008C1912"/>
    <w:rsid w:val="008C2186"/>
    <w:rsid w:val="008C22E1"/>
    <w:rsid w:val="008C24DA"/>
    <w:rsid w:val="008C2BFD"/>
    <w:rsid w:val="008C38A8"/>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183"/>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AA8"/>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D56"/>
    <w:rsid w:val="009B6E5E"/>
    <w:rsid w:val="009B6F16"/>
    <w:rsid w:val="009B7260"/>
    <w:rsid w:val="009B7C77"/>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C7FD3"/>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757"/>
    <w:rsid w:val="00A209FA"/>
    <w:rsid w:val="00A20D44"/>
    <w:rsid w:val="00A20FCA"/>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46"/>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884"/>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17B"/>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7B"/>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3B4"/>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8F"/>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A78"/>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2C3"/>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5FE"/>
    <w:rsid w:val="00B32677"/>
    <w:rsid w:val="00B33F9E"/>
    <w:rsid w:val="00B340C8"/>
    <w:rsid w:val="00B34738"/>
    <w:rsid w:val="00B34B83"/>
    <w:rsid w:val="00B34D47"/>
    <w:rsid w:val="00B34FD4"/>
    <w:rsid w:val="00B3523D"/>
    <w:rsid w:val="00B3552D"/>
    <w:rsid w:val="00B359CC"/>
    <w:rsid w:val="00B3604D"/>
    <w:rsid w:val="00B365C4"/>
    <w:rsid w:val="00B3670A"/>
    <w:rsid w:val="00B368DB"/>
    <w:rsid w:val="00B3799F"/>
    <w:rsid w:val="00B37B92"/>
    <w:rsid w:val="00B37F49"/>
    <w:rsid w:val="00B37F5A"/>
    <w:rsid w:val="00B40186"/>
    <w:rsid w:val="00B4037C"/>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000"/>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FF8"/>
    <w:rsid w:val="00BC5111"/>
    <w:rsid w:val="00BC54B2"/>
    <w:rsid w:val="00BC5AA7"/>
    <w:rsid w:val="00BC613B"/>
    <w:rsid w:val="00BC655E"/>
    <w:rsid w:val="00BC6642"/>
    <w:rsid w:val="00BC6C67"/>
    <w:rsid w:val="00BC6E7E"/>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4981"/>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CB8"/>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19F"/>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47FBB"/>
    <w:rsid w:val="00C5007A"/>
    <w:rsid w:val="00C500FF"/>
    <w:rsid w:val="00C502A5"/>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71A"/>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787"/>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87D07"/>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6CD"/>
    <w:rsid w:val="00CA1A53"/>
    <w:rsid w:val="00CA270E"/>
    <w:rsid w:val="00CA31FD"/>
    <w:rsid w:val="00CA34AB"/>
    <w:rsid w:val="00CA35E2"/>
    <w:rsid w:val="00CA3933"/>
    <w:rsid w:val="00CA3D58"/>
    <w:rsid w:val="00CA5681"/>
    <w:rsid w:val="00CA6665"/>
    <w:rsid w:val="00CA6A3E"/>
    <w:rsid w:val="00CA6BBA"/>
    <w:rsid w:val="00CA6E23"/>
    <w:rsid w:val="00CA71C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9B"/>
    <w:rsid w:val="00CD43BF"/>
    <w:rsid w:val="00CD44E3"/>
    <w:rsid w:val="00CD4BAB"/>
    <w:rsid w:val="00CD4C64"/>
    <w:rsid w:val="00CD4FA8"/>
    <w:rsid w:val="00CD5E70"/>
    <w:rsid w:val="00CD5F26"/>
    <w:rsid w:val="00CD621D"/>
    <w:rsid w:val="00CD6241"/>
    <w:rsid w:val="00CD648A"/>
    <w:rsid w:val="00CD6536"/>
    <w:rsid w:val="00CD65E7"/>
    <w:rsid w:val="00CD75A1"/>
    <w:rsid w:val="00CD7667"/>
    <w:rsid w:val="00CE04BA"/>
    <w:rsid w:val="00CE0709"/>
    <w:rsid w:val="00CE08EE"/>
    <w:rsid w:val="00CE0B54"/>
    <w:rsid w:val="00CE0CB5"/>
    <w:rsid w:val="00CE0D5E"/>
    <w:rsid w:val="00CE1094"/>
    <w:rsid w:val="00CE157D"/>
    <w:rsid w:val="00CE192C"/>
    <w:rsid w:val="00CE1C2F"/>
    <w:rsid w:val="00CE1E58"/>
    <w:rsid w:val="00CE24B0"/>
    <w:rsid w:val="00CE24CB"/>
    <w:rsid w:val="00CE2859"/>
    <w:rsid w:val="00CE32BD"/>
    <w:rsid w:val="00CE3920"/>
    <w:rsid w:val="00CE398B"/>
    <w:rsid w:val="00CE39B1"/>
    <w:rsid w:val="00CE4060"/>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42D"/>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649"/>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9CF"/>
    <w:rsid w:val="00D34B5B"/>
    <w:rsid w:val="00D35D75"/>
    <w:rsid w:val="00D36968"/>
    <w:rsid w:val="00D36AFB"/>
    <w:rsid w:val="00D36C8F"/>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213"/>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716A"/>
    <w:rsid w:val="00D97786"/>
    <w:rsid w:val="00D97DAE"/>
    <w:rsid w:val="00D97F1B"/>
    <w:rsid w:val="00DA0048"/>
    <w:rsid w:val="00DA04BE"/>
    <w:rsid w:val="00DA0691"/>
    <w:rsid w:val="00DA06F9"/>
    <w:rsid w:val="00DA08A7"/>
    <w:rsid w:val="00DA0F1C"/>
    <w:rsid w:val="00DA134E"/>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76F"/>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7D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DF4"/>
    <w:rsid w:val="00DC60DA"/>
    <w:rsid w:val="00DC6113"/>
    <w:rsid w:val="00DC61BC"/>
    <w:rsid w:val="00DC68F2"/>
    <w:rsid w:val="00DC703D"/>
    <w:rsid w:val="00DC70A4"/>
    <w:rsid w:val="00DC7148"/>
    <w:rsid w:val="00DC7EE7"/>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9CC"/>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B03"/>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38"/>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96F"/>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C11"/>
    <w:rsid w:val="00E31EEB"/>
    <w:rsid w:val="00E324DF"/>
    <w:rsid w:val="00E326C3"/>
    <w:rsid w:val="00E32795"/>
    <w:rsid w:val="00E33553"/>
    <w:rsid w:val="00E34117"/>
    <w:rsid w:val="00E34810"/>
    <w:rsid w:val="00E34909"/>
    <w:rsid w:val="00E349E3"/>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66F4"/>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3B9"/>
    <w:rsid w:val="00EE45DF"/>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ED9"/>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9C4"/>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E6C"/>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958"/>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1"/>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C7A"/>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08"/>
    <w:rsid w:val="00FC7BA3"/>
    <w:rsid w:val="00FD0E73"/>
    <w:rsid w:val="00FD1169"/>
    <w:rsid w:val="00FD15A1"/>
    <w:rsid w:val="00FD1653"/>
    <w:rsid w:val="00FD1798"/>
    <w:rsid w:val="00FD2347"/>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25F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325F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325F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280072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626553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1527427">
      <w:bodyDiv w:val="1"/>
      <w:marLeft w:val="0"/>
      <w:marRight w:val="0"/>
      <w:marTop w:val="0"/>
      <w:marBottom w:val="0"/>
      <w:divBdr>
        <w:top w:val="none" w:sz="0" w:space="0" w:color="auto"/>
        <w:left w:val="none" w:sz="0" w:space="0" w:color="auto"/>
        <w:bottom w:val="none" w:sz="0" w:space="0" w:color="auto"/>
        <w:right w:val="none" w:sz="0" w:space="0" w:color="auto"/>
      </w:divBdr>
      <w:divsChild>
        <w:div w:id="1951933823">
          <w:marLeft w:val="994"/>
          <w:marRight w:val="0"/>
          <w:marTop w:val="240"/>
          <w:marBottom w:val="18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579750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61646026">
      <w:bodyDiv w:val="1"/>
      <w:marLeft w:val="0"/>
      <w:marRight w:val="0"/>
      <w:marTop w:val="0"/>
      <w:marBottom w:val="0"/>
      <w:divBdr>
        <w:top w:val="none" w:sz="0" w:space="0" w:color="auto"/>
        <w:left w:val="none" w:sz="0" w:space="0" w:color="auto"/>
        <w:bottom w:val="none" w:sz="0" w:space="0" w:color="auto"/>
        <w:right w:val="none" w:sz="0" w:space="0" w:color="auto"/>
      </w:divBdr>
      <w:divsChild>
        <w:div w:id="767702601">
          <w:marLeft w:val="562"/>
          <w:marRight w:val="0"/>
          <w:marTop w:val="240"/>
          <w:marBottom w:val="180"/>
          <w:divBdr>
            <w:top w:val="none" w:sz="0" w:space="0" w:color="auto"/>
            <w:left w:val="none" w:sz="0" w:space="0" w:color="auto"/>
            <w:bottom w:val="none" w:sz="0" w:space="0" w:color="auto"/>
            <w:right w:val="none" w:sz="0" w:space="0" w:color="auto"/>
          </w:divBdr>
        </w:div>
        <w:div w:id="426005446">
          <w:marLeft w:val="994"/>
          <w:marRight w:val="0"/>
          <w:marTop w:val="240"/>
          <w:marBottom w:val="180"/>
          <w:divBdr>
            <w:top w:val="none" w:sz="0" w:space="0" w:color="auto"/>
            <w:left w:val="none" w:sz="0" w:space="0" w:color="auto"/>
            <w:bottom w:val="none" w:sz="0" w:space="0" w:color="auto"/>
            <w:right w:val="none" w:sz="0" w:space="0" w:color="auto"/>
          </w:divBdr>
        </w:div>
        <w:div w:id="1603995157">
          <w:marLeft w:val="994"/>
          <w:marRight w:val="0"/>
          <w:marTop w:val="240"/>
          <w:marBottom w:val="180"/>
          <w:divBdr>
            <w:top w:val="none" w:sz="0" w:space="0" w:color="auto"/>
            <w:left w:val="none" w:sz="0" w:space="0" w:color="auto"/>
            <w:bottom w:val="none" w:sz="0" w:space="0" w:color="auto"/>
            <w:right w:val="none" w:sz="0" w:space="0" w:color="auto"/>
          </w:divBdr>
        </w:div>
      </w:divsChild>
    </w:div>
    <w:div w:id="131952894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300891">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4048441">
      <w:bodyDiv w:val="1"/>
      <w:marLeft w:val="0"/>
      <w:marRight w:val="0"/>
      <w:marTop w:val="0"/>
      <w:marBottom w:val="0"/>
      <w:divBdr>
        <w:top w:val="none" w:sz="0" w:space="0" w:color="auto"/>
        <w:left w:val="none" w:sz="0" w:space="0" w:color="auto"/>
        <w:bottom w:val="none" w:sz="0" w:space="0" w:color="auto"/>
        <w:right w:val="none" w:sz="0" w:space="0" w:color="auto"/>
      </w:divBdr>
      <w:divsChild>
        <w:div w:id="2140225637">
          <w:marLeft w:val="446"/>
          <w:marRight w:val="0"/>
          <w:marTop w:val="0"/>
          <w:marBottom w:val="0"/>
          <w:divBdr>
            <w:top w:val="none" w:sz="0" w:space="0" w:color="auto"/>
            <w:left w:val="none" w:sz="0" w:space="0" w:color="auto"/>
            <w:bottom w:val="none" w:sz="0" w:space="0" w:color="auto"/>
            <w:right w:val="none" w:sz="0" w:space="0" w:color="auto"/>
          </w:divBdr>
        </w:div>
        <w:div w:id="835726049">
          <w:marLeft w:val="1166"/>
          <w:marRight w:val="0"/>
          <w:marTop w:val="0"/>
          <w:marBottom w:val="0"/>
          <w:divBdr>
            <w:top w:val="none" w:sz="0" w:space="0" w:color="auto"/>
            <w:left w:val="none" w:sz="0" w:space="0" w:color="auto"/>
            <w:bottom w:val="none" w:sz="0" w:space="0" w:color="auto"/>
            <w:right w:val="none" w:sz="0" w:space="0" w:color="auto"/>
          </w:divBdr>
        </w:div>
        <w:div w:id="1650018527">
          <w:marLeft w:val="446"/>
          <w:marRight w:val="0"/>
          <w:marTop w:val="0"/>
          <w:marBottom w:val="0"/>
          <w:divBdr>
            <w:top w:val="none" w:sz="0" w:space="0" w:color="auto"/>
            <w:left w:val="none" w:sz="0" w:space="0" w:color="auto"/>
            <w:bottom w:val="none" w:sz="0" w:space="0" w:color="auto"/>
            <w:right w:val="none" w:sz="0" w:space="0" w:color="auto"/>
          </w:divBdr>
        </w:div>
        <w:div w:id="1052970105">
          <w:marLeft w:val="1166"/>
          <w:marRight w:val="0"/>
          <w:marTop w:val="0"/>
          <w:marBottom w:val="0"/>
          <w:divBdr>
            <w:top w:val="none" w:sz="0" w:space="0" w:color="auto"/>
            <w:left w:val="none" w:sz="0" w:space="0" w:color="auto"/>
            <w:bottom w:val="none" w:sz="0" w:space="0" w:color="auto"/>
            <w:right w:val="none" w:sz="0" w:space="0" w:color="auto"/>
          </w:divBdr>
        </w:div>
        <w:div w:id="252788542">
          <w:marLeft w:val="446"/>
          <w:marRight w:val="0"/>
          <w:marTop w:val="0"/>
          <w:marBottom w:val="0"/>
          <w:divBdr>
            <w:top w:val="none" w:sz="0" w:space="0" w:color="auto"/>
            <w:left w:val="none" w:sz="0" w:space="0" w:color="auto"/>
            <w:bottom w:val="none" w:sz="0" w:space="0" w:color="auto"/>
            <w:right w:val="none" w:sz="0" w:space="0" w:color="auto"/>
          </w:divBdr>
        </w:div>
        <w:div w:id="793450102">
          <w:marLeft w:val="1166"/>
          <w:marRight w:val="0"/>
          <w:marTop w:val="0"/>
          <w:marBottom w:val="0"/>
          <w:divBdr>
            <w:top w:val="none" w:sz="0" w:space="0" w:color="auto"/>
            <w:left w:val="none" w:sz="0" w:space="0" w:color="auto"/>
            <w:bottom w:val="none" w:sz="0" w:space="0" w:color="auto"/>
            <w:right w:val="none" w:sz="0" w:space="0" w:color="auto"/>
          </w:divBdr>
        </w:div>
        <w:div w:id="1290672968">
          <w:marLeft w:val="446"/>
          <w:marRight w:val="0"/>
          <w:marTop w:val="0"/>
          <w:marBottom w:val="0"/>
          <w:divBdr>
            <w:top w:val="none" w:sz="0" w:space="0" w:color="auto"/>
            <w:left w:val="none" w:sz="0" w:space="0" w:color="auto"/>
            <w:bottom w:val="none" w:sz="0" w:space="0" w:color="auto"/>
            <w:right w:val="none" w:sz="0" w:space="0" w:color="auto"/>
          </w:divBdr>
        </w:div>
        <w:div w:id="1387337023">
          <w:marLeft w:val="1166"/>
          <w:marRight w:val="0"/>
          <w:marTop w:val="0"/>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9904955">
      <w:bodyDiv w:val="1"/>
      <w:marLeft w:val="0"/>
      <w:marRight w:val="0"/>
      <w:marTop w:val="0"/>
      <w:marBottom w:val="0"/>
      <w:divBdr>
        <w:top w:val="none" w:sz="0" w:space="0" w:color="auto"/>
        <w:left w:val="none" w:sz="0" w:space="0" w:color="auto"/>
        <w:bottom w:val="none" w:sz="0" w:space="0" w:color="auto"/>
        <w:right w:val="none" w:sz="0" w:space="0" w:color="auto"/>
      </w:divBdr>
      <w:divsChild>
        <w:div w:id="1138959034">
          <w:marLeft w:val="562"/>
          <w:marRight w:val="0"/>
          <w:marTop w:val="240"/>
          <w:marBottom w:val="180"/>
          <w:divBdr>
            <w:top w:val="none" w:sz="0" w:space="0" w:color="auto"/>
            <w:left w:val="none" w:sz="0" w:space="0" w:color="auto"/>
            <w:bottom w:val="none" w:sz="0" w:space="0" w:color="auto"/>
            <w:right w:val="none" w:sz="0" w:space="0" w:color="auto"/>
          </w:divBdr>
        </w:div>
        <w:div w:id="195773130">
          <w:marLeft w:val="850"/>
          <w:marRight w:val="0"/>
          <w:marTop w:val="240"/>
          <w:marBottom w:val="180"/>
          <w:divBdr>
            <w:top w:val="none" w:sz="0" w:space="0" w:color="auto"/>
            <w:left w:val="none" w:sz="0" w:space="0" w:color="auto"/>
            <w:bottom w:val="none" w:sz="0" w:space="0" w:color="auto"/>
            <w:right w:val="none" w:sz="0" w:space="0" w:color="auto"/>
          </w:divBdr>
        </w:div>
        <w:div w:id="655184444">
          <w:marLeft w:val="850"/>
          <w:marRight w:val="0"/>
          <w:marTop w:val="240"/>
          <w:marBottom w:val="180"/>
          <w:divBdr>
            <w:top w:val="none" w:sz="0" w:space="0" w:color="auto"/>
            <w:left w:val="none" w:sz="0" w:space="0" w:color="auto"/>
            <w:bottom w:val="none" w:sz="0" w:space="0" w:color="auto"/>
            <w:right w:val="none" w:sz="0" w:space="0" w:color="auto"/>
          </w:divBdr>
        </w:div>
        <w:div w:id="1068460806">
          <w:marLeft w:val="850"/>
          <w:marRight w:val="0"/>
          <w:marTop w:val="240"/>
          <w:marBottom w:val="180"/>
          <w:divBdr>
            <w:top w:val="none" w:sz="0" w:space="0" w:color="auto"/>
            <w:left w:val="none" w:sz="0" w:space="0" w:color="auto"/>
            <w:bottom w:val="none" w:sz="0" w:space="0" w:color="auto"/>
            <w:right w:val="none" w:sz="0" w:space="0" w:color="auto"/>
          </w:divBdr>
        </w:div>
      </w:divsChild>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2022-08-06T15:01:00Z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