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251E6" w14:textId="4F4363CB" w:rsidR="00410463" w:rsidRPr="00410463" w:rsidRDefault="00410463" w:rsidP="006727F1">
      <w:pPr>
        <w:pStyle w:val="a5"/>
        <w:keepLines/>
        <w:tabs>
          <w:tab w:val="right" w:pos="10440"/>
          <w:tab w:val="right" w:pos="13323"/>
        </w:tabs>
        <w:rPr>
          <w:rFonts w:asciiTheme="minorHAnsi" w:eastAsiaTheme="minorEastAsia" w:hAnsiTheme="minorHAnsi" w:cstheme="minorHAnsi"/>
          <w:bCs/>
          <w:noProof w:val="0"/>
          <w:sz w:val="24"/>
          <w:szCs w:val="24"/>
          <w:lang w:eastAsia="zh-CN"/>
        </w:rPr>
      </w:pPr>
      <w:bookmarkStart w:id="0" w:name="Title"/>
      <w:bookmarkStart w:id="1" w:name="DocumentFor"/>
      <w:bookmarkEnd w:id="0"/>
      <w:bookmarkEnd w:id="1"/>
      <w:r w:rsidRPr="00410463">
        <w:rPr>
          <w:rFonts w:asciiTheme="minorHAnsi" w:eastAsiaTheme="minorEastAsia" w:hAnsiTheme="minorHAnsi" w:cstheme="minorHAnsi"/>
          <w:bCs/>
          <w:noProof w:val="0"/>
          <w:sz w:val="24"/>
          <w:szCs w:val="24"/>
          <w:lang w:eastAsia="zh-CN"/>
        </w:rPr>
        <w:t>3GPP TSG-RAN WG4 Meeting # 104bis-e</w:t>
      </w:r>
      <w:r w:rsidRPr="00410463">
        <w:rPr>
          <w:rFonts w:asciiTheme="minorHAnsi" w:eastAsiaTheme="minorEastAsia" w:hAnsiTheme="minorHAnsi" w:cstheme="minorHAnsi"/>
          <w:bCs/>
          <w:noProof w:val="0"/>
          <w:sz w:val="24"/>
          <w:szCs w:val="24"/>
          <w:lang w:eastAsia="zh-CN"/>
        </w:rPr>
        <w:tab/>
        <w:t>R4-22</w:t>
      </w:r>
      <w:r w:rsidR="00136EBC" w:rsidRPr="00136EBC">
        <w:rPr>
          <w:rFonts w:asciiTheme="minorHAnsi" w:eastAsiaTheme="minorEastAsia" w:hAnsiTheme="minorHAnsi" w:cstheme="minorHAnsi" w:hint="eastAsia"/>
          <w:bCs/>
          <w:noProof w:val="0"/>
          <w:sz w:val="24"/>
          <w:szCs w:val="24"/>
          <w:lang w:eastAsia="zh-CN"/>
        </w:rPr>
        <w:t>15762</w:t>
      </w:r>
    </w:p>
    <w:p w14:paraId="45ECCA28" w14:textId="77777777" w:rsidR="00410463" w:rsidRPr="00410463" w:rsidRDefault="00410463" w:rsidP="006727F1">
      <w:pPr>
        <w:pStyle w:val="a5"/>
        <w:tabs>
          <w:tab w:val="right" w:pos="9781"/>
          <w:tab w:val="right" w:pos="13323"/>
        </w:tabs>
        <w:outlineLvl w:val="0"/>
        <w:rPr>
          <w:rFonts w:asciiTheme="minorHAnsi" w:eastAsiaTheme="minorEastAsia" w:hAnsiTheme="minorHAnsi" w:cstheme="minorHAnsi"/>
          <w:bCs/>
          <w:noProof w:val="0"/>
          <w:sz w:val="24"/>
          <w:szCs w:val="24"/>
          <w:lang w:eastAsia="zh-CN"/>
        </w:rPr>
      </w:pPr>
      <w:r w:rsidRPr="00410463">
        <w:rPr>
          <w:rFonts w:asciiTheme="minorHAnsi" w:eastAsiaTheme="minorEastAsia" w:hAnsiTheme="minorHAnsi" w:cstheme="minorHAnsi"/>
          <w:bCs/>
          <w:noProof w:val="0"/>
          <w:sz w:val="24"/>
          <w:szCs w:val="24"/>
          <w:lang w:eastAsia="zh-CN"/>
        </w:rPr>
        <w:t>Electronic Meeting, October 10 – October 19, 2022</w:t>
      </w:r>
    </w:p>
    <w:p w14:paraId="169FBA1C" w14:textId="79D8F683" w:rsidR="003533F2" w:rsidRPr="0041046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7317FB">
        <w:rPr>
          <w:rFonts w:asciiTheme="minorHAnsi" w:eastAsiaTheme="minorEastAsia" w:hAnsiTheme="minorHAnsi" w:cstheme="minorHAnsi"/>
          <w:bCs/>
          <w:noProof w:val="0"/>
          <w:sz w:val="24"/>
          <w:szCs w:val="24"/>
          <w:lang w:eastAsia="zh-CN"/>
        </w:rPr>
        <w:t>6</w:t>
      </w:r>
      <w:r w:rsidR="00747957" w:rsidRPr="00410463">
        <w:rPr>
          <w:rFonts w:asciiTheme="minorHAnsi" w:eastAsiaTheme="minorEastAsia" w:hAnsiTheme="minorHAnsi" w:cstheme="minorHAnsi"/>
          <w:bCs/>
          <w:noProof w:val="0"/>
          <w:sz w:val="24"/>
          <w:szCs w:val="24"/>
          <w:lang w:eastAsia="zh-CN"/>
        </w:rPr>
        <w:t>.8.3</w:t>
      </w:r>
      <w:r w:rsidR="007317FB">
        <w:rPr>
          <w:rFonts w:asciiTheme="minorHAnsi" w:eastAsiaTheme="minorEastAsia" w:hAnsiTheme="minorHAnsi" w:cstheme="minorHAnsi"/>
          <w:bCs/>
          <w:noProof w:val="0"/>
          <w:sz w:val="24"/>
          <w:szCs w:val="24"/>
          <w:lang w:eastAsia="zh-CN"/>
        </w:rPr>
        <w:t>.</w:t>
      </w:r>
      <w:r w:rsidR="000E0344">
        <w:rPr>
          <w:rFonts w:asciiTheme="minorHAnsi" w:eastAsiaTheme="minorEastAsia" w:hAnsiTheme="minorHAnsi" w:cstheme="minorHAnsi"/>
          <w:bCs/>
          <w:noProof w:val="0"/>
          <w:sz w:val="24"/>
          <w:szCs w:val="24"/>
          <w:lang w:eastAsia="zh-CN"/>
        </w:rPr>
        <w:t>4</w:t>
      </w:r>
    </w:p>
    <w:p w14:paraId="08B3763A" w14:textId="77777777"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81C0C33"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2E4C58" w:rsidRPr="002E4C58">
        <w:rPr>
          <w:rFonts w:asciiTheme="minorHAnsi" w:eastAsiaTheme="minorEastAsia" w:hAnsiTheme="minorHAnsi" w:cstheme="minorHAnsi"/>
          <w:bCs/>
          <w:noProof w:val="0"/>
          <w:sz w:val="24"/>
          <w:szCs w:val="24"/>
          <w:lang w:eastAsia="zh-CN"/>
        </w:rPr>
        <w:t>Discussion on simultaneous DL reception from different directions for TCI state switching</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0FBDBC70" w:rsidR="0028162D" w:rsidRPr="007317FB" w:rsidRDefault="007F43F1" w:rsidP="00C86203">
      <w:pPr>
        <w:rPr>
          <w:rFonts w:eastAsia="新細明體" w:cstheme="minorHAnsi"/>
          <w:szCs w:val="24"/>
        </w:rPr>
      </w:pPr>
      <w:r>
        <w:rPr>
          <w:rFonts w:eastAsia="新細明體" w:cstheme="minorHAnsi"/>
          <w:szCs w:val="24"/>
        </w:rPr>
        <w:t xml:space="preserve">In </w:t>
      </w:r>
      <w:r w:rsidR="007317FB">
        <w:rPr>
          <w:rFonts w:eastAsia="新細明體" w:cstheme="minorHAnsi"/>
          <w:szCs w:val="24"/>
        </w:rPr>
        <w:t xml:space="preserve">the last meeting, RAN4 has a preliminary discussion for FR2 multi-Rx and some open issues are identified in WF </w:t>
      </w:r>
      <w:r w:rsidR="007317FB">
        <w:rPr>
          <w:rFonts w:eastAsia="新細明體" w:cstheme="minorHAnsi"/>
          <w:szCs w:val="24"/>
        </w:rPr>
        <w:fldChar w:fldCharType="begin"/>
      </w:r>
      <w:r w:rsidR="007317FB">
        <w:rPr>
          <w:rFonts w:eastAsia="新細明體" w:cstheme="minorHAnsi"/>
          <w:szCs w:val="24"/>
        </w:rPr>
        <w:instrText xml:space="preserve"> REF _Ref94781619 \r \h </w:instrText>
      </w:r>
      <w:r w:rsidR="007317FB">
        <w:rPr>
          <w:rFonts w:eastAsia="新細明體" w:cstheme="minorHAnsi"/>
          <w:szCs w:val="24"/>
        </w:rPr>
      </w:r>
      <w:r w:rsidR="007317FB">
        <w:rPr>
          <w:rFonts w:eastAsia="新細明體" w:cstheme="minorHAnsi"/>
          <w:szCs w:val="24"/>
        </w:rPr>
        <w:fldChar w:fldCharType="separate"/>
      </w:r>
      <w:r w:rsidR="00261258">
        <w:rPr>
          <w:rFonts w:eastAsia="新細明體" w:cstheme="minorHAnsi"/>
          <w:szCs w:val="24"/>
        </w:rPr>
        <w:t>[1]</w:t>
      </w:r>
      <w:r w:rsidR="007317FB">
        <w:rPr>
          <w:rFonts w:eastAsia="新細明體" w:cstheme="minorHAnsi"/>
          <w:szCs w:val="24"/>
        </w:rPr>
        <w:fldChar w:fldCharType="end"/>
      </w:r>
      <w:r w:rsidR="007317FB">
        <w:rPr>
          <w:rFonts w:eastAsia="新細明體" w:cstheme="minorHAnsi"/>
          <w:szCs w:val="24"/>
        </w:rPr>
        <w:t xml:space="preserve">. </w:t>
      </w:r>
      <w:r w:rsidR="00022B93">
        <w:rPr>
          <w:rFonts w:eastAsia="新細明體" w:cstheme="minorHAnsi"/>
          <w:szCs w:val="24"/>
        </w:rPr>
        <w:t>Besides</w:t>
      </w:r>
      <w:r w:rsidR="007317FB">
        <w:rPr>
          <w:rFonts w:eastAsia="新細明體" w:cstheme="minorHAnsi"/>
          <w:szCs w:val="24"/>
        </w:rPr>
        <w:t>, in this meeting, this WI is divided into four agenda items to be discussed: (1) general issues</w:t>
      </w:r>
      <w:r w:rsidR="00462920">
        <w:rPr>
          <w:rFonts w:eastAsia="新細明體" w:cstheme="minorHAnsi"/>
          <w:szCs w:val="24"/>
        </w:rPr>
        <w:t>,</w:t>
      </w:r>
      <w:r w:rsidR="007317FB">
        <w:rPr>
          <w:rFonts w:eastAsia="新細明體" w:cstheme="minorHAnsi"/>
          <w:szCs w:val="24"/>
        </w:rPr>
        <w:t xml:space="preserve"> (2) L3 measurement</w:t>
      </w:r>
      <w:r w:rsidR="00462920">
        <w:rPr>
          <w:rFonts w:eastAsia="新細明體" w:cstheme="minorHAnsi"/>
          <w:szCs w:val="24"/>
        </w:rPr>
        <w:t>,</w:t>
      </w:r>
      <w:r w:rsidR="007317FB">
        <w:rPr>
          <w:rFonts w:eastAsia="新細明體" w:cstheme="minorHAnsi"/>
          <w:szCs w:val="24"/>
        </w:rPr>
        <w:t xml:space="preserve"> (3) L1 measurement </w:t>
      </w:r>
      <w:r w:rsidR="00462920">
        <w:rPr>
          <w:rFonts w:eastAsia="新細明體" w:cstheme="minorHAnsi"/>
          <w:szCs w:val="24"/>
        </w:rPr>
        <w:t xml:space="preserve">and </w:t>
      </w:r>
      <w:r w:rsidR="007317FB">
        <w:rPr>
          <w:rFonts w:eastAsia="新細明體" w:cstheme="minorHAnsi"/>
          <w:szCs w:val="24"/>
        </w:rPr>
        <w:t xml:space="preserve">(4) TCI state switching. </w:t>
      </w:r>
      <w:r w:rsidR="003349DD">
        <w:rPr>
          <w:rFonts w:eastAsia="新細明體" w:cstheme="minorHAnsi" w:hint="eastAsia"/>
          <w:szCs w:val="24"/>
        </w:rPr>
        <w:t>O</w:t>
      </w:r>
      <w:r w:rsidR="007317FB">
        <w:rPr>
          <w:rFonts w:eastAsia="新細明體" w:cstheme="minorHAnsi"/>
          <w:szCs w:val="24"/>
        </w:rPr>
        <w:t xml:space="preserve">ur view on </w:t>
      </w:r>
      <w:r w:rsidR="000E0344">
        <w:rPr>
          <w:rFonts w:eastAsia="新細明體" w:cstheme="minorHAnsi"/>
          <w:szCs w:val="24"/>
        </w:rPr>
        <w:t>fourth</w:t>
      </w:r>
      <w:r w:rsidR="009C66BA">
        <w:rPr>
          <w:rFonts w:eastAsia="新細明體" w:cstheme="minorHAnsi"/>
          <w:szCs w:val="24"/>
        </w:rPr>
        <w:t xml:space="preserve"> agenda item “</w:t>
      </w:r>
      <w:r w:rsidR="000E0344">
        <w:rPr>
          <w:rFonts w:eastAsia="新細明體" w:cstheme="minorHAnsi"/>
          <w:szCs w:val="24"/>
        </w:rPr>
        <w:t>TCI state switching</w:t>
      </w:r>
      <w:r w:rsidR="009C66BA">
        <w:rPr>
          <w:rFonts w:eastAsia="新細明體" w:cstheme="minorHAnsi"/>
          <w:szCs w:val="24"/>
        </w:rPr>
        <w:t>”</w:t>
      </w:r>
      <w:r w:rsidR="007317FB">
        <w:rPr>
          <w:rFonts w:eastAsia="新細明體" w:cstheme="minorHAnsi"/>
          <w:szCs w:val="24"/>
        </w:rPr>
        <w:t xml:space="preserve"> is provided</w:t>
      </w:r>
      <w:r w:rsidR="003349DD">
        <w:rPr>
          <w:rFonts w:eastAsia="新細明體" w:cstheme="minorHAnsi" w:hint="eastAsia"/>
          <w:szCs w:val="24"/>
        </w:rPr>
        <w:t xml:space="preserve"> </w:t>
      </w:r>
      <w:r w:rsidR="003349DD">
        <w:rPr>
          <w:rFonts w:eastAsia="新細明體" w:cstheme="minorHAnsi"/>
          <w:szCs w:val="24"/>
        </w:rPr>
        <w:t xml:space="preserve">in this </w:t>
      </w:r>
      <w:r w:rsidR="00892346">
        <w:rPr>
          <w:rFonts w:eastAsia="新細明體" w:cstheme="minorHAnsi" w:hint="eastAsia"/>
          <w:szCs w:val="24"/>
        </w:rPr>
        <w:t>p</w:t>
      </w:r>
      <w:r w:rsidR="00892346">
        <w:rPr>
          <w:rFonts w:eastAsia="新細明體" w:cstheme="minorHAnsi"/>
          <w:szCs w:val="24"/>
        </w:rPr>
        <w:t>aper</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6843C7">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07355667" w:rsidR="000B0F8D" w:rsidRPr="00263720" w:rsidRDefault="000B0F8D" w:rsidP="006843C7">
      <w:pPr>
        <w:spacing w:before="100" w:beforeAutospacing="1" w:after="100" w:afterAutospacing="1"/>
        <w:rPr>
          <w:rFonts w:eastAsia="新細明體"/>
          <w:szCs w:val="24"/>
          <w:lang w:val="en-GB"/>
        </w:rPr>
      </w:pPr>
      <w:r w:rsidRPr="00263720">
        <w:rPr>
          <w:rFonts w:eastAsia="新細明體"/>
          <w:szCs w:val="24"/>
          <w:lang w:val="en-GB"/>
        </w:rPr>
        <w:t>In the following sections, below issues will be discussed sequentially.</w:t>
      </w:r>
    </w:p>
    <w:p w14:paraId="5408EB16" w14:textId="28E0E526" w:rsidR="007B6562" w:rsidRDefault="00DC04A1" w:rsidP="006843C7">
      <w:pPr>
        <w:pStyle w:val="af5"/>
        <w:numPr>
          <w:ilvl w:val="0"/>
          <w:numId w:val="22"/>
        </w:numPr>
        <w:spacing w:before="100" w:beforeAutospacing="1" w:after="100" w:afterAutospacing="1"/>
        <w:rPr>
          <w:rFonts w:eastAsia="新細明體"/>
          <w:szCs w:val="24"/>
          <w:lang w:val="en-GB"/>
        </w:rPr>
      </w:pPr>
      <w:r>
        <w:rPr>
          <w:rFonts w:eastAsia="新細明體"/>
          <w:szCs w:val="24"/>
          <w:lang w:val="en-GB"/>
        </w:rPr>
        <w:t>Basic assumption</w:t>
      </w:r>
    </w:p>
    <w:p w14:paraId="56C39A67" w14:textId="0365044D" w:rsidR="00DC04A1" w:rsidRDefault="00DC04A1" w:rsidP="006843C7">
      <w:pPr>
        <w:pStyle w:val="af5"/>
        <w:numPr>
          <w:ilvl w:val="0"/>
          <w:numId w:val="22"/>
        </w:numPr>
        <w:spacing w:before="100" w:beforeAutospacing="1" w:after="100" w:afterAutospacing="1"/>
        <w:rPr>
          <w:rFonts w:eastAsia="新細明體"/>
          <w:szCs w:val="24"/>
          <w:lang w:val="en-GB"/>
        </w:rPr>
      </w:pPr>
      <w:r>
        <w:rPr>
          <w:rFonts w:eastAsia="新細明體"/>
          <w:szCs w:val="24"/>
          <w:lang w:val="en-GB"/>
        </w:rPr>
        <w:t>Known and unknown condition</w:t>
      </w:r>
    </w:p>
    <w:p w14:paraId="5562AA8E" w14:textId="1E698EDE" w:rsidR="00DC04A1" w:rsidRPr="00263720" w:rsidRDefault="00DC04A1" w:rsidP="006843C7">
      <w:pPr>
        <w:pStyle w:val="af5"/>
        <w:numPr>
          <w:ilvl w:val="0"/>
          <w:numId w:val="22"/>
        </w:numPr>
        <w:spacing w:before="100" w:beforeAutospacing="1" w:after="100" w:afterAutospacing="1"/>
        <w:rPr>
          <w:rFonts w:eastAsia="新細明體"/>
          <w:szCs w:val="24"/>
          <w:lang w:val="en-GB"/>
        </w:rPr>
      </w:pPr>
      <w:r>
        <w:rPr>
          <w:rFonts w:eastAsia="新細明體"/>
          <w:szCs w:val="24"/>
          <w:lang w:val="en-GB"/>
        </w:rPr>
        <w:t>Switch delay</w:t>
      </w:r>
    </w:p>
    <w:p w14:paraId="4699F00A" w14:textId="77777777" w:rsidR="00263720" w:rsidRPr="005A2F6D" w:rsidRDefault="00263720" w:rsidP="006843C7">
      <w:pPr>
        <w:pStyle w:val="af5"/>
        <w:spacing w:before="100" w:beforeAutospacing="1" w:after="100" w:afterAutospacing="1"/>
        <w:ind w:left="480"/>
        <w:rPr>
          <w:rFonts w:eastAsia="新細明體"/>
          <w:lang w:val="en-GB"/>
        </w:rPr>
      </w:pPr>
    </w:p>
    <w:p w14:paraId="02BF738B" w14:textId="4CE32CB6" w:rsidR="0028162D" w:rsidRPr="00923E98" w:rsidRDefault="000D71D7" w:rsidP="006843C7">
      <w:pPr>
        <w:pStyle w:val="2"/>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 xml:space="preserve">2.1 </w:t>
      </w:r>
      <w:r w:rsidR="00F15AFD" w:rsidRPr="00F15AFD">
        <w:rPr>
          <w:rFonts w:asciiTheme="minorHAnsi" w:eastAsia="新細明體" w:hAnsiTheme="minorHAnsi" w:cstheme="minorHAnsi"/>
          <w:szCs w:val="32"/>
          <w:lang w:eastAsia="zh-TW"/>
        </w:rPr>
        <w:t>Basic assumption</w:t>
      </w:r>
    </w:p>
    <w:p w14:paraId="6D3EECD5" w14:textId="09408192" w:rsidR="00BA1EAC" w:rsidRDefault="00F15AFD" w:rsidP="00520E82">
      <w:pPr>
        <w:spacing w:before="100" w:beforeAutospacing="1" w:after="100" w:afterAutospacing="1"/>
        <w:jc w:val="both"/>
        <w:rPr>
          <w:rFonts w:eastAsia="新細明體"/>
          <w:lang w:val="en-GB"/>
        </w:rPr>
      </w:pPr>
      <w:r>
        <w:rPr>
          <w:rFonts w:eastAsia="新細明體" w:hint="eastAsia"/>
          <w:lang w:val="en-GB"/>
        </w:rPr>
        <w:t>I</w:t>
      </w:r>
      <w:r>
        <w:rPr>
          <w:rFonts w:eastAsia="新細明體"/>
          <w:lang w:val="en-GB"/>
        </w:rPr>
        <w:t xml:space="preserve">n this section, we would like to discuss </w:t>
      </w:r>
      <w:r w:rsidR="00AD7B65">
        <w:rPr>
          <w:rFonts w:eastAsia="新細明體"/>
          <w:lang w:val="en-GB"/>
        </w:rPr>
        <w:t xml:space="preserve">whether </w:t>
      </w:r>
      <w:r>
        <w:rPr>
          <w:rFonts w:eastAsia="新細明體"/>
          <w:lang w:val="en-GB"/>
        </w:rPr>
        <w:t xml:space="preserve">TCI state switch in R18 multi-Rx should be defined based on R15/R16 legacy TCI framework or R17 unified TCI framework. The corresponding WF </w:t>
      </w:r>
      <w:r>
        <w:rPr>
          <w:rFonts w:eastAsia="新細明體" w:cstheme="minorHAnsi"/>
          <w:szCs w:val="24"/>
        </w:rPr>
        <w:fldChar w:fldCharType="begin"/>
      </w:r>
      <w:r>
        <w:rPr>
          <w:rFonts w:eastAsia="新細明體" w:cstheme="minorHAnsi"/>
          <w:szCs w:val="24"/>
        </w:rPr>
        <w:instrText xml:space="preserve"> REF _Ref94781619 \r \h </w:instrText>
      </w:r>
      <w:r w:rsidR="00520E82">
        <w:rPr>
          <w:rFonts w:eastAsia="新細明體" w:cstheme="minorHAnsi"/>
          <w:szCs w:val="24"/>
        </w:rPr>
        <w:instrText xml:space="preserve"> \* MERGEFORMAT </w:instrText>
      </w:r>
      <w:r>
        <w:rPr>
          <w:rFonts w:eastAsia="新細明體" w:cstheme="minorHAnsi"/>
          <w:szCs w:val="24"/>
        </w:rPr>
      </w:r>
      <w:r>
        <w:rPr>
          <w:rFonts w:eastAsia="新細明體" w:cstheme="minorHAnsi"/>
          <w:szCs w:val="24"/>
        </w:rPr>
        <w:fldChar w:fldCharType="separate"/>
      </w:r>
      <w:r w:rsidR="00261258">
        <w:rPr>
          <w:rFonts w:eastAsia="新細明體" w:cstheme="minorHAnsi"/>
          <w:szCs w:val="24"/>
        </w:rPr>
        <w:t>[1]</w:t>
      </w:r>
      <w:r>
        <w:rPr>
          <w:rFonts w:eastAsia="新細明體" w:cstheme="minorHAnsi"/>
          <w:szCs w:val="24"/>
        </w:rPr>
        <w:fldChar w:fldCharType="end"/>
      </w:r>
      <w:r>
        <w:rPr>
          <w:rFonts w:eastAsia="新細明體"/>
          <w:lang w:val="en-GB"/>
        </w:rPr>
        <w:t xml:space="preserve"> is provided as below for reference.</w:t>
      </w:r>
    </w:p>
    <w:tbl>
      <w:tblPr>
        <w:tblStyle w:val="af7"/>
        <w:tblW w:w="0" w:type="auto"/>
        <w:tblLook w:val="04A0" w:firstRow="1" w:lastRow="0" w:firstColumn="1" w:lastColumn="0" w:noHBand="0" w:noVBand="1"/>
      </w:tblPr>
      <w:tblGrid>
        <w:gridCol w:w="9629"/>
      </w:tblGrid>
      <w:tr w:rsidR="00D75B7C" w14:paraId="586360FF" w14:textId="77777777" w:rsidTr="00D75B7C">
        <w:tc>
          <w:tcPr>
            <w:tcW w:w="9629" w:type="dxa"/>
          </w:tcPr>
          <w:p w14:paraId="778CF2B8" w14:textId="77777777" w:rsidR="00D75B7C" w:rsidRPr="00D75B7C" w:rsidRDefault="00D75B7C" w:rsidP="00520E82">
            <w:pPr>
              <w:spacing w:before="100" w:beforeAutospacing="1" w:after="100" w:afterAutospacing="1"/>
              <w:jc w:val="both"/>
              <w:rPr>
                <w:b/>
                <w:sz w:val="20"/>
                <w:szCs w:val="18"/>
                <w:u w:val="single"/>
                <w:lang w:eastAsia="ko-KR"/>
              </w:rPr>
            </w:pPr>
            <w:r w:rsidRPr="00D75B7C">
              <w:rPr>
                <w:b/>
                <w:sz w:val="20"/>
                <w:szCs w:val="18"/>
                <w:u w:val="single"/>
                <w:lang w:eastAsia="ko-KR"/>
              </w:rPr>
              <w:t>Issue 1-3</w:t>
            </w:r>
            <w:r w:rsidRPr="00D75B7C">
              <w:rPr>
                <w:rFonts w:hint="eastAsia"/>
                <w:b/>
                <w:sz w:val="20"/>
                <w:szCs w:val="18"/>
                <w:u w:val="single"/>
              </w:rPr>
              <w:t>-</w:t>
            </w:r>
            <w:r w:rsidRPr="00D75B7C">
              <w:rPr>
                <w:b/>
                <w:sz w:val="20"/>
                <w:szCs w:val="18"/>
                <w:u w:val="single"/>
              </w:rPr>
              <w:t>1-2</w:t>
            </w:r>
            <w:r w:rsidRPr="00D75B7C">
              <w:rPr>
                <w:b/>
                <w:sz w:val="20"/>
                <w:szCs w:val="18"/>
                <w:u w:val="single"/>
                <w:lang w:eastAsia="ko-KR"/>
              </w:rPr>
              <w:t xml:space="preserve">:  TCI framework for dual </w:t>
            </w:r>
            <w:r w:rsidRPr="00D75B7C">
              <w:rPr>
                <w:b/>
                <w:color w:val="000000"/>
                <w:sz w:val="20"/>
                <w:szCs w:val="18"/>
                <w:u w:val="single"/>
                <w:lang w:eastAsia="ko-KR"/>
              </w:rPr>
              <w:t>TCIs</w:t>
            </w:r>
          </w:p>
          <w:p w14:paraId="7548861C" w14:textId="77777777" w:rsidR="00D75B7C" w:rsidRPr="00D75B7C" w:rsidRDefault="00D75B7C" w:rsidP="00520E82">
            <w:pPr>
              <w:pStyle w:val="af5"/>
              <w:numPr>
                <w:ilvl w:val="0"/>
                <w:numId w:val="5"/>
              </w:numPr>
              <w:spacing w:before="100" w:beforeAutospacing="1" w:after="100" w:afterAutospacing="1"/>
              <w:ind w:left="720"/>
              <w:contextualSpacing w:val="0"/>
              <w:jc w:val="both"/>
              <w:rPr>
                <w:rFonts w:eastAsia="SimSun"/>
                <w:sz w:val="20"/>
                <w:szCs w:val="20"/>
                <w:lang w:eastAsia="zh-CN"/>
              </w:rPr>
            </w:pPr>
            <w:r w:rsidRPr="00D75B7C">
              <w:rPr>
                <w:rFonts w:eastAsia="SimSun"/>
                <w:sz w:val="20"/>
                <w:szCs w:val="20"/>
                <w:lang w:eastAsia="zh-CN"/>
              </w:rPr>
              <w:t>Proposals</w:t>
            </w:r>
          </w:p>
          <w:p w14:paraId="7A4DD761" w14:textId="77777777" w:rsidR="00D75B7C" w:rsidRPr="00D75B7C" w:rsidRDefault="00D75B7C" w:rsidP="00520E82">
            <w:pPr>
              <w:pStyle w:val="af5"/>
              <w:numPr>
                <w:ilvl w:val="1"/>
                <w:numId w:val="5"/>
              </w:numPr>
              <w:spacing w:before="100" w:beforeAutospacing="1" w:after="100" w:afterAutospacing="1"/>
              <w:ind w:left="1440"/>
              <w:contextualSpacing w:val="0"/>
              <w:jc w:val="both"/>
              <w:rPr>
                <w:rFonts w:eastAsia="SimSun"/>
                <w:sz w:val="20"/>
                <w:szCs w:val="20"/>
                <w:lang w:eastAsia="zh-CN"/>
              </w:rPr>
            </w:pPr>
            <w:r w:rsidRPr="00D75B7C">
              <w:rPr>
                <w:rFonts w:eastAsia="SimSun"/>
                <w:sz w:val="20"/>
                <w:szCs w:val="20"/>
                <w:lang w:eastAsia="zh-CN"/>
              </w:rPr>
              <w:t>Option 1: Dual TCI state switching delay requirements shall base on Rel-15/16 TCI framework.</w:t>
            </w:r>
          </w:p>
          <w:p w14:paraId="406AB30A" w14:textId="14AF230A" w:rsidR="00D75B7C" w:rsidRPr="00D75B7C" w:rsidRDefault="00D75B7C" w:rsidP="00520E82">
            <w:pPr>
              <w:pStyle w:val="af5"/>
              <w:numPr>
                <w:ilvl w:val="1"/>
                <w:numId w:val="5"/>
              </w:numPr>
              <w:spacing w:before="100" w:beforeAutospacing="1" w:after="100" w:afterAutospacing="1"/>
              <w:ind w:left="1440"/>
              <w:contextualSpacing w:val="0"/>
              <w:jc w:val="both"/>
              <w:rPr>
                <w:rFonts w:eastAsia="SimSun"/>
                <w:szCs w:val="24"/>
                <w:lang w:eastAsia="zh-CN"/>
              </w:rPr>
            </w:pPr>
            <w:r w:rsidRPr="00D75B7C">
              <w:rPr>
                <w:rFonts w:eastAsia="SimSun"/>
                <w:sz w:val="20"/>
                <w:szCs w:val="20"/>
                <w:lang w:eastAsia="zh-CN"/>
              </w:rPr>
              <w:t>Option 2: To define requirements for TCI switching delay with dual TCI, both R15/R16 TCI framework and R17 TCI framework, i.e., unified TCI, are considered for UE supporting multi-Rx chain simultaneous reception.</w:t>
            </w:r>
          </w:p>
        </w:tc>
      </w:tr>
    </w:tbl>
    <w:p w14:paraId="7AB1CDFE" w14:textId="3A6B5C9D" w:rsidR="00D75B7C" w:rsidRDefault="00DA2357" w:rsidP="00520E82">
      <w:pPr>
        <w:spacing w:before="100" w:beforeAutospacing="1" w:after="100" w:afterAutospacing="1"/>
        <w:jc w:val="both"/>
        <w:rPr>
          <w:rFonts w:eastAsia="新細明體"/>
          <w:lang w:val="en-GB"/>
        </w:rPr>
      </w:pPr>
      <w:r>
        <w:rPr>
          <w:rFonts w:eastAsia="新細明體" w:hint="eastAsia"/>
          <w:lang w:val="en-GB"/>
        </w:rPr>
        <w:t>T</w:t>
      </w:r>
      <w:r>
        <w:rPr>
          <w:rFonts w:eastAsia="新細明體"/>
          <w:lang w:val="en-GB"/>
        </w:rPr>
        <w:t>o our understanding, currently, in RAN1, R17 unified TCI framework is not applicable to mTRP scenario</w:t>
      </w:r>
      <w:r w:rsidR="00673F62">
        <w:rPr>
          <w:rFonts w:eastAsia="新細明體"/>
          <w:lang w:val="en-GB"/>
        </w:rPr>
        <w:t xml:space="preserve">, because 3GPP still does not support </w:t>
      </w:r>
      <w:r w:rsidR="0053537B">
        <w:rPr>
          <w:rFonts w:eastAsia="新細明體"/>
          <w:lang w:val="en-GB"/>
        </w:rPr>
        <w:t xml:space="preserve">single </w:t>
      </w:r>
      <w:r w:rsidR="00673F62">
        <w:rPr>
          <w:rFonts w:eastAsia="新細明體"/>
          <w:lang w:val="en-GB"/>
        </w:rPr>
        <w:t>PDCCH with 2 different TCI states.</w:t>
      </w:r>
      <w:r w:rsidR="009E6E40">
        <w:rPr>
          <w:rFonts w:eastAsia="新細明體"/>
          <w:lang w:val="en-GB"/>
        </w:rPr>
        <w:t xml:space="preserve"> </w:t>
      </w:r>
      <w:r>
        <w:rPr>
          <w:rFonts w:eastAsia="新細明體"/>
          <w:lang w:val="en-GB"/>
        </w:rPr>
        <w:t xml:space="preserve">So, to our understanding, </w:t>
      </w:r>
      <w:r w:rsidR="007905A5">
        <w:rPr>
          <w:rFonts w:eastAsia="新細明體"/>
          <w:lang w:val="en-GB"/>
        </w:rPr>
        <w:t>R17 unified TCI framework cannot be used for R18 multi-Rx because the intention of multiple panel</w:t>
      </w:r>
      <w:r w:rsidR="00673F62">
        <w:rPr>
          <w:rFonts w:eastAsia="新細明體"/>
          <w:lang w:val="en-GB"/>
        </w:rPr>
        <w:t>s</w:t>
      </w:r>
      <w:r w:rsidR="007905A5">
        <w:rPr>
          <w:rFonts w:eastAsia="新細明體"/>
          <w:lang w:val="en-GB"/>
        </w:rPr>
        <w:t xml:space="preserve"> is for mTRP scenario.</w:t>
      </w:r>
    </w:p>
    <w:p w14:paraId="1665BB23" w14:textId="660CE774" w:rsidR="00DA2357" w:rsidRDefault="00DA2357" w:rsidP="00520E82">
      <w:pPr>
        <w:spacing w:before="100" w:beforeAutospacing="1" w:after="100" w:afterAutospacing="1"/>
        <w:jc w:val="both"/>
        <w:rPr>
          <w:b/>
          <w:szCs w:val="24"/>
        </w:rPr>
      </w:pPr>
      <w:bookmarkStart w:id="2" w:name="_Ref115356097"/>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261258">
        <w:rPr>
          <w:b/>
          <w:noProof/>
          <w:szCs w:val="24"/>
        </w:rPr>
        <w:t>1</w:t>
      </w:r>
      <w:r w:rsidRPr="004E4BCC">
        <w:rPr>
          <w:b/>
          <w:szCs w:val="24"/>
        </w:rPr>
        <w:fldChar w:fldCharType="end"/>
      </w:r>
      <w:r w:rsidRPr="004E4BCC">
        <w:rPr>
          <w:b/>
          <w:szCs w:val="24"/>
        </w:rPr>
        <w:t>:</w:t>
      </w:r>
      <w:r>
        <w:rPr>
          <w:b/>
          <w:szCs w:val="24"/>
        </w:rPr>
        <w:t xml:space="preserve"> In R18 multi-Rx, to define the</w:t>
      </w:r>
      <w:r w:rsidR="002907B7">
        <w:rPr>
          <w:b/>
          <w:szCs w:val="24"/>
        </w:rPr>
        <w:t xml:space="preserve"> TCI state</w:t>
      </w:r>
      <w:r>
        <w:rPr>
          <w:b/>
          <w:szCs w:val="24"/>
        </w:rPr>
        <w:t xml:space="preserve"> requirement based on R15/R16 TCI framework.</w:t>
      </w:r>
      <w:bookmarkEnd w:id="2"/>
    </w:p>
    <w:p w14:paraId="6B4CE99A" w14:textId="77777777" w:rsidR="00146AB1" w:rsidRDefault="00146AB1" w:rsidP="00520E82">
      <w:pPr>
        <w:spacing w:before="100" w:beforeAutospacing="1" w:after="100" w:afterAutospacing="1"/>
        <w:jc w:val="both"/>
        <w:rPr>
          <w:b/>
          <w:szCs w:val="24"/>
        </w:rPr>
      </w:pPr>
    </w:p>
    <w:p w14:paraId="0EB7CFA5" w14:textId="572F388F" w:rsidR="002907B7" w:rsidRPr="00923E98" w:rsidRDefault="002907B7" w:rsidP="00520E82">
      <w:pPr>
        <w:pStyle w:val="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lastRenderedPageBreak/>
        <w:t>2.</w:t>
      </w:r>
      <w:r>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Known/unknown condition of TCI state</w:t>
      </w:r>
    </w:p>
    <w:p w14:paraId="0BD177AD" w14:textId="6BF2221E" w:rsidR="002907B7" w:rsidRDefault="002907B7" w:rsidP="00520E82">
      <w:pPr>
        <w:spacing w:before="100" w:beforeAutospacing="1" w:after="100" w:afterAutospacing="1"/>
        <w:jc w:val="both"/>
        <w:rPr>
          <w:rFonts w:eastAsia="新細明體"/>
        </w:rPr>
      </w:pPr>
      <w:r>
        <w:rPr>
          <w:rFonts w:eastAsia="新細明體" w:hint="eastAsia"/>
        </w:rPr>
        <w:t>I</w:t>
      </w:r>
      <w:r>
        <w:rPr>
          <w:rFonts w:eastAsia="新細明體"/>
        </w:rPr>
        <w:t xml:space="preserve">n the legacy requirement, only one active panel is assumed. So, there is no cross panels problem. However, in R18 multi-Rx, it is </w:t>
      </w:r>
      <w:r w:rsidR="00040213">
        <w:rPr>
          <w:rFonts w:eastAsia="新細明體"/>
        </w:rPr>
        <w:t xml:space="preserve">a </w:t>
      </w:r>
      <w:r>
        <w:rPr>
          <w:rFonts w:eastAsia="新細明體"/>
        </w:rPr>
        <w:t xml:space="preserve">question whether known/unknown information can be </w:t>
      </w:r>
      <w:r w:rsidR="000411BC">
        <w:rPr>
          <w:rFonts w:eastAsia="新細明體"/>
        </w:rPr>
        <w:t xml:space="preserve">shared </w:t>
      </w:r>
      <w:r>
        <w:rPr>
          <w:rFonts w:eastAsia="新細明體"/>
        </w:rPr>
        <w:t>cross different panels. For example, whether UE can regard</w:t>
      </w:r>
      <w:r w:rsidR="00051F74">
        <w:rPr>
          <w:rFonts w:eastAsia="新細明體"/>
        </w:rPr>
        <w:t xml:space="preserve"> target</w:t>
      </w:r>
      <w:r>
        <w:rPr>
          <w:rFonts w:eastAsia="新細明體"/>
        </w:rPr>
        <w:t xml:space="preserve"> TCI state </w:t>
      </w:r>
      <w:r w:rsidR="008D3CE0">
        <w:rPr>
          <w:rFonts w:eastAsia="新細明體"/>
        </w:rPr>
        <w:t>for panel #2 as</w:t>
      </w:r>
      <w:r>
        <w:rPr>
          <w:rFonts w:eastAsia="新細明體"/>
        </w:rPr>
        <w:t xml:space="preserve"> known if UE</w:t>
      </w:r>
      <w:r w:rsidR="00204E86">
        <w:rPr>
          <w:rFonts w:eastAsia="新細明體"/>
        </w:rPr>
        <w:t xml:space="preserve"> only</w:t>
      </w:r>
      <w:r>
        <w:rPr>
          <w:rFonts w:eastAsia="新細明體"/>
        </w:rPr>
        <w:t xml:space="preserve"> </w:t>
      </w:r>
      <w:r w:rsidR="008D3CE0">
        <w:rPr>
          <w:rFonts w:eastAsia="新細明體"/>
        </w:rPr>
        <w:t xml:space="preserve">measured and </w:t>
      </w:r>
      <w:r w:rsidR="00B87520">
        <w:rPr>
          <w:rFonts w:eastAsia="新細明體"/>
        </w:rPr>
        <w:t>report</w:t>
      </w:r>
      <w:r w:rsidR="007E2708">
        <w:rPr>
          <w:rFonts w:eastAsia="新細明體"/>
        </w:rPr>
        <w:t>ed</w:t>
      </w:r>
      <w:r w:rsidR="008D3CE0">
        <w:rPr>
          <w:rFonts w:eastAsia="新細明體"/>
        </w:rPr>
        <w:t xml:space="preserve"> for the target TCI state by using panel #1 </w:t>
      </w:r>
      <w:r>
        <w:rPr>
          <w:rFonts w:eastAsia="新細明體"/>
        </w:rPr>
        <w:t xml:space="preserve">before. </w:t>
      </w:r>
    </w:p>
    <w:p w14:paraId="2D00D356" w14:textId="1189D8BD" w:rsidR="004A19B3" w:rsidRPr="004A19B3" w:rsidRDefault="002907B7" w:rsidP="00520E82">
      <w:pPr>
        <w:spacing w:before="100" w:beforeAutospacing="1" w:after="100" w:afterAutospacing="1"/>
        <w:jc w:val="both"/>
        <w:rPr>
          <w:rFonts w:eastAsia="新細明體"/>
        </w:rPr>
      </w:pPr>
      <w:r>
        <w:rPr>
          <w:rFonts w:eastAsia="新細明體"/>
        </w:rPr>
        <w:t xml:space="preserve">Our thinking on this issue is </w:t>
      </w:r>
      <w:r w:rsidR="00190539">
        <w:rPr>
          <w:rFonts w:eastAsia="新細明體"/>
        </w:rPr>
        <w:t>“</w:t>
      </w:r>
      <w:r w:rsidR="00190539" w:rsidRPr="00190539">
        <w:rPr>
          <w:rFonts w:eastAsia="新細明體"/>
        </w:rPr>
        <w:t>should we care whether target TCI state is known to panel #2 if the TCI state is known to panel #1</w:t>
      </w:r>
      <w:r w:rsidR="00190539">
        <w:rPr>
          <w:rFonts w:eastAsia="新細明體"/>
        </w:rPr>
        <w:t xml:space="preserve">?” To our understanding, how to receive the signals is up to UE implementation. </w:t>
      </w:r>
      <w:r w:rsidR="00190539" w:rsidRPr="00190539">
        <w:rPr>
          <w:rFonts w:eastAsia="新細明體" w:hint="eastAsia"/>
        </w:rPr>
        <w:t xml:space="preserve">If UE </w:t>
      </w:r>
      <w:r w:rsidR="00EF47C2">
        <w:rPr>
          <w:rFonts w:eastAsia="新細明體"/>
        </w:rPr>
        <w:t xml:space="preserve">transmitted L1 report for </w:t>
      </w:r>
      <w:r w:rsidR="00190539" w:rsidRPr="00190539">
        <w:rPr>
          <w:rFonts w:eastAsia="新細明體" w:hint="eastAsia"/>
        </w:rPr>
        <w:t xml:space="preserve">target TCI state </w:t>
      </w:r>
      <w:r w:rsidR="00D16648">
        <w:rPr>
          <w:rFonts w:eastAsia="新細明體"/>
        </w:rPr>
        <w:t xml:space="preserve">based on a certain panel, the same </w:t>
      </w:r>
      <w:r w:rsidR="00190539" w:rsidRPr="00190539">
        <w:rPr>
          <w:rFonts w:eastAsia="新細明體" w:hint="eastAsia"/>
        </w:rPr>
        <w:t xml:space="preserve">panel </w:t>
      </w:r>
      <w:r w:rsidR="00D16648">
        <w:rPr>
          <w:rFonts w:eastAsia="新細明體"/>
        </w:rPr>
        <w:t xml:space="preserve">will be </w:t>
      </w:r>
      <w:r w:rsidR="00190539" w:rsidRPr="00190539">
        <w:rPr>
          <w:rFonts w:eastAsia="新細明體" w:hint="eastAsia"/>
        </w:rPr>
        <w:t xml:space="preserve">used </w:t>
      </w:r>
      <w:r w:rsidR="00D16648">
        <w:rPr>
          <w:rFonts w:eastAsia="新細明體"/>
        </w:rPr>
        <w:t>for later</w:t>
      </w:r>
      <w:r w:rsidR="00190539" w:rsidRPr="00190539">
        <w:rPr>
          <w:rFonts w:eastAsia="新細明體" w:hint="eastAsia"/>
        </w:rPr>
        <w:t xml:space="preserve"> TCI state </w:t>
      </w:r>
      <w:r w:rsidR="00D16648">
        <w:rPr>
          <w:rFonts w:eastAsia="新細明體"/>
        </w:rPr>
        <w:t>switch</w:t>
      </w:r>
      <w:r w:rsidR="00190539" w:rsidRPr="00190539">
        <w:rPr>
          <w:rFonts w:eastAsia="新細明體" w:hint="eastAsia"/>
        </w:rPr>
        <w:t>.</w:t>
      </w:r>
      <w:r w:rsidR="00190539">
        <w:rPr>
          <w:rFonts w:eastAsia="新細明體"/>
        </w:rPr>
        <w:t xml:space="preserve"> </w:t>
      </w:r>
      <w:r w:rsidR="0044706F">
        <w:rPr>
          <w:rFonts w:eastAsia="新細明體"/>
        </w:rPr>
        <w:t>So, a</w:t>
      </w:r>
      <w:r w:rsidR="0044706F" w:rsidRPr="00190539">
        <w:rPr>
          <w:rFonts w:eastAsia="新細明體"/>
        </w:rPr>
        <w:t xml:space="preserve">s long as </w:t>
      </w:r>
      <w:r w:rsidR="0044706F">
        <w:rPr>
          <w:rFonts w:eastAsia="新細明體"/>
        </w:rPr>
        <w:t>network</w:t>
      </w:r>
      <w:r w:rsidR="0044706F" w:rsidRPr="00190539">
        <w:rPr>
          <w:rFonts w:eastAsia="新細明體"/>
        </w:rPr>
        <w:t xml:space="preserve"> indicates </w:t>
      </w:r>
      <w:r w:rsidR="00FB5842">
        <w:rPr>
          <w:rFonts w:eastAsia="新細明體"/>
        </w:rPr>
        <w:t xml:space="preserve">UE to switch to </w:t>
      </w:r>
      <w:r w:rsidR="0044706F" w:rsidRPr="00190539">
        <w:rPr>
          <w:rFonts w:eastAsia="新細明體"/>
        </w:rPr>
        <w:t>the target TCI state</w:t>
      </w:r>
      <w:r w:rsidR="008D3CE0">
        <w:rPr>
          <w:rFonts w:eastAsia="新細明體"/>
        </w:rPr>
        <w:t xml:space="preserve">, </w:t>
      </w:r>
      <w:r w:rsidR="008D3CE0" w:rsidRPr="00190539">
        <w:rPr>
          <w:rFonts w:eastAsia="新細明體"/>
        </w:rPr>
        <w:t xml:space="preserve">UE </w:t>
      </w:r>
      <w:r w:rsidR="007513FC">
        <w:rPr>
          <w:rFonts w:eastAsia="新細明體"/>
        </w:rPr>
        <w:t>behavior and the required delay are clear from both UE and network perspectives</w:t>
      </w:r>
      <w:r w:rsidR="00190539" w:rsidRPr="00190539">
        <w:rPr>
          <w:rFonts w:eastAsia="新細明體"/>
        </w:rPr>
        <w:t xml:space="preserve">. </w:t>
      </w:r>
    </w:p>
    <w:p w14:paraId="25760197" w14:textId="0F23C59F" w:rsidR="00EF47C2" w:rsidRDefault="00EF47C2" w:rsidP="00520E82">
      <w:pPr>
        <w:spacing w:before="100" w:beforeAutospacing="1" w:after="100" w:afterAutospacing="1"/>
        <w:jc w:val="both"/>
        <w:rPr>
          <w:b/>
          <w:szCs w:val="24"/>
        </w:rPr>
      </w:pPr>
      <w:bookmarkStart w:id="3" w:name="_Ref115356098"/>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261258">
        <w:rPr>
          <w:b/>
          <w:noProof/>
          <w:szCs w:val="24"/>
        </w:rPr>
        <w:t>2</w:t>
      </w:r>
      <w:r w:rsidRPr="004E4BCC">
        <w:rPr>
          <w:b/>
          <w:szCs w:val="24"/>
        </w:rPr>
        <w:fldChar w:fldCharType="end"/>
      </w:r>
      <w:r w:rsidRPr="004E4BCC">
        <w:rPr>
          <w:b/>
          <w:szCs w:val="24"/>
        </w:rPr>
        <w:t>:</w:t>
      </w:r>
      <w:r>
        <w:rPr>
          <w:b/>
          <w:szCs w:val="24"/>
        </w:rPr>
        <w:t xml:space="preserve"> For known and unknown condition of TCI state in R18 multi-Rx, the legacy R15/R16 requirement can be reused.</w:t>
      </w:r>
      <w:bookmarkEnd w:id="3"/>
    </w:p>
    <w:p w14:paraId="2B8E922E" w14:textId="77777777" w:rsidR="00146AB1" w:rsidRDefault="00146AB1" w:rsidP="00520E82">
      <w:pPr>
        <w:spacing w:before="100" w:beforeAutospacing="1" w:after="100" w:afterAutospacing="1"/>
        <w:jc w:val="both"/>
        <w:rPr>
          <w:b/>
          <w:szCs w:val="24"/>
        </w:rPr>
      </w:pPr>
    </w:p>
    <w:p w14:paraId="3C5CFADE" w14:textId="626EE261" w:rsidR="005C794E" w:rsidRPr="00923E98" w:rsidRDefault="005C794E" w:rsidP="00520E82">
      <w:pPr>
        <w:pStyle w:val="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3</w:t>
      </w:r>
      <w:r w:rsidRPr="00923E98">
        <w:rPr>
          <w:rFonts w:asciiTheme="minorHAnsi" w:hAnsiTheme="minorHAnsi" w:cstheme="minorHAnsi"/>
          <w:szCs w:val="32"/>
        </w:rPr>
        <w:t xml:space="preserve"> </w:t>
      </w:r>
      <w:r w:rsidRPr="005C794E">
        <w:rPr>
          <w:rFonts w:asciiTheme="minorHAnsi" w:eastAsia="新細明體" w:hAnsiTheme="minorHAnsi" w:cstheme="minorHAnsi"/>
          <w:szCs w:val="32"/>
          <w:lang w:eastAsia="zh-TW"/>
        </w:rPr>
        <w:t>Switch delay</w:t>
      </w:r>
    </w:p>
    <w:p w14:paraId="0A870F33" w14:textId="72CFF420" w:rsidR="005C794E" w:rsidRDefault="005C794E" w:rsidP="00520E82">
      <w:pPr>
        <w:spacing w:before="100" w:beforeAutospacing="1" w:after="100" w:afterAutospacing="1"/>
        <w:jc w:val="both"/>
        <w:rPr>
          <w:rFonts w:eastAsia="新細明體" w:cstheme="minorHAnsi"/>
          <w:szCs w:val="24"/>
          <w:lang w:val="en-GB"/>
        </w:rPr>
      </w:pPr>
      <w:r>
        <w:rPr>
          <w:rFonts w:eastAsia="新細明體" w:cstheme="minorHAnsi" w:hint="eastAsia"/>
          <w:szCs w:val="24"/>
          <w:lang w:val="en-GB"/>
        </w:rPr>
        <w:t>I</w:t>
      </w:r>
      <w:r>
        <w:rPr>
          <w:rFonts w:eastAsia="新細明體" w:cstheme="minorHAnsi"/>
          <w:szCs w:val="24"/>
          <w:lang w:val="en-GB"/>
        </w:rPr>
        <w:t xml:space="preserve">n the last meeting, some companies think the switch delay should additionally consider the transient time of cross panel switch. To our understanding, the cross panel switch means the transient time </w:t>
      </w:r>
      <w:r w:rsidR="00DE4677">
        <w:rPr>
          <w:rFonts w:eastAsia="新細明體" w:cstheme="minorHAnsi"/>
          <w:szCs w:val="24"/>
          <w:lang w:val="en-GB"/>
        </w:rPr>
        <w:t>of</w:t>
      </w:r>
      <w:r>
        <w:rPr>
          <w:rFonts w:eastAsia="新細明體" w:cstheme="minorHAnsi"/>
          <w:szCs w:val="24"/>
          <w:lang w:val="en-GB"/>
        </w:rPr>
        <w:t xml:space="preserve"> panel </w:t>
      </w:r>
      <w:r w:rsidR="00DE4677">
        <w:rPr>
          <w:rFonts w:eastAsia="新細明體" w:cstheme="minorHAnsi"/>
          <w:szCs w:val="24"/>
          <w:lang w:val="en-GB"/>
        </w:rPr>
        <w:t xml:space="preserve">power </w:t>
      </w:r>
      <w:r>
        <w:rPr>
          <w:rFonts w:eastAsia="新細明體" w:cstheme="minorHAnsi"/>
          <w:szCs w:val="24"/>
          <w:lang w:val="en-GB"/>
        </w:rPr>
        <w:t>ON/OFF. However, in current TCI state switch</w:t>
      </w:r>
      <w:r w:rsidR="0022233A">
        <w:rPr>
          <w:rFonts w:eastAsia="新細明體" w:cstheme="minorHAnsi"/>
          <w:szCs w:val="24"/>
          <w:lang w:val="en-GB"/>
        </w:rPr>
        <w:t xml:space="preserve"> delay requirement</w:t>
      </w:r>
      <w:r>
        <w:rPr>
          <w:rFonts w:eastAsia="新細明體" w:cstheme="minorHAnsi"/>
          <w:szCs w:val="24"/>
          <w:lang w:val="en-GB"/>
        </w:rPr>
        <w:t xml:space="preserve">, such transient time is </w:t>
      </w:r>
      <w:r w:rsidR="00DE4677">
        <w:rPr>
          <w:rFonts w:eastAsia="新細明體" w:cstheme="minorHAnsi"/>
          <w:szCs w:val="24"/>
          <w:lang w:val="en-GB"/>
        </w:rPr>
        <w:t xml:space="preserve">not </w:t>
      </w:r>
      <w:r>
        <w:rPr>
          <w:rFonts w:eastAsia="新細明體" w:cstheme="minorHAnsi"/>
          <w:szCs w:val="24"/>
          <w:lang w:val="en-GB"/>
        </w:rPr>
        <w:t xml:space="preserve">considered. </w:t>
      </w:r>
    </w:p>
    <w:p w14:paraId="31401CB2" w14:textId="248250AE" w:rsidR="005C794E" w:rsidRPr="00146AB1" w:rsidRDefault="005C794E" w:rsidP="00520E82">
      <w:pPr>
        <w:pStyle w:val="af1"/>
        <w:spacing w:before="100" w:beforeAutospacing="1" w:after="100" w:afterAutospacing="1"/>
        <w:jc w:val="both"/>
        <w:rPr>
          <w:rFonts w:eastAsia="新細明體"/>
        </w:rPr>
      </w:pPr>
      <w:bookmarkStart w:id="4" w:name="_Ref110947186"/>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261258">
        <w:rPr>
          <w:noProof/>
          <w:sz w:val="24"/>
          <w:szCs w:val="24"/>
        </w:rPr>
        <w:t>1</w:t>
      </w:r>
      <w:r w:rsidRPr="00692822">
        <w:rPr>
          <w:sz w:val="24"/>
          <w:szCs w:val="24"/>
        </w:rPr>
        <w:fldChar w:fldCharType="end"/>
      </w:r>
      <w:r w:rsidRPr="00692822">
        <w:rPr>
          <w:sz w:val="24"/>
          <w:szCs w:val="24"/>
        </w:rPr>
        <w:t xml:space="preserve">: </w:t>
      </w:r>
      <w:r>
        <w:rPr>
          <w:sz w:val="24"/>
          <w:szCs w:val="24"/>
        </w:rPr>
        <w:t>For legacy TCI state switch delay requirement in TS 38.133</w:t>
      </w:r>
      <w:r w:rsidRPr="005C794E">
        <w:rPr>
          <w:sz w:val="24"/>
          <w:szCs w:val="24"/>
        </w:rPr>
        <w:t>, the transient time for panel</w:t>
      </w:r>
      <w:r w:rsidR="002854AD">
        <w:rPr>
          <w:sz w:val="24"/>
          <w:szCs w:val="24"/>
        </w:rPr>
        <w:t xml:space="preserve"> power</w:t>
      </w:r>
      <w:r w:rsidRPr="005C794E">
        <w:rPr>
          <w:sz w:val="24"/>
          <w:szCs w:val="24"/>
        </w:rPr>
        <w:t xml:space="preserve"> ON/OFF is not </w:t>
      </w:r>
      <w:r>
        <w:rPr>
          <w:sz w:val="24"/>
          <w:szCs w:val="24"/>
        </w:rPr>
        <w:t>considered.</w:t>
      </w:r>
      <w:bookmarkEnd w:id="4"/>
    </w:p>
    <w:p w14:paraId="7354336A" w14:textId="49065EEE" w:rsidR="00EF47C2" w:rsidRDefault="005C794E" w:rsidP="00520E82">
      <w:pPr>
        <w:spacing w:before="100" w:beforeAutospacing="1" w:after="100" w:afterAutospacing="1"/>
        <w:jc w:val="both"/>
        <w:rPr>
          <w:rFonts w:eastAsia="新細明體" w:cstheme="minorHAnsi"/>
          <w:szCs w:val="24"/>
          <w:lang w:val="en-GB"/>
        </w:rPr>
      </w:pPr>
      <w:r>
        <w:rPr>
          <w:rFonts w:eastAsia="新細明體" w:cstheme="minorHAnsi"/>
          <w:szCs w:val="24"/>
          <w:lang w:val="en-GB"/>
        </w:rPr>
        <w:t xml:space="preserve">Besides, as far as we know, it seems no requirement for the transient time of panel </w:t>
      </w:r>
      <w:r w:rsidR="003D07C5">
        <w:rPr>
          <w:rFonts w:eastAsia="新細明體" w:cstheme="minorHAnsi"/>
          <w:szCs w:val="24"/>
          <w:lang w:val="en-GB"/>
        </w:rPr>
        <w:t xml:space="preserve">power </w:t>
      </w:r>
      <w:r>
        <w:rPr>
          <w:rFonts w:eastAsia="新細明體" w:cstheme="minorHAnsi"/>
          <w:szCs w:val="24"/>
          <w:lang w:val="en-GB"/>
        </w:rPr>
        <w:t>ON/OFF in RF session. Therefore, based on the above analysis, the following proposal is suggested.</w:t>
      </w:r>
    </w:p>
    <w:p w14:paraId="3FA2A6F9" w14:textId="158CA766" w:rsidR="005C794E" w:rsidRDefault="005C794E" w:rsidP="00520E82">
      <w:pPr>
        <w:spacing w:before="100" w:beforeAutospacing="1" w:after="100" w:afterAutospacing="1"/>
        <w:jc w:val="both"/>
        <w:rPr>
          <w:b/>
          <w:szCs w:val="24"/>
        </w:rPr>
      </w:pPr>
      <w:bookmarkStart w:id="5" w:name="_Ref115356104"/>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261258">
        <w:rPr>
          <w:b/>
          <w:noProof/>
          <w:szCs w:val="24"/>
        </w:rPr>
        <w:t>3</w:t>
      </w:r>
      <w:r w:rsidRPr="004E4BCC">
        <w:rPr>
          <w:b/>
          <w:szCs w:val="24"/>
        </w:rPr>
        <w:fldChar w:fldCharType="end"/>
      </w:r>
      <w:r w:rsidRPr="004E4BCC">
        <w:rPr>
          <w:b/>
          <w:szCs w:val="24"/>
        </w:rPr>
        <w:t>:</w:t>
      </w:r>
      <w:r>
        <w:rPr>
          <w:b/>
          <w:szCs w:val="24"/>
        </w:rPr>
        <w:t xml:space="preserve"> </w:t>
      </w:r>
      <w:r w:rsidR="00407252">
        <w:rPr>
          <w:b/>
          <w:szCs w:val="24"/>
        </w:rPr>
        <w:t>Reuse Rel-15/16</w:t>
      </w:r>
      <w:r w:rsidRPr="005C794E">
        <w:rPr>
          <w:b/>
          <w:szCs w:val="24"/>
        </w:rPr>
        <w:t xml:space="preserve"> TCI state switch delay unless RF </w:t>
      </w:r>
      <w:r w:rsidR="006F3A14">
        <w:rPr>
          <w:b/>
          <w:szCs w:val="24"/>
        </w:rPr>
        <w:t xml:space="preserve">session </w:t>
      </w:r>
      <w:r w:rsidRPr="005C794E">
        <w:rPr>
          <w:b/>
          <w:szCs w:val="24"/>
        </w:rPr>
        <w:t>achieve</w:t>
      </w:r>
      <w:r w:rsidR="006F3A14">
        <w:rPr>
          <w:b/>
          <w:szCs w:val="24"/>
        </w:rPr>
        <w:t>s</w:t>
      </w:r>
      <w:r w:rsidRPr="005C794E">
        <w:rPr>
          <w:b/>
          <w:szCs w:val="24"/>
        </w:rPr>
        <w:t xml:space="preserve"> a new conclusion on panels ON/OFF switch time.</w:t>
      </w:r>
      <w:bookmarkEnd w:id="5"/>
    </w:p>
    <w:p w14:paraId="7323457D" w14:textId="47CB6174" w:rsidR="005C794E" w:rsidRPr="006843C7" w:rsidRDefault="005C794E" w:rsidP="00520E82">
      <w:pPr>
        <w:spacing w:before="100" w:beforeAutospacing="1" w:after="100" w:afterAutospacing="1"/>
        <w:jc w:val="both"/>
        <w:rPr>
          <w:rFonts w:eastAsia="新細明體"/>
          <w:lang w:val="en-GB"/>
        </w:rPr>
      </w:pPr>
      <w:r>
        <w:rPr>
          <w:rFonts w:eastAsia="新細明體" w:cstheme="minorHAnsi" w:hint="eastAsia"/>
          <w:szCs w:val="24"/>
        </w:rPr>
        <w:t>O</w:t>
      </w:r>
      <w:r>
        <w:rPr>
          <w:rFonts w:eastAsia="新細明體" w:cstheme="minorHAnsi"/>
          <w:szCs w:val="24"/>
        </w:rPr>
        <w:t xml:space="preserve">n the other hand, since we tend to not introduce the additional delay for </w:t>
      </w:r>
      <w:r w:rsidR="00146AB1">
        <w:rPr>
          <w:rFonts w:eastAsia="新細明體" w:cstheme="minorHAnsi"/>
          <w:szCs w:val="24"/>
          <w:lang w:val="en-GB"/>
        </w:rPr>
        <w:t xml:space="preserve">the transient time </w:t>
      </w:r>
      <w:r w:rsidR="006303C9">
        <w:rPr>
          <w:rFonts w:eastAsia="新細明體" w:cstheme="minorHAnsi"/>
          <w:szCs w:val="24"/>
          <w:lang w:val="en-GB"/>
        </w:rPr>
        <w:t>of</w:t>
      </w:r>
      <w:r w:rsidR="00146AB1">
        <w:rPr>
          <w:rFonts w:eastAsia="新細明體" w:cstheme="minorHAnsi"/>
          <w:szCs w:val="24"/>
          <w:lang w:val="en-GB"/>
        </w:rPr>
        <w:t xml:space="preserve"> panel </w:t>
      </w:r>
      <w:r w:rsidR="006303C9">
        <w:rPr>
          <w:rFonts w:eastAsia="新細明體" w:cstheme="minorHAnsi"/>
          <w:szCs w:val="24"/>
          <w:lang w:val="en-GB"/>
        </w:rPr>
        <w:t xml:space="preserve">power </w:t>
      </w:r>
      <w:r w:rsidR="00146AB1">
        <w:rPr>
          <w:rFonts w:eastAsia="新細明體" w:cstheme="minorHAnsi"/>
          <w:szCs w:val="24"/>
          <w:lang w:val="en-GB"/>
        </w:rPr>
        <w:t xml:space="preserve">ON/OFF. </w:t>
      </w:r>
      <w:r w:rsidR="003670D9">
        <w:rPr>
          <w:rFonts w:eastAsia="新細明體" w:cstheme="minorHAnsi"/>
          <w:szCs w:val="24"/>
          <w:lang w:val="en-GB"/>
        </w:rPr>
        <w:t xml:space="preserve">And considering that </w:t>
      </w:r>
      <w:r w:rsidR="00146AB1">
        <w:rPr>
          <w:rFonts w:eastAsia="新細明體"/>
          <w:lang w:val="en-GB"/>
        </w:rPr>
        <w:t xml:space="preserve">two panels </w:t>
      </w:r>
      <w:r w:rsidR="003670D9">
        <w:rPr>
          <w:rFonts w:eastAsia="新細明體"/>
          <w:lang w:val="en-GB"/>
        </w:rPr>
        <w:t>should</w:t>
      </w:r>
      <w:r w:rsidR="00146AB1">
        <w:rPr>
          <w:rFonts w:eastAsia="新細明體"/>
          <w:lang w:val="en-GB"/>
        </w:rPr>
        <w:t xml:space="preserve"> be </w:t>
      </w:r>
      <w:r w:rsidR="003670D9">
        <w:rPr>
          <w:rFonts w:eastAsia="新細明體"/>
          <w:lang w:val="en-GB"/>
        </w:rPr>
        <w:t xml:space="preserve">able to work </w:t>
      </w:r>
      <w:r w:rsidR="00146AB1">
        <w:rPr>
          <w:rFonts w:eastAsia="新細明體"/>
          <w:lang w:val="en-GB"/>
        </w:rPr>
        <w:t>independently</w:t>
      </w:r>
      <w:r w:rsidR="009A62A8">
        <w:rPr>
          <w:rFonts w:eastAsia="新細明體"/>
          <w:lang w:val="en-GB"/>
        </w:rPr>
        <w:t xml:space="preserve"> in terms of TCI state switch</w:t>
      </w:r>
      <w:r w:rsidR="00146AB1">
        <w:rPr>
          <w:rFonts w:eastAsia="新細明體"/>
          <w:lang w:val="en-GB"/>
        </w:rPr>
        <w:t xml:space="preserve">. </w:t>
      </w:r>
      <w:r w:rsidR="009A62A8">
        <w:rPr>
          <w:rFonts w:eastAsia="新細明體"/>
          <w:lang w:val="en-GB"/>
        </w:rPr>
        <w:t>So</w:t>
      </w:r>
      <w:r w:rsidR="00146AB1">
        <w:rPr>
          <w:rFonts w:eastAsia="新細明體"/>
          <w:lang w:val="en-GB"/>
        </w:rPr>
        <w:t>, to our understanding, the legacy TCI state switch delay requirement can be reused.</w:t>
      </w:r>
    </w:p>
    <w:p w14:paraId="504627F2" w14:textId="6AD8E9EB" w:rsidR="004E6ABE" w:rsidRDefault="004E6ABE" w:rsidP="00520E82">
      <w:pPr>
        <w:spacing w:before="100" w:beforeAutospacing="1" w:after="100" w:afterAutospacing="1"/>
        <w:jc w:val="both"/>
        <w:rPr>
          <w:rFonts w:eastAsia="SimSun" w:cstheme="minorHAnsi"/>
          <w:b/>
          <w:bCs/>
          <w:szCs w:val="24"/>
        </w:rPr>
      </w:pPr>
      <w:bookmarkStart w:id="6" w:name="_Ref110947196"/>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261258">
        <w:rPr>
          <w:rFonts w:cstheme="minorHAnsi"/>
          <w:b/>
          <w:noProof/>
          <w:szCs w:val="24"/>
          <w:lang w:eastAsia="x-none"/>
        </w:rPr>
        <w:t>4</w:t>
      </w:r>
      <w:r w:rsidRPr="00B7113E">
        <w:rPr>
          <w:rFonts w:cstheme="minorHAnsi"/>
          <w:b/>
          <w:szCs w:val="24"/>
          <w:lang w:eastAsia="x-none"/>
        </w:rPr>
        <w:fldChar w:fldCharType="end"/>
      </w:r>
      <w:r w:rsidRPr="00B7113E">
        <w:rPr>
          <w:rFonts w:cstheme="minorHAnsi"/>
          <w:b/>
          <w:szCs w:val="24"/>
          <w:lang w:eastAsia="x-none"/>
        </w:rPr>
        <w:t>:</w:t>
      </w:r>
      <w:r>
        <w:rPr>
          <w:rFonts w:cstheme="minorHAnsi"/>
          <w:b/>
          <w:szCs w:val="24"/>
          <w:lang w:eastAsia="x-none"/>
        </w:rPr>
        <w:t xml:space="preserve"> For dual TCI state switch, the legacy TCI state switch delay requirement can be reused.</w:t>
      </w:r>
      <w:bookmarkEnd w:id="6"/>
    </w:p>
    <w:p w14:paraId="5D20599B" w14:textId="77777777" w:rsidR="005C794E" w:rsidRPr="004E6ABE" w:rsidRDefault="005C794E" w:rsidP="00C86203">
      <w:pPr>
        <w:rPr>
          <w:rFonts w:eastAsia="新細明體" w:cstheme="minorHAnsi"/>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62AF8726"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D44C67">
        <w:rPr>
          <w:rFonts w:cstheme="minorHAnsi"/>
          <w:szCs w:val="24"/>
        </w:rPr>
        <w:t>FR2 multiple panels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7" w:name="_Hlk94866332"/>
    </w:p>
    <w:p w14:paraId="02E0B1FF" w14:textId="0C7C2B19" w:rsidR="00AF3344" w:rsidRDefault="00AF3344" w:rsidP="00D44C67">
      <w:pPr>
        <w:adjustRightInd w:val="0"/>
        <w:snapToGrid w:val="0"/>
        <w:rPr>
          <w:rFonts w:eastAsia="新細明體" w:cstheme="minorHAnsi"/>
          <w:szCs w:val="24"/>
        </w:rPr>
      </w:pPr>
    </w:p>
    <w:p w14:paraId="3B718624" w14:textId="01F7C0FD" w:rsidR="00AF3344" w:rsidRDefault="00AF3344" w:rsidP="00AF3344">
      <w:pPr>
        <w:adjustRightInd w:val="0"/>
        <w:snapToGrid w:val="0"/>
        <w:spacing w:before="100" w:beforeAutospacing="1" w:after="100" w:afterAutospacing="1"/>
        <w:rPr>
          <w:rFonts w:eastAsia="新細明體" w:cstheme="minorHAnsi"/>
          <w:szCs w:val="24"/>
        </w:rPr>
      </w:pPr>
      <w:r>
        <w:rPr>
          <w:rFonts w:eastAsia="新細明體" w:cstheme="minorHAnsi"/>
          <w:szCs w:val="24"/>
        </w:rPr>
        <w:lastRenderedPageBreak/>
        <w:fldChar w:fldCharType="begin"/>
      </w:r>
      <w:r>
        <w:rPr>
          <w:rFonts w:eastAsia="新細明體" w:cstheme="minorHAnsi"/>
          <w:szCs w:val="24"/>
        </w:rPr>
        <w:instrText xml:space="preserve"> REF _Ref115356097 \h </w:instrText>
      </w:r>
      <w:r>
        <w:rPr>
          <w:rFonts w:eastAsia="新細明體" w:cstheme="minorHAnsi"/>
          <w:szCs w:val="24"/>
        </w:rPr>
      </w:r>
      <w:r>
        <w:rPr>
          <w:rFonts w:eastAsia="新細明體" w:cstheme="minorHAnsi"/>
          <w:szCs w:val="24"/>
        </w:rPr>
        <w:fldChar w:fldCharType="separate"/>
      </w:r>
      <w:r w:rsidR="00261258" w:rsidRPr="004E4BCC">
        <w:rPr>
          <w:b/>
          <w:szCs w:val="24"/>
        </w:rPr>
        <w:t xml:space="preserve">Proposal </w:t>
      </w:r>
      <w:r w:rsidR="00261258">
        <w:rPr>
          <w:b/>
          <w:noProof/>
          <w:szCs w:val="24"/>
        </w:rPr>
        <w:t>1</w:t>
      </w:r>
      <w:r w:rsidR="00261258" w:rsidRPr="004E4BCC">
        <w:rPr>
          <w:b/>
          <w:szCs w:val="24"/>
        </w:rPr>
        <w:t>:</w:t>
      </w:r>
      <w:r w:rsidR="00261258">
        <w:rPr>
          <w:b/>
          <w:szCs w:val="24"/>
        </w:rPr>
        <w:t xml:space="preserve"> In R18 multi-Rx, to define the TCI state requirement based on R15/R16 TCI framework.</w:t>
      </w:r>
      <w:r>
        <w:rPr>
          <w:rFonts w:eastAsia="新細明體" w:cstheme="minorHAnsi"/>
          <w:szCs w:val="24"/>
        </w:rPr>
        <w:fldChar w:fldCharType="end"/>
      </w:r>
    </w:p>
    <w:p w14:paraId="1C4882B8" w14:textId="05140E4F" w:rsidR="00AF3344" w:rsidRPr="00AF3344" w:rsidRDefault="00AF3344" w:rsidP="00AF3344">
      <w:pPr>
        <w:adjustRightInd w:val="0"/>
        <w:snapToGrid w:val="0"/>
        <w:spacing w:before="100" w:beforeAutospacing="1" w:after="100" w:afterAutospacing="1"/>
        <w:rPr>
          <w:rFonts w:eastAsia="新細明體" w:cstheme="minorHAnsi"/>
          <w:b/>
          <w:bCs/>
          <w:szCs w:val="24"/>
        </w:rPr>
      </w:pPr>
      <w:r w:rsidRPr="00AF3344">
        <w:rPr>
          <w:rFonts w:eastAsia="新細明體" w:cstheme="minorHAnsi"/>
          <w:b/>
          <w:bCs/>
          <w:szCs w:val="24"/>
        </w:rPr>
        <w:fldChar w:fldCharType="begin"/>
      </w:r>
      <w:r w:rsidRPr="00AF3344">
        <w:rPr>
          <w:rFonts w:eastAsia="新細明體" w:cstheme="minorHAnsi"/>
          <w:b/>
          <w:bCs/>
          <w:szCs w:val="24"/>
        </w:rPr>
        <w:instrText xml:space="preserve"> REF _Ref115356098 \h </w:instrText>
      </w:r>
      <w:r>
        <w:rPr>
          <w:rFonts w:eastAsia="新細明體" w:cstheme="minorHAnsi"/>
          <w:b/>
          <w:bCs/>
          <w:szCs w:val="24"/>
        </w:rPr>
        <w:instrText xml:space="preserve"> \* MERGEFORMAT </w:instrText>
      </w:r>
      <w:r w:rsidRPr="00AF3344">
        <w:rPr>
          <w:rFonts w:eastAsia="新細明體" w:cstheme="minorHAnsi"/>
          <w:b/>
          <w:bCs/>
          <w:szCs w:val="24"/>
        </w:rPr>
      </w:r>
      <w:r w:rsidRPr="00AF3344">
        <w:rPr>
          <w:rFonts w:eastAsia="新細明體" w:cstheme="minorHAnsi"/>
          <w:b/>
          <w:bCs/>
          <w:szCs w:val="24"/>
        </w:rPr>
        <w:fldChar w:fldCharType="separate"/>
      </w:r>
      <w:r w:rsidR="00261258" w:rsidRPr="00261258">
        <w:rPr>
          <w:b/>
          <w:bCs/>
          <w:szCs w:val="24"/>
        </w:rPr>
        <w:t xml:space="preserve">Proposal </w:t>
      </w:r>
      <w:r w:rsidR="00261258" w:rsidRPr="00261258">
        <w:rPr>
          <w:b/>
          <w:bCs/>
          <w:noProof/>
          <w:szCs w:val="24"/>
        </w:rPr>
        <w:t>2</w:t>
      </w:r>
      <w:r w:rsidR="00261258" w:rsidRPr="00261258">
        <w:rPr>
          <w:b/>
          <w:bCs/>
          <w:szCs w:val="24"/>
        </w:rPr>
        <w:t>: For known and unknown condition of TCI state in R18 multi-Rx, the legacy R15/R16 requirement can be reused.</w:t>
      </w:r>
      <w:r w:rsidRPr="00AF3344">
        <w:rPr>
          <w:rFonts w:eastAsia="新細明體" w:cstheme="minorHAnsi"/>
          <w:b/>
          <w:bCs/>
          <w:szCs w:val="24"/>
        </w:rPr>
        <w:fldChar w:fldCharType="end"/>
      </w:r>
    </w:p>
    <w:p w14:paraId="2E5717D7" w14:textId="36933516" w:rsidR="00AF3344" w:rsidRPr="00AF3344" w:rsidRDefault="00AF3344" w:rsidP="00AF3344">
      <w:pPr>
        <w:adjustRightInd w:val="0"/>
        <w:snapToGrid w:val="0"/>
        <w:spacing w:before="100" w:beforeAutospacing="1" w:after="100" w:afterAutospacing="1"/>
        <w:rPr>
          <w:rFonts w:eastAsia="新細明體" w:cstheme="minorHAnsi"/>
          <w:b/>
          <w:bCs/>
          <w:szCs w:val="24"/>
        </w:rPr>
      </w:pPr>
      <w:r w:rsidRPr="00AF3344">
        <w:rPr>
          <w:rFonts w:eastAsia="新細明體" w:cstheme="minorHAnsi"/>
          <w:b/>
          <w:bCs/>
          <w:szCs w:val="24"/>
        </w:rPr>
        <w:fldChar w:fldCharType="begin"/>
      </w:r>
      <w:r w:rsidRPr="00AF3344">
        <w:rPr>
          <w:rFonts w:eastAsia="新細明體" w:cstheme="minorHAnsi"/>
          <w:b/>
          <w:bCs/>
          <w:szCs w:val="24"/>
        </w:rPr>
        <w:instrText xml:space="preserve"> REF _Ref110947186 \h </w:instrText>
      </w:r>
      <w:r>
        <w:rPr>
          <w:rFonts w:eastAsia="新細明體" w:cstheme="minorHAnsi"/>
          <w:b/>
          <w:bCs/>
          <w:szCs w:val="24"/>
        </w:rPr>
        <w:instrText xml:space="preserve"> \* MERGEFORMAT </w:instrText>
      </w:r>
      <w:r w:rsidRPr="00AF3344">
        <w:rPr>
          <w:rFonts w:eastAsia="新細明體" w:cstheme="minorHAnsi"/>
          <w:b/>
          <w:bCs/>
          <w:szCs w:val="24"/>
        </w:rPr>
      </w:r>
      <w:r w:rsidRPr="00AF3344">
        <w:rPr>
          <w:rFonts w:eastAsia="新細明體" w:cstheme="minorHAnsi"/>
          <w:b/>
          <w:bCs/>
          <w:szCs w:val="24"/>
        </w:rPr>
        <w:fldChar w:fldCharType="separate"/>
      </w:r>
      <w:r w:rsidR="00261258" w:rsidRPr="00261258">
        <w:rPr>
          <w:b/>
          <w:bCs/>
          <w:szCs w:val="24"/>
        </w:rPr>
        <w:t xml:space="preserve">Observation </w:t>
      </w:r>
      <w:r w:rsidR="00261258" w:rsidRPr="00261258">
        <w:rPr>
          <w:b/>
          <w:bCs/>
          <w:noProof/>
          <w:szCs w:val="24"/>
        </w:rPr>
        <w:t>1</w:t>
      </w:r>
      <w:r w:rsidR="00261258" w:rsidRPr="00261258">
        <w:rPr>
          <w:b/>
          <w:bCs/>
          <w:szCs w:val="24"/>
        </w:rPr>
        <w:t>: For legacy TCI state switch delay requirement in TS 38.133, the transient time for panel power ON/OFF is not considered.</w:t>
      </w:r>
      <w:r w:rsidRPr="00AF3344">
        <w:rPr>
          <w:rFonts w:eastAsia="新細明體" w:cstheme="minorHAnsi"/>
          <w:b/>
          <w:bCs/>
          <w:szCs w:val="24"/>
        </w:rPr>
        <w:fldChar w:fldCharType="end"/>
      </w:r>
    </w:p>
    <w:p w14:paraId="025592E2" w14:textId="6C40EC47" w:rsidR="00AF3344" w:rsidRDefault="00AF3344" w:rsidP="00AF3344">
      <w:pPr>
        <w:adjustRightInd w:val="0"/>
        <w:snapToGrid w:val="0"/>
        <w:spacing w:before="100" w:beforeAutospacing="1" w:after="100" w:afterAutospacing="1"/>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_Ref115356104 \h </w:instrText>
      </w:r>
      <w:r>
        <w:rPr>
          <w:rFonts w:eastAsia="新細明體" w:cstheme="minorHAnsi"/>
          <w:szCs w:val="24"/>
        </w:rPr>
      </w:r>
      <w:r>
        <w:rPr>
          <w:rFonts w:eastAsia="新細明體" w:cstheme="minorHAnsi"/>
          <w:szCs w:val="24"/>
        </w:rPr>
        <w:fldChar w:fldCharType="separate"/>
      </w:r>
      <w:r w:rsidR="00261258" w:rsidRPr="004E4BCC">
        <w:rPr>
          <w:b/>
          <w:szCs w:val="24"/>
        </w:rPr>
        <w:t xml:space="preserve">Proposal </w:t>
      </w:r>
      <w:r w:rsidR="00261258">
        <w:rPr>
          <w:b/>
          <w:noProof/>
          <w:szCs w:val="24"/>
        </w:rPr>
        <w:t>3</w:t>
      </w:r>
      <w:r w:rsidR="00261258" w:rsidRPr="004E4BCC">
        <w:rPr>
          <w:b/>
          <w:szCs w:val="24"/>
        </w:rPr>
        <w:t>:</w:t>
      </w:r>
      <w:r w:rsidR="00261258">
        <w:rPr>
          <w:b/>
          <w:szCs w:val="24"/>
        </w:rPr>
        <w:t xml:space="preserve"> Reuse Rel-15/16</w:t>
      </w:r>
      <w:r w:rsidR="00261258" w:rsidRPr="005C794E">
        <w:rPr>
          <w:b/>
          <w:szCs w:val="24"/>
        </w:rPr>
        <w:t xml:space="preserve"> TCI state switch delay unless RF </w:t>
      </w:r>
      <w:r w:rsidR="00261258">
        <w:rPr>
          <w:b/>
          <w:szCs w:val="24"/>
        </w:rPr>
        <w:t xml:space="preserve">session </w:t>
      </w:r>
      <w:r w:rsidR="00261258" w:rsidRPr="005C794E">
        <w:rPr>
          <w:b/>
          <w:szCs w:val="24"/>
        </w:rPr>
        <w:t>achieve</w:t>
      </w:r>
      <w:r w:rsidR="00261258">
        <w:rPr>
          <w:b/>
          <w:szCs w:val="24"/>
        </w:rPr>
        <w:t>s</w:t>
      </w:r>
      <w:r w:rsidR="00261258" w:rsidRPr="005C794E">
        <w:rPr>
          <w:b/>
          <w:szCs w:val="24"/>
        </w:rPr>
        <w:t xml:space="preserve"> a new conclusion on panels ON/OFF switch time.</w:t>
      </w:r>
      <w:r>
        <w:rPr>
          <w:rFonts w:eastAsia="新細明體" w:cstheme="minorHAnsi"/>
          <w:szCs w:val="24"/>
        </w:rPr>
        <w:fldChar w:fldCharType="end"/>
      </w:r>
    </w:p>
    <w:p w14:paraId="128E1D06" w14:textId="0CE5F4E0" w:rsidR="00AF3344" w:rsidRDefault="00AF3344" w:rsidP="00AF3344">
      <w:pPr>
        <w:adjustRightInd w:val="0"/>
        <w:snapToGrid w:val="0"/>
        <w:spacing w:before="100" w:beforeAutospacing="1" w:after="100" w:afterAutospacing="1"/>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_Ref110947196 \h </w:instrText>
      </w:r>
      <w:r>
        <w:rPr>
          <w:rFonts w:eastAsia="新細明體" w:cstheme="minorHAnsi"/>
          <w:szCs w:val="24"/>
        </w:rPr>
      </w:r>
      <w:r>
        <w:rPr>
          <w:rFonts w:eastAsia="新細明體" w:cstheme="minorHAnsi"/>
          <w:szCs w:val="24"/>
        </w:rPr>
        <w:fldChar w:fldCharType="separate"/>
      </w:r>
      <w:r w:rsidR="00261258" w:rsidRPr="00B7113E">
        <w:rPr>
          <w:rFonts w:cstheme="minorHAnsi"/>
          <w:b/>
          <w:szCs w:val="24"/>
          <w:lang w:eastAsia="x-none"/>
        </w:rPr>
        <w:t xml:space="preserve">Proposal </w:t>
      </w:r>
      <w:r w:rsidR="00261258">
        <w:rPr>
          <w:rFonts w:cstheme="minorHAnsi"/>
          <w:b/>
          <w:noProof/>
          <w:szCs w:val="24"/>
          <w:lang w:eastAsia="x-none"/>
        </w:rPr>
        <w:t>4</w:t>
      </w:r>
      <w:r w:rsidR="00261258" w:rsidRPr="00B7113E">
        <w:rPr>
          <w:rFonts w:cstheme="minorHAnsi"/>
          <w:b/>
          <w:szCs w:val="24"/>
          <w:lang w:eastAsia="x-none"/>
        </w:rPr>
        <w:t>:</w:t>
      </w:r>
      <w:r w:rsidR="00261258">
        <w:rPr>
          <w:rFonts w:cstheme="minorHAnsi"/>
          <w:b/>
          <w:szCs w:val="24"/>
          <w:lang w:eastAsia="x-none"/>
        </w:rPr>
        <w:t xml:space="preserve"> For dual TCI state switch, the legacy TCI state switch delay requirement can be reused.</w:t>
      </w:r>
      <w:r>
        <w:rPr>
          <w:rFonts w:eastAsia="新細明體" w:cstheme="minorHAnsi"/>
          <w:szCs w:val="24"/>
        </w:rPr>
        <w:fldChar w:fldCharType="end"/>
      </w:r>
    </w:p>
    <w:p w14:paraId="4A4FD238" w14:textId="77777777" w:rsidR="00AF3344" w:rsidRPr="00AF3344" w:rsidRDefault="00AF3344" w:rsidP="00D44C67">
      <w:pPr>
        <w:adjustRightInd w:val="0"/>
        <w:snapToGrid w:val="0"/>
        <w:rPr>
          <w:rFonts w:eastAsia="新細明體" w:cstheme="minorHAnsi"/>
          <w:szCs w:val="24"/>
        </w:rPr>
      </w:pPr>
    </w:p>
    <w:p w14:paraId="1ECB9334" w14:textId="7196D174" w:rsidR="00707EC5" w:rsidRPr="00236BBD"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Start w:id="8" w:name="_Ref94781619"/>
    <w:p w14:paraId="4DFD7DAD" w14:textId="67AC6499" w:rsidR="00923E98" w:rsidRPr="00236BBD" w:rsidRDefault="008D311D" w:rsidP="00236BBD">
      <w:pPr>
        <w:pStyle w:val="af5"/>
        <w:numPr>
          <w:ilvl w:val="0"/>
          <w:numId w:val="6"/>
        </w:numPr>
        <w:rPr>
          <w:rFonts w:cstheme="minorHAnsi"/>
          <w:szCs w:val="24"/>
        </w:rPr>
      </w:pPr>
      <w:r w:rsidRPr="007317FB">
        <w:rPr>
          <w:rFonts w:cstheme="minorHAnsi"/>
          <w:szCs w:val="24"/>
        </w:rPr>
        <w:fldChar w:fldCharType="begin"/>
      </w:r>
      <w:r w:rsidRPr="007317FB">
        <w:rPr>
          <w:rFonts w:cstheme="minorHAnsi"/>
          <w:szCs w:val="24"/>
        </w:rPr>
        <w:instrText xml:space="preserve"> HYPERLINK "https://www.3gpp.org/ftp/tsg_ran/TSG_RAN/TSGR_96/Docs/RP-221753.zip" </w:instrText>
      </w:r>
      <w:r w:rsidR="00261258" w:rsidRPr="007317FB">
        <w:rPr>
          <w:rFonts w:cstheme="minorHAnsi"/>
          <w:szCs w:val="24"/>
        </w:rPr>
      </w:r>
      <w:r w:rsidRPr="007317FB">
        <w:rPr>
          <w:rFonts w:cstheme="minorHAnsi"/>
          <w:szCs w:val="24"/>
        </w:rPr>
        <w:fldChar w:fldCharType="separate"/>
      </w:r>
      <w:r w:rsidR="007317FB" w:rsidRPr="007317FB">
        <w:rPr>
          <w:rStyle w:val="af0"/>
          <w:rFonts w:cstheme="minorHAnsi"/>
          <w:color w:val="auto"/>
          <w:szCs w:val="24"/>
          <w:u w:val="none"/>
        </w:rPr>
        <w:t>R4-2214344</w:t>
      </w:r>
      <w:r w:rsidRPr="007317FB">
        <w:rPr>
          <w:rFonts w:cstheme="minorHAnsi"/>
          <w:szCs w:val="24"/>
          <w:lang w:val="en-GB"/>
        </w:rPr>
        <w:fldChar w:fldCharType="end"/>
      </w:r>
      <w:r w:rsidRPr="007317FB">
        <w:rPr>
          <w:rFonts w:cstheme="minorHAnsi"/>
          <w:szCs w:val="24"/>
          <w:lang w:val="en-GB"/>
        </w:rPr>
        <w:t xml:space="preserve">, </w:t>
      </w:r>
      <w:r w:rsidR="007317FB" w:rsidRPr="007317FB">
        <w:rPr>
          <w:rFonts w:cstheme="minorHAnsi"/>
          <w:szCs w:val="24"/>
          <w:lang w:val="en-GB"/>
        </w:rPr>
        <w:t>WF on FR2 multi-Rx RRM</w:t>
      </w:r>
      <w:r>
        <w:rPr>
          <w:rFonts w:cstheme="minorHAnsi"/>
          <w:szCs w:val="24"/>
          <w:lang w:val="en-GB"/>
        </w:rPr>
        <w:t xml:space="preserve">, </w:t>
      </w:r>
      <w:r w:rsidR="007317FB">
        <w:rPr>
          <w:rFonts w:cstheme="minorHAnsi"/>
          <w:szCs w:val="24"/>
          <w:lang w:val="en-GB"/>
        </w:rPr>
        <w:t>vivo</w:t>
      </w:r>
      <w:r>
        <w:rPr>
          <w:rFonts w:cstheme="minorHAnsi"/>
          <w:szCs w:val="24"/>
          <w:lang w:val="en-GB"/>
        </w:rPr>
        <w:t>, RAN</w:t>
      </w:r>
      <w:r w:rsidR="007317FB">
        <w:rPr>
          <w:rFonts w:cstheme="minorHAnsi"/>
          <w:szCs w:val="24"/>
          <w:lang w:val="en-GB"/>
        </w:rPr>
        <w:t xml:space="preserve">4 </w:t>
      </w:r>
      <w:r>
        <w:rPr>
          <w:rFonts w:cstheme="minorHAnsi"/>
          <w:szCs w:val="24"/>
          <w:lang w:val="en-GB"/>
        </w:rPr>
        <w:t>#</w:t>
      </w:r>
      <w:bookmarkEnd w:id="7"/>
      <w:bookmarkEnd w:id="8"/>
      <w:r w:rsidR="007317FB">
        <w:rPr>
          <w:rFonts w:cstheme="minorHAnsi"/>
          <w:szCs w:val="24"/>
          <w:lang w:val="en-GB"/>
        </w:rPr>
        <w:t>104-e</w:t>
      </w:r>
    </w:p>
    <w:sectPr w:rsidR="00923E98" w:rsidRPr="00236BB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C1F2F" w14:textId="77777777" w:rsidR="00414534" w:rsidRDefault="00414534">
      <w:r>
        <w:separator/>
      </w:r>
    </w:p>
  </w:endnote>
  <w:endnote w:type="continuationSeparator" w:id="0">
    <w:p w14:paraId="0474D9C9" w14:textId="77777777" w:rsidR="00414534" w:rsidRDefault="0041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B20FF" w14:textId="77777777" w:rsidR="00414534" w:rsidRDefault="00414534">
      <w:r>
        <w:separator/>
      </w:r>
    </w:p>
  </w:footnote>
  <w:footnote w:type="continuationSeparator" w:id="0">
    <w:p w14:paraId="6F76336E" w14:textId="77777777" w:rsidR="00414534" w:rsidRDefault="0041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1405D5D"/>
    <w:multiLevelType w:val="hybridMultilevel"/>
    <w:tmpl w:val="0B2E61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ECC0E17"/>
    <w:multiLevelType w:val="hybridMultilevel"/>
    <w:tmpl w:val="83F49B0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6FF427EE"/>
    <w:multiLevelType w:val="hybridMultilevel"/>
    <w:tmpl w:val="4526349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1"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25"/>
  </w:num>
  <w:num w:numId="2">
    <w:abstractNumId w:val="15"/>
  </w:num>
  <w:num w:numId="3">
    <w:abstractNumId w:val="2"/>
  </w:num>
  <w:num w:numId="4">
    <w:abstractNumId w:val="0"/>
  </w:num>
  <w:num w:numId="5">
    <w:abstractNumId w:val="20"/>
  </w:num>
  <w:num w:numId="6">
    <w:abstractNumId w:val="5"/>
  </w:num>
  <w:num w:numId="7">
    <w:abstractNumId w:val="23"/>
  </w:num>
  <w:num w:numId="8">
    <w:abstractNumId w:val="31"/>
  </w:num>
  <w:num w:numId="9">
    <w:abstractNumId w:val="8"/>
  </w:num>
  <w:num w:numId="10">
    <w:abstractNumId w:val="18"/>
  </w:num>
  <w:num w:numId="11">
    <w:abstractNumId w:val="24"/>
  </w:num>
  <w:num w:numId="12">
    <w:abstractNumId w:val="19"/>
  </w:num>
  <w:num w:numId="13">
    <w:abstractNumId w:val="26"/>
  </w:num>
  <w:num w:numId="14">
    <w:abstractNumId w:val="3"/>
  </w:num>
  <w:num w:numId="15">
    <w:abstractNumId w:val="12"/>
  </w:num>
  <w:num w:numId="16">
    <w:abstractNumId w:val="30"/>
  </w:num>
  <w:num w:numId="17">
    <w:abstractNumId w:val="1"/>
  </w:num>
  <w:num w:numId="18">
    <w:abstractNumId w:val="4"/>
  </w:num>
  <w:num w:numId="19">
    <w:abstractNumId w:val="29"/>
  </w:num>
  <w:num w:numId="20">
    <w:abstractNumId w:val="16"/>
  </w:num>
  <w:num w:numId="21">
    <w:abstractNumId w:val="22"/>
  </w:num>
  <w:num w:numId="22">
    <w:abstractNumId w:val="6"/>
  </w:num>
  <w:num w:numId="23">
    <w:abstractNumId w:val="7"/>
  </w:num>
  <w:num w:numId="24">
    <w:abstractNumId w:val="17"/>
  </w:num>
  <w:num w:numId="25">
    <w:abstractNumId w:val="21"/>
  </w:num>
  <w:num w:numId="26">
    <w:abstractNumId w:val="10"/>
  </w:num>
  <w:num w:numId="27">
    <w:abstractNumId w:val="11"/>
  </w:num>
  <w:num w:numId="28">
    <w:abstractNumId w:val="14"/>
  </w:num>
  <w:num w:numId="29">
    <w:abstractNumId w:val="27"/>
  </w:num>
  <w:num w:numId="30">
    <w:abstractNumId w:val="20"/>
  </w:num>
  <w:num w:numId="31">
    <w:abstractNumId w:val="9"/>
  </w:num>
  <w:num w:numId="32">
    <w:abstractNumId w:val="13"/>
  </w:num>
  <w:num w:numId="33">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269"/>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35C"/>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480"/>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213"/>
    <w:rsid w:val="00040515"/>
    <w:rsid w:val="0004112C"/>
    <w:rsid w:val="000411B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F74"/>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344"/>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EBC"/>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AB1"/>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539"/>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4E86"/>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33A"/>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BBD"/>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258"/>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472"/>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4AD"/>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58"/>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0D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7C5"/>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52"/>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34"/>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06F"/>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BFD"/>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ABE"/>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0E82"/>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37B"/>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C794E"/>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220"/>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3C9"/>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3F62"/>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3C7"/>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A14"/>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3FC"/>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A5"/>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2708"/>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346"/>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CE0"/>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94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2A8"/>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40"/>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1C0"/>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B65"/>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344"/>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BF8"/>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20"/>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5B4"/>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648"/>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B7C"/>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357"/>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4A1"/>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677"/>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65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2"/>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D9F"/>
    <w:rsid w:val="00F14F43"/>
    <w:rsid w:val="00F15AFD"/>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8D9"/>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42"/>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1258"/>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6125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61258"/>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清單段落1 字元,¥¡¡¡¡ì¬º¥¹¥È¶ÎÂä 字元,ÁÐ³ö¶ÎÂä 字元,列表段落1 字元,—ño’i—Ž 字元,¥ê¥¹¥È¶ÎÂä 字元,1st level - Bullet List Paragraph 字元,Lettre d'introduction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 w:type="character" w:styleId="aff">
    <w:name w:val="Unresolved Mention"/>
    <w:basedOn w:val="a0"/>
    <w:uiPriority w:val="99"/>
    <w:semiHidden/>
    <w:unhideWhenUsed/>
    <w:rsid w:val="008D3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792</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2022-09-30T05:18:00Z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