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AF6F" w14:textId="2A4FF6C6"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w:t>
      </w:r>
      <w:r w:rsidR="00876D92">
        <w:rPr>
          <w:rFonts w:ascii="Arial" w:hAnsi="Arial" w:cs="Arial"/>
          <w:b/>
          <w:noProof/>
          <w:sz w:val="24"/>
          <w:szCs w:val="24"/>
          <w:lang w:val="en-US"/>
        </w:rPr>
        <w:t>10</w:t>
      </w:r>
      <w:r w:rsidR="000F3B93">
        <w:rPr>
          <w:rFonts w:ascii="Arial" w:hAnsi="Arial" w:cs="Arial"/>
          <w:b/>
          <w:noProof/>
          <w:sz w:val="24"/>
          <w:szCs w:val="24"/>
          <w:lang w:val="en-US"/>
        </w:rPr>
        <w:t>4</w:t>
      </w:r>
      <w:r w:rsidR="005551AE">
        <w:rPr>
          <w:rFonts w:ascii="Arial" w:hAnsi="Arial" w:cs="Arial"/>
          <w:b/>
          <w:noProof/>
          <w:sz w:val="24"/>
          <w:szCs w:val="24"/>
          <w:lang w:val="en-US"/>
        </w:rPr>
        <w:t>Bis</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sidR="00C85E86">
        <w:rPr>
          <w:rFonts w:ascii="Arial" w:hAnsi="Arial" w:cs="Arial"/>
          <w:b/>
          <w:noProof/>
          <w:sz w:val="24"/>
          <w:szCs w:val="24"/>
          <w:lang w:val="en-US"/>
        </w:rPr>
        <w:t>2</w:t>
      </w:r>
      <w:r w:rsidR="004A1422">
        <w:rPr>
          <w:rFonts w:ascii="Arial" w:hAnsi="Arial" w:cs="Arial"/>
          <w:b/>
          <w:noProof/>
          <w:sz w:val="24"/>
          <w:szCs w:val="24"/>
          <w:lang w:val="en-US"/>
        </w:rPr>
        <w:t>15673</w:t>
      </w:r>
    </w:p>
    <w:p w14:paraId="4EEC06B2" w14:textId="1838F207" w:rsidR="00D642D1" w:rsidRPr="00CD5A36" w:rsidRDefault="00D642D1" w:rsidP="00F231F9">
      <w:pPr>
        <w:pStyle w:val="Header"/>
        <w:tabs>
          <w:tab w:val="right" w:pos="9781"/>
          <w:tab w:val="right" w:pos="13323"/>
        </w:tabs>
        <w:jc w:val="both"/>
        <w:outlineLvl w:val="0"/>
        <w:rPr>
          <w:rFonts w:eastAsia="SimSun"/>
          <w:b w:val="0"/>
          <w:sz w:val="24"/>
          <w:szCs w:val="24"/>
          <w:lang w:eastAsia="zh-CN"/>
        </w:rPr>
      </w:pPr>
      <w:r w:rsidRPr="00CD5A36">
        <w:rPr>
          <w:rFonts w:eastAsia="SimSun"/>
          <w:sz w:val="24"/>
          <w:szCs w:val="24"/>
          <w:lang w:eastAsia="zh-CN"/>
        </w:rPr>
        <w:t xml:space="preserve">Electronic Meeting, </w:t>
      </w:r>
      <w:r w:rsidR="005551AE" w:rsidRPr="00E13633">
        <w:rPr>
          <w:rFonts w:eastAsia="SimSun" w:cs="Arial"/>
          <w:sz w:val="24"/>
          <w:szCs w:val="24"/>
          <w:lang w:eastAsia="zh-CN"/>
        </w:rPr>
        <w:t>October 10 – October 19, 2022</w:t>
      </w:r>
    </w:p>
    <w:bookmarkEnd w:id="0"/>
    <w:p w14:paraId="4FC9BE8B" w14:textId="77777777" w:rsidR="00C367A3" w:rsidRPr="00FB0094" w:rsidRDefault="00C367A3" w:rsidP="00F231F9">
      <w:pPr>
        <w:pStyle w:val="Footer"/>
        <w:jc w:val="both"/>
        <w:rPr>
          <w:noProof w:val="0"/>
        </w:rPr>
      </w:pPr>
    </w:p>
    <w:p w14:paraId="099FB936" w14:textId="37428C8D"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4A1422">
        <w:rPr>
          <w:rFonts w:ascii="Arial" w:hAnsi="Arial"/>
          <w:sz w:val="24"/>
        </w:rPr>
        <w:t>6</w:t>
      </w:r>
      <w:r w:rsidR="00711608">
        <w:rPr>
          <w:rFonts w:ascii="Arial" w:hAnsi="Arial"/>
          <w:sz w:val="24"/>
        </w:rPr>
        <w:t>.</w:t>
      </w:r>
      <w:r w:rsidR="009214E7">
        <w:rPr>
          <w:rFonts w:ascii="Arial" w:hAnsi="Arial"/>
          <w:sz w:val="24"/>
        </w:rPr>
        <w:t>1</w:t>
      </w:r>
      <w:r w:rsidR="000F3B93">
        <w:rPr>
          <w:rFonts w:ascii="Arial" w:hAnsi="Arial"/>
          <w:sz w:val="24"/>
        </w:rPr>
        <w:t>1</w:t>
      </w:r>
      <w:r w:rsidR="003E2653">
        <w:rPr>
          <w:rFonts w:ascii="Arial" w:hAnsi="Arial" w:hint="eastAsia"/>
          <w:sz w:val="24"/>
          <w:lang w:eastAsia="ja-JP"/>
        </w:rPr>
        <w:t>.</w:t>
      </w:r>
      <w:r w:rsidR="00D15134">
        <w:rPr>
          <w:rFonts w:ascii="Arial" w:hAnsi="Arial"/>
          <w:sz w:val="24"/>
          <w:lang w:eastAsia="ja-JP"/>
        </w:rPr>
        <w:t>2</w:t>
      </w:r>
    </w:p>
    <w:p w14:paraId="4F90F08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6C8BF289"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9214E7">
        <w:rPr>
          <w:rFonts w:ascii="Arial" w:hAnsi="Arial"/>
          <w:sz w:val="22"/>
        </w:rPr>
        <w:t>Issues for Non-collocated Deployments</w:t>
      </w:r>
      <w:r w:rsidR="004A1422">
        <w:rPr>
          <w:rFonts w:ascii="Arial" w:hAnsi="Arial"/>
          <w:sz w:val="22"/>
        </w:rPr>
        <w:t xml:space="preserve"> with 4Layers per CC</w:t>
      </w:r>
    </w:p>
    <w:bookmarkEnd w:id="2"/>
    <w:p w14:paraId="4C714E76"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1DBD1E5"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9100D8A" w14:textId="4B68754B" w:rsidR="002B4EA7" w:rsidRDefault="009A52BF" w:rsidP="009A52BF">
      <w:pPr>
        <w:jc w:val="both"/>
        <w:rPr>
          <w:lang w:val="en-US" w:eastAsia="ja-JP"/>
        </w:rPr>
      </w:pPr>
      <w:r>
        <w:rPr>
          <w:lang w:val="en-US" w:eastAsia="ja-JP"/>
        </w:rPr>
        <w:t xml:space="preserve">The discussion on introducing requirements for non-collocated intra-band deployments was started in RAN$#104-e and some agreements were reached and documented in [1]. Most of the agreements are for the </w:t>
      </w:r>
      <w:proofErr w:type="gramStart"/>
      <w:r>
        <w:rPr>
          <w:lang w:val="en-US" w:eastAsia="ja-JP"/>
        </w:rPr>
        <w:t>2 layer</w:t>
      </w:r>
      <w:proofErr w:type="gramEnd"/>
      <w:r>
        <w:rPr>
          <w:lang w:val="en-US" w:eastAsia="ja-JP"/>
        </w:rPr>
        <w:t xml:space="preserve"> MIMO case, this contribution will focus on the handling of 4Layer MIMO.</w:t>
      </w:r>
    </w:p>
    <w:p w14:paraId="57E44EAF"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6CAB6A76" w14:textId="42927677" w:rsidR="00EA01AA" w:rsidRDefault="009571B4" w:rsidP="00F231F9">
      <w:pPr>
        <w:jc w:val="both"/>
        <w:rPr>
          <w:lang w:val="en-US" w:eastAsia="ja-JP"/>
        </w:rPr>
      </w:pPr>
      <w:r>
        <w:rPr>
          <w:lang w:val="en-US" w:eastAsia="ja-JP"/>
        </w:rPr>
        <w:t>Intra-band non-collocated deployments are characterized by larger power imbalance and MRTD (maximum relative time difference) between the CCs received at the UE. The baseline RF architecture is expected to be the typical one for intra-band non-contiguous aggregation in which the antenna and LNA is shared among all the aggregated CCs</w:t>
      </w:r>
      <w:r w:rsidR="005F04F7">
        <w:rPr>
          <w:lang w:val="en-US" w:eastAsia="ja-JP"/>
        </w:rPr>
        <w:t xml:space="preserve"> </w:t>
      </w:r>
      <w:r>
        <w:rPr>
          <w:lang w:val="en-US" w:eastAsia="ja-JP"/>
        </w:rPr>
        <w:t>(signals from all CCs will pass through the same RF front end)</w:t>
      </w:r>
      <w:r w:rsidR="005F04F7">
        <w:rPr>
          <w:lang w:val="en-US" w:eastAsia="ja-JP"/>
        </w:rPr>
        <w:t xml:space="preserve"> irrespective of whether the UE is capable of 2 layers MIMO per CC or 4 layers MIMO per CC</w:t>
      </w:r>
      <w:r>
        <w:rPr>
          <w:lang w:val="en-US" w:eastAsia="ja-JP"/>
        </w:rPr>
        <w:t>.</w:t>
      </w:r>
      <w:r w:rsidR="005F04F7">
        <w:rPr>
          <w:lang w:val="en-US" w:eastAsia="ja-JP"/>
        </w:rPr>
        <w:t xml:space="preserve"> The signal is split among the CCs further down the receiver RF chain. </w:t>
      </w:r>
    </w:p>
    <w:p w14:paraId="0720175F" w14:textId="4E7C7C9F" w:rsidR="00883D73" w:rsidRPr="008371EC" w:rsidRDefault="00883D73" w:rsidP="00F231F9">
      <w:pPr>
        <w:jc w:val="both"/>
        <w:rPr>
          <w:b/>
          <w:bCs/>
          <w:lang w:val="en-US" w:eastAsia="ja-JP"/>
        </w:rPr>
      </w:pPr>
      <w:r w:rsidRPr="008371EC">
        <w:rPr>
          <w:rFonts w:hint="eastAsia"/>
          <w:b/>
          <w:bCs/>
          <w:lang w:val="en-US" w:eastAsia="ja-JP"/>
        </w:rPr>
        <w:t>O</w:t>
      </w:r>
      <w:r w:rsidRPr="008371EC">
        <w:rPr>
          <w:b/>
          <w:bCs/>
          <w:lang w:val="en-US" w:eastAsia="ja-JP"/>
        </w:rPr>
        <w:t>bservation 1:</w:t>
      </w:r>
      <w:r w:rsidR="008371EC" w:rsidRPr="008371EC">
        <w:rPr>
          <w:b/>
          <w:bCs/>
          <w:lang w:val="en-US" w:eastAsia="ja-JP"/>
        </w:rPr>
        <w:t xml:space="preserve"> The RF architecture is with a shared antenna and LNA among all the aggregated CCs</w:t>
      </w:r>
      <w:r w:rsidR="005F04F7">
        <w:rPr>
          <w:b/>
          <w:bCs/>
          <w:lang w:val="en-US" w:eastAsia="ja-JP"/>
        </w:rPr>
        <w:t xml:space="preserve"> irrespective of the number of MIMO layers supported per CC</w:t>
      </w:r>
      <w:r w:rsidR="00F84B92">
        <w:rPr>
          <w:b/>
          <w:bCs/>
          <w:lang w:val="en-US" w:eastAsia="ja-JP"/>
        </w:rPr>
        <w:t>.</w:t>
      </w:r>
    </w:p>
    <w:p w14:paraId="752D5D91" w14:textId="77777777" w:rsidR="009571B4" w:rsidRDefault="009571B4" w:rsidP="00F231F9">
      <w:pPr>
        <w:jc w:val="both"/>
        <w:rPr>
          <w:lang w:val="en-US" w:eastAsia="ja-JP"/>
        </w:rPr>
      </w:pPr>
      <w:r>
        <w:rPr>
          <w:lang w:val="en-US" w:eastAsia="ja-JP"/>
        </w:rPr>
        <w:t xml:space="preserve">The power imbalance between the CCs could lead to signal distortion, especially on the weaker CC as the gain of the LNA will have to be aligned to the stronger carrier. </w:t>
      </w:r>
      <w:r w:rsidR="00EA01AA">
        <w:rPr>
          <w:lang w:val="en-US" w:eastAsia="ja-JP"/>
        </w:rPr>
        <w:t xml:space="preserve">Large MRTD will create issues in aligning the LNA gain switch timing. Since the gain switch can only be aligned to </w:t>
      </w:r>
      <w:r w:rsidR="00CB23A1">
        <w:rPr>
          <w:lang w:val="en-US" w:eastAsia="ja-JP"/>
        </w:rPr>
        <w:t>the slot boundary of one of the CCs, the gain change will happen during the useful symbol on the other CC distorting the received signal.</w:t>
      </w:r>
    </w:p>
    <w:p w14:paraId="686B7D82" w14:textId="77777777" w:rsidR="008371EC" w:rsidRPr="008371EC" w:rsidRDefault="008371EC" w:rsidP="00F231F9">
      <w:pPr>
        <w:jc w:val="both"/>
        <w:rPr>
          <w:b/>
          <w:bCs/>
          <w:lang w:val="en-US" w:eastAsia="ja-JP"/>
        </w:rPr>
      </w:pPr>
      <w:r w:rsidRPr="008371EC">
        <w:rPr>
          <w:rFonts w:hint="eastAsia"/>
          <w:b/>
          <w:bCs/>
          <w:lang w:val="en-US" w:eastAsia="ja-JP"/>
        </w:rPr>
        <w:t>O</w:t>
      </w:r>
      <w:r w:rsidRPr="008371EC">
        <w:rPr>
          <w:b/>
          <w:bCs/>
          <w:lang w:val="en-US" w:eastAsia="ja-JP"/>
        </w:rPr>
        <w:t>bservation 2: Handling of power imbalance and large MRTD(&gt;CP) are the challenges in intra-band non-collocated deployments</w:t>
      </w:r>
      <w:r w:rsidR="00AB2E02">
        <w:rPr>
          <w:b/>
          <w:bCs/>
          <w:lang w:val="en-US" w:eastAsia="ja-JP"/>
        </w:rPr>
        <w:t>.</w:t>
      </w:r>
    </w:p>
    <w:p w14:paraId="7EBACB8D" w14:textId="267F26BA" w:rsidR="00CB23A1" w:rsidRDefault="00CB23A1" w:rsidP="00F231F9">
      <w:pPr>
        <w:jc w:val="both"/>
        <w:rPr>
          <w:lang w:val="en-US" w:eastAsia="ja-JP"/>
        </w:rPr>
      </w:pPr>
      <w:r>
        <w:rPr>
          <w:lang w:val="en-US" w:eastAsia="ja-JP"/>
        </w:rPr>
        <w:t xml:space="preserve">The specifications </w:t>
      </w:r>
      <w:r w:rsidR="003A28D3">
        <w:rPr>
          <w:lang w:val="en-US" w:eastAsia="ja-JP"/>
        </w:rPr>
        <w:t xml:space="preserve">for the newly introduced Type II UEs </w:t>
      </w:r>
      <w:r>
        <w:rPr>
          <w:lang w:val="en-US" w:eastAsia="ja-JP"/>
        </w:rPr>
        <w:t>allow for a 25dB power imbalance with a sensitivity degradation of 1dB. The requirements are defined only for 2 Rx based on the assumption that a UE equipped with 4Rx (baseline in the FR1 TDD bands &gt;2.4GHz) wi</w:t>
      </w:r>
      <w:r w:rsidR="00883D73">
        <w:rPr>
          <w:lang w:val="en-US" w:eastAsia="ja-JP"/>
        </w:rPr>
        <w:t>ll</w:t>
      </w:r>
      <w:r>
        <w:rPr>
          <w:lang w:val="en-US" w:eastAsia="ja-JP"/>
        </w:rPr>
        <w:t xml:space="preserve"> use 2Rx for each CC. </w:t>
      </w:r>
      <w:r w:rsidR="00883D73">
        <w:rPr>
          <w:lang w:val="en-US" w:eastAsia="ja-JP"/>
        </w:rPr>
        <w:t xml:space="preserve">In this arrangement, RTD &gt; CP can be tolerated as the UE can align the LNA gain switch timing to the slot boundary of each CC. It should be noted that the signals from all the CCs will still pass through the same RF front end, hence, the LNAs will still have to handle a power imbalance of 25dBs on all 4 receivers. </w:t>
      </w:r>
    </w:p>
    <w:p w14:paraId="5F1FCC91" w14:textId="77777777" w:rsidR="009571B4" w:rsidRPr="008371EC" w:rsidRDefault="008371EC" w:rsidP="00F231F9">
      <w:pPr>
        <w:jc w:val="both"/>
        <w:rPr>
          <w:b/>
          <w:bCs/>
          <w:lang w:val="en-US" w:eastAsia="ja-JP"/>
        </w:rPr>
      </w:pPr>
      <w:r w:rsidRPr="008371EC">
        <w:rPr>
          <w:rFonts w:hint="eastAsia"/>
          <w:b/>
          <w:bCs/>
          <w:lang w:val="en-US" w:eastAsia="ja-JP"/>
        </w:rPr>
        <w:t>O</w:t>
      </w:r>
      <w:r w:rsidRPr="008371EC">
        <w:rPr>
          <w:b/>
          <w:bCs/>
          <w:lang w:val="en-US" w:eastAsia="ja-JP"/>
        </w:rPr>
        <w:t xml:space="preserve">bservation 3: the RF front end still </w:t>
      </w:r>
      <w:proofErr w:type="gramStart"/>
      <w:r w:rsidRPr="008371EC">
        <w:rPr>
          <w:b/>
          <w:bCs/>
          <w:lang w:val="en-US" w:eastAsia="ja-JP"/>
        </w:rPr>
        <w:t>has to</w:t>
      </w:r>
      <w:proofErr w:type="gramEnd"/>
      <w:r w:rsidRPr="008371EC">
        <w:rPr>
          <w:b/>
          <w:bCs/>
          <w:lang w:val="en-US" w:eastAsia="ja-JP"/>
        </w:rPr>
        <w:t xml:space="preserve"> handle the power imbalance irrespective of the number of receivers used for each CC.</w:t>
      </w:r>
    </w:p>
    <w:p w14:paraId="61F7C9B0" w14:textId="77777777" w:rsidR="009571B4" w:rsidRPr="008371EC" w:rsidRDefault="008371EC" w:rsidP="00F231F9">
      <w:pPr>
        <w:jc w:val="both"/>
        <w:rPr>
          <w:b/>
          <w:bCs/>
          <w:lang w:val="en-US" w:eastAsia="ja-JP"/>
        </w:rPr>
      </w:pPr>
      <w:r w:rsidRPr="008371EC">
        <w:rPr>
          <w:rFonts w:hint="eastAsia"/>
          <w:b/>
          <w:bCs/>
          <w:lang w:val="en-US" w:eastAsia="ja-JP"/>
        </w:rPr>
        <w:t>O</w:t>
      </w:r>
      <w:r w:rsidRPr="008371EC">
        <w:rPr>
          <w:b/>
          <w:bCs/>
          <w:lang w:val="en-US" w:eastAsia="ja-JP"/>
        </w:rPr>
        <w:t>bservation 4: Splitting the receivers among different CCs enables handling of larger receive time difference at the UE.</w:t>
      </w:r>
    </w:p>
    <w:p w14:paraId="7A015E2B" w14:textId="0689BA5C" w:rsidR="008371EC" w:rsidRDefault="00B04E9B" w:rsidP="00F231F9">
      <w:pPr>
        <w:jc w:val="both"/>
        <w:rPr>
          <w:lang w:val="en-US" w:eastAsia="ja-JP"/>
        </w:rPr>
      </w:pPr>
      <w:r>
        <w:rPr>
          <w:rFonts w:hint="eastAsia"/>
          <w:lang w:val="en-US" w:eastAsia="ja-JP"/>
        </w:rPr>
        <w:t>B</w:t>
      </w:r>
      <w:r>
        <w:rPr>
          <w:lang w:val="en-US" w:eastAsia="ja-JP"/>
        </w:rPr>
        <w:t>ased on the above observations, the UE should be able to handle a power imbalance of up to 25dB, however,</w:t>
      </w:r>
      <w:r w:rsidR="006F676E">
        <w:rPr>
          <w:lang w:val="en-US" w:eastAsia="ja-JP"/>
        </w:rPr>
        <w:t xml:space="preserve"> a RTD &gt; CP cannot be handled by the same receiver. </w:t>
      </w:r>
      <w:r w:rsidR="008125C5">
        <w:rPr>
          <w:lang w:val="en-US" w:eastAsia="ja-JP"/>
        </w:rPr>
        <w:t xml:space="preserve">A UE supporting 4 Layer MIMO on each CC will still have only 4 </w:t>
      </w:r>
      <w:proofErr w:type="spellStart"/>
      <w:r w:rsidR="008125C5">
        <w:rPr>
          <w:lang w:val="en-US" w:eastAsia="ja-JP"/>
        </w:rPr>
        <w:t>receviers</w:t>
      </w:r>
      <w:proofErr w:type="spellEnd"/>
      <w:r w:rsidR="008125C5">
        <w:rPr>
          <w:lang w:val="en-US" w:eastAsia="ja-JP"/>
        </w:rPr>
        <w:t xml:space="preserve"> as supporting 8 antennas such that 4 </w:t>
      </w:r>
      <w:proofErr w:type="spellStart"/>
      <w:r w:rsidR="008125C5">
        <w:rPr>
          <w:lang w:val="en-US" w:eastAsia="ja-JP"/>
        </w:rPr>
        <w:t>receviers</w:t>
      </w:r>
      <w:proofErr w:type="spellEnd"/>
      <w:r w:rsidR="008125C5">
        <w:rPr>
          <w:lang w:val="en-US" w:eastAsia="ja-JP"/>
        </w:rPr>
        <w:t xml:space="preserve"> can be dedicated to each CC is unrealistic for a handheld formfactor. </w:t>
      </w:r>
      <w:proofErr w:type="gramStart"/>
      <w:r w:rsidR="006F676E">
        <w:rPr>
          <w:lang w:val="en-US" w:eastAsia="ja-JP"/>
        </w:rPr>
        <w:t>In order to</w:t>
      </w:r>
      <w:proofErr w:type="gramEnd"/>
      <w:r w:rsidR="006F676E">
        <w:rPr>
          <w:lang w:val="en-US" w:eastAsia="ja-JP"/>
        </w:rPr>
        <w:t xml:space="preserve"> enable 4Rx on each CC, the actual RTD should be within the CP such that the LNA gain switching does not distort the useful part of the signal. If the switch happens in the useful part of the signal, the SNR on one of the carriers will be impacted. The performance degradation is rather difficult to assess as it depends on several factors such as actual RTD, which channels are affected (reference signals, control channel or data channel)</w:t>
      </w:r>
      <w:r w:rsidR="00F93149">
        <w:rPr>
          <w:lang w:val="en-US" w:eastAsia="ja-JP"/>
        </w:rPr>
        <w:t xml:space="preserve">, the actual SNR of the affected signals, etc. This analysis will be very time </w:t>
      </w:r>
      <w:proofErr w:type="gramStart"/>
      <w:r w:rsidR="00F93149">
        <w:rPr>
          <w:lang w:val="en-US" w:eastAsia="ja-JP"/>
        </w:rPr>
        <w:t>consuming</w:t>
      </w:r>
      <w:proofErr w:type="gramEnd"/>
      <w:r w:rsidR="00F93149">
        <w:rPr>
          <w:lang w:val="en-US" w:eastAsia="ja-JP"/>
        </w:rPr>
        <w:t xml:space="preserve"> and results are likely to vary among companies. Another solution to enable 4Rx on each CC would be to have 8 receivers, however, this is not feasible due to the large volume and cost required for such implementation.</w:t>
      </w:r>
    </w:p>
    <w:p w14:paraId="218693C8" w14:textId="77777777" w:rsidR="00F93149" w:rsidRPr="0071005F" w:rsidRDefault="00F93149" w:rsidP="00F231F9">
      <w:pPr>
        <w:jc w:val="both"/>
        <w:rPr>
          <w:b/>
          <w:bCs/>
          <w:lang w:val="en-US" w:eastAsia="ja-JP"/>
        </w:rPr>
      </w:pPr>
      <w:r w:rsidRPr="0071005F">
        <w:rPr>
          <w:rFonts w:hint="eastAsia"/>
          <w:b/>
          <w:bCs/>
          <w:lang w:val="en-US" w:eastAsia="ja-JP"/>
        </w:rPr>
        <w:t>O</w:t>
      </w:r>
      <w:r w:rsidRPr="0071005F">
        <w:rPr>
          <w:b/>
          <w:bCs/>
          <w:lang w:val="en-US" w:eastAsia="ja-JP"/>
        </w:rPr>
        <w:t>bservation 5: RTD should be within the CP to enable 4Rx on each CC.</w:t>
      </w:r>
    </w:p>
    <w:p w14:paraId="42E01262" w14:textId="6907B692" w:rsidR="00F93149" w:rsidRDefault="00F93149" w:rsidP="00F231F9">
      <w:pPr>
        <w:jc w:val="both"/>
        <w:rPr>
          <w:b/>
          <w:bCs/>
          <w:lang w:val="en-US" w:eastAsia="ja-JP"/>
        </w:rPr>
      </w:pPr>
      <w:r w:rsidRPr="0071005F">
        <w:rPr>
          <w:rFonts w:hint="eastAsia"/>
          <w:b/>
          <w:bCs/>
          <w:lang w:val="en-US" w:eastAsia="ja-JP"/>
        </w:rPr>
        <w:lastRenderedPageBreak/>
        <w:t>O</w:t>
      </w:r>
      <w:r w:rsidRPr="0071005F">
        <w:rPr>
          <w:b/>
          <w:bCs/>
          <w:lang w:val="en-US" w:eastAsia="ja-JP"/>
        </w:rPr>
        <w:t xml:space="preserve">bservation 6: </w:t>
      </w:r>
      <w:r w:rsidR="0071005F" w:rsidRPr="0071005F">
        <w:rPr>
          <w:b/>
          <w:bCs/>
          <w:lang w:val="en-US" w:eastAsia="ja-JP"/>
        </w:rPr>
        <w:t>Performance degradation due to LNA signal distortion is difficult to characterize.</w:t>
      </w:r>
      <w:r w:rsidR="008125C5">
        <w:rPr>
          <w:b/>
          <w:bCs/>
          <w:lang w:val="en-US" w:eastAsia="ja-JP"/>
        </w:rPr>
        <w:t xml:space="preserve"> RAN4 should not spend time on characterizing the performance degradation.</w:t>
      </w:r>
    </w:p>
    <w:p w14:paraId="67F3ED55" w14:textId="51600F94" w:rsidR="00F84B92" w:rsidRPr="0071005F" w:rsidRDefault="00F84B92" w:rsidP="00F231F9">
      <w:pPr>
        <w:jc w:val="both"/>
        <w:rPr>
          <w:b/>
          <w:bCs/>
          <w:lang w:val="en-US" w:eastAsia="ja-JP"/>
        </w:rPr>
      </w:pPr>
      <w:r>
        <w:rPr>
          <w:rFonts w:hint="eastAsia"/>
          <w:b/>
          <w:bCs/>
          <w:lang w:val="en-US" w:eastAsia="ja-JP"/>
        </w:rPr>
        <w:t>P</w:t>
      </w:r>
      <w:r>
        <w:rPr>
          <w:b/>
          <w:bCs/>
          <w:lang w:val="en-US" w:eastAsia="ja-JP"/>
        </w:rPr>
        <w:t>roposal: Enable 4Layer MIMO on each CC only with MRTD&lt; CP.</w:t>
      </w:r>
    </w:p>
    <w:p w14:paraId="292E1252" w14:textId="77777777" w:rsidR="000E0602" w:rsidRDefault="00D832FB" w:rsidP="00F231F9">
      <w:pPr>
        <w:pStyle w:val="Heading1"/>
        <w:jc w:val="both"/>
      </w:pPr>
      <w:r>
        <w:t>C</w:t>
      </w:r>
      <w:r w:rsidR="0069757C">
        <w:t>onclusion</w:t>
      </w:r>
    </w:p>
    <w:p w14:paraId="678189A9" w14:textId="77777777" w:rsidR="00AB2E02" w:rsidRDefault="00725C2F" w:rsidP="00725C2F">
      <w:pPr>
        <w:jc w:val="both"/>
        <w:rPr>
          <w:lang w:val="en-US" w:eastAsia="ja-JP"/>
        </w:rPr>
      </w:pPr>
      <w:r>
        <w:rPr>
          <w:rFonts w:hint="eastAsia"/>
          <w:lang w:val="en-US" w:eastAsia="ja-JP"/>
        </w:rPr>
        <w:t>I</w:t>
      </w:r>
      <w:r>
        <w:rPr>
          <w:lang w:val="en-US" w:eastAsia="ja-JP"/>
        </w:rPr>
        <w:t xml:space="preserve">n this paper we discussed </w:t>
      </w:r>
      <w:r w:rsidR="00AB2E02">
        <w:rPr>
          <w:lang w:val="en-US" w:eastAsia="ja-JP"/>
        </w:rPr>
        <w:t>the RF architecture for intra-band aggregation and the consequences related to power imbalance, MRTD and number of receivers to be supported on each CC. We made the following observations:</w:t>
      </w:r>
    </w:p>
    <w:p w14:paraId="07AE1830" w14:textId="77777777" w:rsidR="00F84B92" w:rsidRPr="008371EC" w:rsidRDefault="00F84B92" w:rsidP="00F84B92">
      <w:pPr>
        <w:jc w:val="both"/>
        <w:rPr>
          <w:b/>
          <w:bCs/>
          <w:lang w:val="en-US" w:eastAsia="ja-JP"/>
        </w:rPr>
      </w:pPr>
      <w:r w:rsidRPr="008371EC">
        <w:rPr>
          <w:rFonts w:hint="eastAsia"/>
          <w:b/>
          <w:bCs/>
          <w:lang w:val="en-US" w:eastAsia="ja-JP"/>
        </w:rPr>
        <w:t>O</w:t>
      </w:r>
      <w:r w:rsidRPr="008371EC">
        <w:rPr>
          <w:b/>
          <w:bCs/>
          <w:lang w:val="en-US" w:eastAsia="ja-JP"/>
        </w:rPr>
        <w:t>bservation 1: The RF architecture is with a shared antenna and LNA among all the aggregated CCs</w:t>
      </w:r>
      <w:r>
        <w:rPr>
          <w:b/>
          <w:bCs/>
          <w:lang w:val="en-US" w:eastAsia="ja-JP"/>
        </w:rPr>
        <w:t xml:space="preserve"> irrespective of the number of MIMO layers supported per CC.</w:t>
      </w:r>
    </w:p>
    <w:p w14:paraId="5AA525F5" w14:textId="77777777" w:rsidR="00F84B92" w:rsidRPr="008371EC" w:rsidRDefault="00F84B92" w:rsidP="00F84B92">
      <w:pPr>
        <w:jc w:val="both"/>
        <w:rPr>
          <w:b/>
          <w:bCs/>
          <w:lang w:val="en-US" w:eastAsia="ja-JP"/>
        </w:rPr>
      </w:pPr>
      <w:r w:rsidRPr="008371EC">
        <w:rPr>
          <w:rFonts w:hint="eastAsia"/>
          <w:b/>
          <w:bCs/>
          <w:lang w:val="en-US" w:eastAsia="ja-JP"/>
        </w:rPr>
        <w:t>O</w:t>
      </w:r>
      <w:r w:rsidRPr="008371EC">
        <w:rPr>
          <w:b/>
          <w:bCs/>
          <w:lang w:val="en-US" w:eastAsia="ja-JP"/>
        </w:rPr>
        <w:t>bservation 2: Handling of power imbalance and large MRTD(&gt;CP) are the challenges in intra-band non-collocated deployments</w:t>
      </w:r>
      <w:r>
        <w:rPr>
          <w:b/>
          <w:bCs/>
          <w:lang w:val="en-US" w:eastAsia="ja-JP"/>
        </w:rPr>
        <w:t>.</w:t>
      </w:r>
    </w:p>
    <w:p w14:paraId="5BA12151" w14:textId="77777777" w:rsidR="00F84B92" w:rsidRPr="008371EC" w:rsidRDefault="00F84B92" w:rsidP="00F84B92">
      <w:pPr>
        <w:jc w:val="both"/>
        <w:rPr>
          <w:b/>
          <w:bCs/>
          <w:lang w:val="en-US" w:eastAsia="ja-JP"/>
        </w:rPr>
      </w:pPr>
      <w:r w:rsidRPr="008371EC">
        <w:rPr>
          <w:rFonts w:hint="eastAsia"/>
          <w:b/>
          <w:bCs/>
          <w:lang w:val="en-US" w:eastAsia="ja-JP"/>
        </w:rPr>
        <w:t>O</w:t>
      </w:r>
      <w:r w:rsidRPr="008371EC">
        <w:rPr>
          <w:b/>
          <w:bCs/>
          <w:lang w:val="en-US" w:eastAsia="ja-JP"/>
        </w:rPr>
        <w:t xml:space="preserve">bservation 3: the RF front end still </w:t>
      </w:r>
      <w:proofErr w:type="gramStart"/>
      <w:r w:rsidRPr="008371EC">
        <w:rPr>
          <w:b/>
          <w:bCs/>
          <w:lang w:val="en-US" w:eastAsia="ja-JP"/>
        </w:rPr>
        <w:t>has to</w:t>
      </w:r>
      <w:proofErr w:type="gramEnd"/>
      <w:r w:rsidRPr="008371EC">
        <w:rPr>
          <w:b/>
          <w:bCs/>
          <w:lang w:val="en-US" w:eastAsia="ja-JP"/>
        </w:rPr>
        <w:t xml:space="preserve"> handle the power imbalance irrespective of the number of receivers used for each CC.</w:t>
      </w:r>
    </w:p>
    <w:p w14:paraId="4F88067A" w14:textId="77777777" w:rsidR="00F84B92" w:rsidRPr="008371EC" w:rsidRDefault="00F84B92" w:rsidP="00F84B92">
      <w:pPr>
        <w:jc w:val="both"/>
        <w:rPr>
          <w:b/>
          <w:bCs/>
          <w:lang w:val="en-US" w:eastAsia="ja-JP"/>
        </w:rPr>
      </w:pPr>
      <w:r w:rsidRPr="008371EC">
        <w:rPr>
          <w:rFonts w:hint="eastAsia"/>
          <w:b/>
          <w:bCs/>
          <w:lang w:val="en-US" w:eastAsia="ja-JP"/>
        </w:rPr>
        <w:t>O</w:t>
      </w:r>
      <w:r w:rsidRPr="008371EC">
        <w:rPr>
          <w:b/>
          <w:bCs/>
          <w:lang w:val="en-US" w:eastAsia="ja-JP"/>
        </w:rPr>
        <w:t>bservation 4: Splitting the receivers among different CCs enables handling of larger receive time difference at the UE.</w:t>
      </w:r>
    </w:p>
    <w:p w14:paraId="75615C46" w14:textId="77777777" w:rsidR="00F84B92" w:rsidRPr="0071005F" w:rsidRDefault="00F84B92" w:rsidP="00F84B92">
      <w:pPr>
        <w:jc w:val="both"/>
        <w:rPr>
          <w:b/>
          <w:bCs/>
          <w:lang w:val="en-US" w:eastAsia="ja-JP"/>
        </w:rPr>
      </w:pPr>
      <w:r w:rsidRPr="0071005F">
        <w:rPr>
          <w:rFonts w:hint="eastAsia"/>
          <w:b/>
          <w:bCs/>
          <w:lang w:val="en-US" w:eastAsia="ja-JP"/>
        </w:rPr>
        <w:t>O</w:t>
      </w:r>
      <w:r w:rsidRPr="0071005F">
        <w:rPr>
          <w:b/>
          <w:bCs/>
          <w:lang w:val="en-US" w:eastAsia="ja-JP"/>
        </w:rPr>
        <w:t>bservation 5: RTD should be within the CP to enable 4Rx on each CC.</w:t>
      </w:r>
    </w:p>
    <w:p w14:paraId="331DE909" w14:textId="77777777" w:rsidR="00F84B92" w:rsidRDefault="00F84B92" w:rsidP="00F84B92">
      <w:pPr>
        <w:jc w:val="both"/>
        <w:rPr>
          <w:b/>
          <w:bCs/>
          <w:lang w:val="en-US" w:eastAsia="ja-JP"/>
        </w:rPr>
      </w:pPr>
      <w:r w:rsidRPr="0071005F">
        <w:rPr>
          <w:rFonts w:hint="eastAsia"/>
          <w:b/>
          <w:bCs/>
          <w:lang w:val="en-US" w:eastAsia="ja-JP"/>
        </w:rPr>
        <w:t>O</w:t>
      </w:r>
      <w:r w:rsidRPr="0071005F">
        <w:rPr>
          <w:b/>
          <w:bCs/>
          <w:lang w:val="en-US" w:eastAsia="ja-JP"/>
        </w:rPr>
        <w:t>bservation 6: Performance degradation due to LNA signal distortion is difficult to characterize.</w:t>
      </w:r>
      <w:r>
        <w:rPr>
          <w:b/>
          <w:bCs/>
          <w:lang w:val="en-US" w:eastAsia="ja-JP"/>
        </w:rPr>
        <w:t xml:space="preserve"> RAN4 should not spend time on characterizing the performance degradation.</w:t>
      </w:r>
    </w:p>
    <w:p w14:paraId="6198D31B" w14:textId="157B27D1" w:rsidR="00AB2E02" w:rsidRPr="00F84B92" w:rsidRDefault="00F84B92" w:rsidP="00AB2E02">
      <w:pPr>
        <w:jc w:val="both"/>
        <w:rPr>
          <w:b/>
          <w:bCs/>
          <w:lang w:val="en-US" w:eastAsia="ja-JP"/>
        </w:rPr>
      </w:pPr>
      <w:r>
        <w:rPr>
          <w:rFonts w:hint="eastAsia"/>
          <w:b/>
          <w:bCs/>
          <w:lang w:val="en-US" w:eastAsia="ja-JP"/>
        </w:rPr>
        <w:t>P</w:t>
      </w:r>
      <w:r>
        <w:rPr>
          <w:b/>
          <w:bCs/>
          <w:lang w:val="en-US" w:eastAsia="ja-JP"/>
        </w:rPr>
        <w:t>roposal: Enable 4Layer MIMO on each CC only with MRTD&lt; CP.</w:t>
      </w:r>
    </w:p>
    <w:p w14:paraId="3EE796D7"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7D2970F2" w14:textId="3C1F5663" w:rsidR="005551AE" w:rsidRDefault="005551AE" w:rsidP="00AB2E02">
      <w:pPr>
        <w:numPr>
          <w:ilvl w:val="0"/>
          <w:numId w:val="46"/>
        </w:numPr>
        <w:jc w:val="both"/>
        <w:rPr>
          <w:lang w:eastAsia="ja-JP"/>
        </w:rPr>
      </w:pPr>
      <w:r>
        <w:rPr>
          <w:lang w:eastAsia="ja-JP"/>
        </w:rPr>
        <w:t>R4-221</w:t>
      </w:r>
      <w:r w:rsidR="009A52BF">
        <w:rPr>
          <w:lang w:eastAsia="ja-JP"/>
        </w:rPr>
        <w:t>4458</w:t>
      </w:r>
      <w:r>
        <w:rPr>
          <w:lang w:eastAsia="ja-JP"/>
        </w:rPr>
        <w:t>, “</w:t>
      </w:r>
      <w:r w:rsidR="009A52BF" w:rsidRPr="009A52BF">
        <w:rPr>
          <w:lang w:eastAsia="ja-JP"/>
        </w:rPr>
        <w:t xml:space="preserve">WF on </w:t>
      </w:r>
      <w:proofErr w:type="spellStart"/>
      <w:r w:rsidR="009A52BF" w:rsidRPr="009A52BF">
        <w:rPr>
          <w:lang w:eastAsia="ja-JP"/>
        </w:rPr>
        <w:t>NonCol_intraB_ENDC_NR_CA</w:t>
      </w:r>
      <w:proofErr w:type="spellEnd"/>
      <w:r>
        <w:rPr>
          <w:lang w:eastAsia="ja-JP"/>
        </w:rPr>
        <w:t>”, Qualcomm Incorporated</w:t>
      </w:r>
    </w:p>
    <w:sectPr w:rsidR="005551A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9956" w14:textId="77777777" w:rsidR="005D70B6" w:rsidRDefault="005D70B6">
      <w:r>
        <w:separator/>
      </w:r>
    </w:p>
  </w:endnote>
  <w:endnote w:type="continuationSeparator" w:id="0">
    <w:p w14:paraId="50B2AD88" w14:textId="77777777" w:rsidR="005D70B6" w:rsidRDefault="005D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A56" w14:textId="77777777" w:rsidR="005D70B6" w:rsidRDefault="005D70B6">
      <w:r>
        <w:separator/>
      </w:r>
    </w:p>
  </w:footnote>
  <w:footnote w:type="continuationSeparator" w:id="0">
    <w:p w14:paraId="22275668" w14:textId="77777777" w:rsidR="005D70B6" w:rsidRDefault="005D7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6.05pt;height:16.05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20"/>
  </w:num>
  <w:num w:numId="2">
    <w:abstractNumId w:val="33"/>
  </w:num>
  <w:num w:numId="3">
    <w:abstractNumId w:val="38"/>
  </w:num>
  <w:num w:numId="4">
    <w:abstractNumId w:val="46"/>
  </w:num>
  <w:num w:numId="5">
    <w:abstractNumId w:val="27"/>
  </w:num>
  <w:num w:numId="6">
    <w:abstractNumId w:val="12"/>
  </w:num>
  <w:num w:numId="7">
    <w:abstractNumId w:val="5"/>
  </w:num>
  <w:num w:numId="8">
    <w:abstractNumId w:val="36"/>
  </w:num>
  <w:num w:numId="9">
    <w:abstractNumId w:val="13"/>
  </w:num>
  <w:num w:numId="10">
    <w:abstractNumId w:val="26"/>
  </w:num>
  <w:num w:numId="11">
    <w:abstractNumId w:val="47"/>
  </w:num>
  <w:num w:numId="12">
    <w:abstractNumId w:val="11"/>
  </w:num>
  <w:num w:numId="13">
    <w:abstractNumId w:val="31"/>
  </w:num>
  <w:num w:numId="14">
    <w:abstractNumId w:val="9"/>
  </w:num>
  <w:num w:numId="15">
    <w:abstractNumId w:val="37"/>
  </w:num>
  <w:num w:numId="16">
    <w:abstractNumId w:val="18"/>
  </w:num>
  <w:num w:numId="17">
    <w:abstractNumId w:val="24"/>
  </w:num>
  <w:num w:numId="18">
    <w:abstractNumId w:val="29"/>
  </w:num>
  <w:num w:numId="19">
    <w:abstractNumId w:val="6"/>
  </w:num>
  <w:num w:numId="20">
    <w:abstractNumId w:val="32"/>
  </w:num>
  <w:num w:numId="21">
    <w:abstractNumId w:val="16"/>
  </w:num>
  <w:num w:numId="22">
    <w:abstractNumId w:val="41"/>
  </w:num>
  <w:num w:numId="23">
    <w:abstractNumId w:val="2"/>
  </w:num>
  <w:num w:numId="24">
    <w:abstractNumId w:val="25"/>
  </w:num>
  <w:num w:numId="25">
    <w:abstractNumId w:val="35"/>
  </w:num>
  <w:num w:numId="26">
    <w:abstractNumId w:val="22"/>
  </w:num>
  <w:num w:numId="27">
    <w:abstractNumId w:val="10"/>
  </w:num>
  <w:num w:numId="28">
    <w:abstractNumId w:val="3"/>
  </w:num>
  <w:num w:numId="29">
    <w:abstractNumId w:val="1"/>
  </w:num>
  <w:num w:numId="30">
    <w:abstractNumId w:val="48"/>
  </w:num>
  <w:num w:numId="31">
    <w:abstractNumId w:val="42"/>
  </w:num>
  <w:num w:numId="32">
    <w:abstractNumId w:val="19"/>
  </w:num>
  <w:num w:numId="33">
    <w:abstractNumId w:val="30"/>
  </w:num>
  <w:num w:numId="34">
    <w:abstractNumId w:val="14"/>
  </w:num>
  <w:num w:numId="35">
    <w:abstractNumId w:val="21"/>
  </w:num>
  <w:num w:numId="36">
    <w:abstractNumId w:val="7"/>
  </w:num>
  <w:num w:numId="37">
    <w:abstractNumId w:val="43"/>
  </w:num>
  <w:num w:numId="38">
    <w:abstractNumId w:val="23"/>
  </w:num>
  <w:num w:numId="39">
    <w:abstractNumId w:val="4"/>
  </w:num>
  <w:num w:numId="40">
    <w:abstractNumId w:val="39"/>
  </w:num>
  <w:num w:numId="41">
    <w:abstractNumId w:val="44"/>
  </w:num>
  <w:num w:numId="42">
    <w:abstractNumId w:val="15"/>
  </w:num>
  <w:num w:numId="43">
    <w:abstractNumId w:val="40"/>
  </w:num>
  <w:num w:numId="44">
    <w:abstractNumId w:val="0"/>
  </w:num>
  <w:num w:numId="45">
    <w:abstractNumId w:val="17"/>
  </w:num>
  <w:num w:numId="46">
    <w:abstractNumId w:val="45"/>
  </w:num>
  <w:num w:numId="47">
    <w:abstractNumId w:val="34"/>
  </w:num>
  <w:num w:numId="48">
    <w:abstractNumId w:val="8"/>
  </w:num>
  <w:num w:numId="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7F3"/>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5D7"/>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51AE"/>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2549"/>
    <w:rsid w:val="005F2818"/>
    <w:rsid w:val="005F2A90"/>
    <w:rsid w:val="005F30B5"/>
    <w:rsid w:val="005F3CB3"/>
    <w:rsid w:val="005F4549"/>
    <w:rsid w:val="005F4FE7"/>
    <w:rsid w:val="005F5101"/>
    <w:rsid w:val="005F5AE3"/>
    <w:rsid w:val="005F76A4"/>
    <w:rsid w:val="005F7971"/>
    <w:rsid w:val="00600EAD"/>
    <w:rsid w:val="006028C3"/>
    <w:rsid w:val="00603617"/>
    <w:rsid w:val="00603861"/>
    <w:rsid w:val="006046B6"/>
    <w:rsid w:val="00604770"/>
    <w:rsid w:val="006059EE"/>
    <w:rsid w:val="00607638"/>
    <w:rsid w:val="00607DB2"/>
    <w:rsid w:val="006102C5"/>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76E"/>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37"/>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4E7"/>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52BF"/>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69E"/>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2E02"/>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4E9B"/>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383"/>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1AA"/>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4B92"/>
    <w:rsid w:val="00F85976"/>
    <w:rsid w:val="00F86288"/>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2022-09-30T14:47:00Z</dcterms:created>
  <dcterms:modified xsi:type="dcterms:W3CDTF">2022-09-30T14:47:00Z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