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0110D" w14:textId="11773EB7" w:rsidR="00D35CAF" w:rsidRPr="005F48A5" w:rsidRDefault="00D35CAF" w:rsidP="00D35CAF">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5F48A5">
        <w:rPr>
          <w:b/>
          <w:sz w:val="24"/>
          <w:szCs w:val="24"/>
        </w:rPr>
        <w:t>3GPP TSG-RAN WG4 Meeting # 104b-e</w:t>
      </w:r>
      <w:r w:rsidRPr="005F48A5">
        <w:rPr>
          <w:b/>
          <w:sz w:val="24"/>
          <w:szCs w:val="24"/>
        </w:rPr>
        <w:tab/>
      </w:r>
      <w:r w:rsidR="00C02C0A" w:rsidRPr="00C02C0A">
        <w:rPr>
          <w:b/>
          <w:sz w:val="24"/>
          <w:szCs w:val="24"/>
        </w:rPr>
        <w:t>R4-2215362</w:t>
      </w:r>
    </w:p>
    <w:p w14:paraId="2E6AEE66" w14:textId="071C3497" w:rsidR="00D35CAF" w:rsidRPr="005F48A5" w:rsidRDefault="00D35CAF" w:rsidP="00D35CAF">
      <w:pPr>
        <w:pStyle w:val="CRCoverPage"/>
        <w:outlineLvl w:val="0"/>
        <w:rPr>
          <w:rFonts w:ascii="Times New Roman" w:eastAsia="MS Mincho" w:hAnsi="Times New Roman"/>
          <w:b/>
          <w:sz w:val="24"/>
          <w:szCs w:val="24"/>
          <w:lang w:val="en-US"/>
        </w:rPr>
      </w:pPr>
      <w:r w:rsidRPr="005F48A5">
        <w:rPr>
          <w:rFonts w:ascii="Times New Roman" w:eastAsia="MS Mincho" w:hAnsi="Times New Roman"/>
          <w:b/>
          <w:sz w:val="24"/>
          <w:szCs w:val="24"/>
          <w:lang w:val="en-US"/>
        </w:rPr>
        <w:t xml:space="preserve">Electronic meeting, 10th-19th, </w:t>
      </w:r>
      <w:proofErr w:type="gramStart"/>
      <w:r w:rsidR="00AE3FFB">
        <w:rPr>
          <w:rFonts w:ascii="Times New Roman" w:eastAsia="MS Mincho" w:hAnsi="Times New Roman"/>
          <w:b/>
          <w:sz w:val="24"/>
          <w:szCs w:val="24"/>
          <w:lang w:val="en-US"/>
        </w:rPr>
        <w:t>Oct</w:t>
      </w:r>
      <w:r w:rsidR="00AE3FFB" w:rsidRPr="005F48A5">
        <w:rPr>
          <w:rFonts w:ascii="Times New Roman" w:eastAsia="MS Mincho" w:hAnsi="Times New Roman"/>
          <w:b/>
          <w:sz w:val="24"/>
          <w:szCs w:val="24"/>
          <w:lang w:val="en-US"/>
        </w:rPr>
        <w:t>.,</w:t>
      </w:r>
      <w:proofErr w:type="gramEnd"/>
      <w:r w:rsidR="00AE3FFB" w:rsidRPr="005F48A5">
        <w:rPr>
          <w:rFonts w:ascii="Times New Roman" w:eastAsia="MS Mincho" w:hAnsi="Times New Roman"/>
          <w:b/>
          <w:sz w:val="24"/>
          <w:szCs w:val="24"/>
          <w:lang w:val="en-US"/>
        </w:rPr>
        <w:t xml:space="preserve"> </w:t>
      </w:r>
      <w:r w:rsidRPr="005F48A5">
        <w:rPr>
          <w:rFonts w:ascii="Times New Roman" w:eastAsia="MS Mincho" w:hAnsi="Times New Roman"/>
          <w:b/>
          <w:sz w:val="24"/>
          <w:szCs w:val="24"/>
          <w:lang w:val="en-US"/>
        </w:rPr>
        <w:t>2022</w:t>
      </w:r>
    </w:p>
    <w:p w14:paraId="57488E41" w14:textId="77777777" w:rsidR="00D35CAF" w:rsidRPr="005F48A5" w:rsidRDefault="00D35CAF" w:rsidP="00D35CAF">
      <w:pPr>
        <w:ind w:left="1985" w:hanging="1985"/>
        <w:rPr>
          <w:rFonts w:ascii="Times New Roman" w:hAnsi="Times New Roman"/>
          <w:b/>
          <w:bCs/>
          <w:sz w:val="24"/>
        </w:rPr>
      </w:pPr>
    </w:p>
    <w:p w14:paraId="15862D3B" w14:textId="6927870D" w:rsidR="00D35CAF" w:rsidRPr="005F48A5" w:rsidRDefault="00D35CAF" w:rsidP="00D35CAF">
      <w:pPr>
        <w:ind w:left="1985" w:hanging="1985"/>
        <w:rPr>
          <w:rFonts w:ascii="Times New Roman" w:hAnsi="Times New Roman"/>
          <w:b/>
          <w:bCs/>
          <w:sz w:val="24"/>
        </w:rPr>
      </w:pPr>
      <w:r w:rsidRPr="005F48A5">
        <w:rPr>
          <w:rFonts w:ascii="Times New Roman" w:hAnsi="Times New Roman"/>
          <w:b/>
          <w:bCs/>
          <w:sz w:val="24"/>
        </w:rPr>
        <w:t>Agenda Item:</w:t>
      </w:r>
      <w:r w:rsidRPr="005F48A5">
        <w:rPr>
          <w:rFonts w:ascii="Times New Roman" w:hAnsi="Times New Roman"/>
          <w:b/>
          <w:bCs/>
          <w:sz w:val="24"/>
        </w:rPr>
        <w:tab/>
      </w:r>
      <w:bookmarkStart w:id="2" w:name="Source"/>
      <w:bookmarkEnd w:id="2"/>
      <w:r>
        <w:rPr>
          <w:rFonts w:ascii="Times New Roman" w:hAnsi="Times New Roman"/>
          <w:b/>
          <w:bCs/>
          <w:sz w:val="24"/>
        </w:rPr>
        <w:t>6.8.3.</w:t>
      </w:r>
      <w:r>
        <w:rPr>
          <w:rFonts w:ascii="Times New Roman" w:hAnsi="Times New Roman"/>
          <w:b/>
          <w:bCs/>
          <w:sz w:val="24"/>
        </w:rPr>
        <w:t>4</w:t>
      </w:r>
    </w:p>
    <w:p w14:paraId="5781ED33" w14:textId="77777777" w:rsidR="00D35CAF" w:rsidRPr="005F48A5" w:rsidRDefault="00D35CAF" w:rsidP="00D35CAF">
      <w:pPr>
        <w:ind w:left="1985" w:hanging="1985"/>
        <w:rPr>
          <w:rFonts w:ascii="Times New Roman" w:hAnsi="Times New Roman"/>
          <w:b/>
          <w:bCs/>
          <w:sz w:val="24"/>
        </w:rPr>
      </w:pPr>
      <w:r w:rsidRPr="005F48A5">
        <w:rPr>
          <w:rFonts w:ascii="Times New Roman" w:hAnsi="Times New Roman"/>
          <w:b/>
          <w:bCs/>
          <w:sz w:val="24"/>
        </w:rPr>
        <w:t>Source:</w:t>
      </w:r>
      <w:r w:rsidRPr="005F48A5">
        <w:rPr>
          <w:rFonts w:ascii="Times New Roman" w:hAnsi="Times New Roman"/>
          <w:b/>
          <w:bCs/>
          <w:sz w:val="24"/>
        </w:rPr>
        <w:tab/>
        <w:t xml:space="preserve">Intel Corporation </w:t>
      </w:r>
    </w:p>
    <w:p w14:paraId="2E75A348" w14:textId="5E86634F" w:rsidR="00D35CAF" w:rsidRPr="005F48A5" w:rsidRDefault="00D35CAF" w:rsidP="00D35CAF">
      <w:pPr>
        <w:ind w:left="1985" w:hanging="1985"/>
        <w:rPr>
          <w:rFonts w:ascii="Times New Roman" w:hAnsi="Times New Roman"/>
          <w:b/>
          <w:bCs/>
          <w:sz w:val="24"/>
        </w:rPr>
      </w:pPr>
      <w:r w:rsidRPr="005F48A5">
        <w:rPr>
          <w:rFonts w:ascii="Times New Roman" w:hAnsi="Times New Roman"/>
          <w:b/>
          <w:bCs/>
          <w:sz w:val="24"/>
        </w:rPr>
        <w:t>Title:</w:t>
      </w:r>
      <w:r w:rsidRPr="005F48A5">
        <w:rPr>
          <w:rFonts w:ascii="Times New Roman" w:hAnsi="Times New Roman"/>
          <w:b/>
          <w:bCs/>
          <w:sz w:val="24"/>
        </w:rPr>
        <w:tab/>
      </w:r>
      <w:r w:rsidRPr="00D35CAF">
        <w:rPr>
          <w:rFonts w:ascii="Times New Roman" w:hAnsi="Times New Roman"/>
          <w:b/>
          <w:bCs/>
          <w:sz w:val="24"/>
        </w:rPr>
        <w:t>Discussion on  RRM impacts for TCI state switching based on FR2 multi Rx chain</w:t>
      </w:r>
    </w:p>
    <w:p w14:paraId="7205CE41" w14:textId="77777777" w:rsidR="00D35CAF" w:rsidRPr="005F48A5" w:rsidRDefault="00D35CAF" w:rsidP="00D35CAF">
      <w:pPr>
        <w:ind w:left="1985" w:hanging="1985"/>
        <w:rPr>
          <w:rFonts w:ascii="Times New Roman" w:hAnsi="Times New Roman"/>
          <w:b/>
          <w:bCs/>
          <w:sz w:val="24"/>
        </w:rPr>
      </w:pPr>
      <w:r w:rsidRPr="005F48A5">
        <w:rPr>
          <w:rFonts w:ascii="Times New Roman" w:hAnsi="Times New Roman"/>
          <w:b/>
          <w:bCs/>
          <w:sz w:val="24"/>
        </w:rPr>
        <w:t>Document for:</w:t>
      </w:r>
      <w:r w:rsidRPr="005F48A5">
        <w:rPr>
          <w:rFonts w:ascii="Times New Roman" w:hAnsi="Times New Roman"/>
          <w:b/>
          <w:bCs/>
          <w:sz w:val="24"/>
        </w:rPr>
        <w:tab/>
        <w:t>Discussion</w:t>
      </w:r>
    </w:p>
    <w:p w14:paraId="63C6904B" w14:textId="77777777" w:rsidR="00D35CAF" w:rsidRPr="005F48A5" w:rsidRDefault="00D35CAF" w:rsidP="00D35CAF">
      <w:pPr>
        <w:pStyle w:val="Heading1"/>
        <w:numPr>
          <w:ilvl w:val="0"/>
          <w:numId w:val="1"/>
        </w:numPr>
        <w:rPr>
          <w:rFonts w:ascii="Times New Roman" w:hAnsi="Times New Roman"/>
          <w:lang w:eastAsia="zh-CN"/>
        </w:rPr>
      </w:pPr>
      <w:r w:rsidRPr="005F48A5">
        <w:rPr>
          <w:rFonts w:ascii="Times New Roman" w:hAnsi="Times New Roman"/>
        </w:rPr>
        <w:t>Introduction</w:t>
      </w:r>
    </w:p>
    <w:p w14:paraId="539A70AD" w14:textId="14963116" w:rsidR="00D35CAF" w:rsidRPr="005F48A5" w:rsidRDefault="00D35CAF" w:rsidP="00D35CAF">
      <w:pPr>
        <w:rPr>
          <w:rFonts w:ascii="Times New Roman" w:hAnsi="Times New Roman"/>
          <w:sz w:val="20"/>
          <w:szCs w:val="20"/>
        </w:rPr>
      </w:pPr>
      <w:r w:rsidRPr="005F48A5">
        <w:rPr>
          <w:rFonts w:ascii="Times New Roman" w:hAnsi="Times New Roman"/>
          <w:sz w:val="20"/>
          <w:szCs w:val="20"/>
        </w:rPr>
        <w:t>In last meeting , the WF is agreed[1]. There are many open issues, and we will analyze some of them</w:t>
      </w:r>
      <w:r w:rsidR="00B67102">
        <w:rPr>
          <w:rFonts w:ascii="Times New Roman" w:hAnsi="Times New Roman"/>
          <w:sz w:val="20"/>
          <w:szCs w:val="20"/>
        </w:rPr>
        <w:t xml:space="preserve"> related to dual TCI state</w:t>
      </w:r>
      <w:r w:rsidRPr="005F48A5">
        <w:rPr>
          <w:rFonts w:ascii="Times New Roman" w:hAnsi="Times New Roman"/>
          <w:sz w:val="20"/>
          <w:szCs w:val="20"/>
        </w:rPr>
        <w:t>:</w:t>
      </w:r>
    </w:p>
    <w:tbl>
      <w:tblPr>
        <w:tblStyle w:val="TableGrid"/>
        <w:tblW w:w="0" w:type="auto"/>
        <w:tblLook w:val="04A0" w:firstRow="1" w:lastRow="0" w:firstColumn="1" w:lastColumn="0" w:noHBand="0" w:noVBand="1"/>
      </w:tblPr>
      <w:tblGrid>
        <w:gridCol w:w="9350"/>
      </w:tblGrid>
      <w:tr w:rsidR="00D35CAF" w:rsidRPr="005F48A5" w14:paraId="7440E25E" w14:textId="77777777" w:rsidTr="00C66DDE">
        <w:tc>
          <w:tcPr>
            <w:tcW w:w="9350" w:type="dxa"/>
          </w:tcPr>
          <w:p w14:paraId="33E823AD" w14:textId="77777777" w:rsidR="00451B92" w:rsidRPr="00451B92" w:rsidRDefault="00451B92" w:rsidP="00C66DDE">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451B92">
              <w:rPr>
                <w:rFonts w:eastAsia="Batang"/>
                <w:sz w:val="20"/>
                <w:szCs w:val="20"/>
                <w:lang w:val="en-US"/>
              </w:rPr>
              <w:t>TCI framework for dual TCIs</w:t>
            </w:r>
          </w:p>
          <w:p w14:paraId="6A770D2A" w14:textId="6BAD78E4" w:rsidR="00451B92" w:rsidRPr="005F48A5" w:rsidRDefault="00451B92" w:rsidP="00C66DDE">
            <w:pPr>
              <w:pStyle w:val="ListParagraph"/>
              <w:widowControl/>
              <w:numPr>
                <w:ilvl w:val="1"/>
                <w:numId w:val="2"/>
              </w:numPr>
              <w:overflowPunct w:val="0"/>
              <w:spacing w:after="120" w:line="240" w:lineRule="auto"/>
              <w:ind w:firstLineChars="0"/>
              <w:jc w:val="both"/>
              <w:textAlignment w:val="baseline"/>
              <w:rPr>
                <w:rFonts w:eastAsia="Batang"/>
                <w:lang w:val="en-US"/>
              </w:rPr>
            </w:pPr>
            <w:r w:rsidRPr="00451B92">
              <w:rPr>
                <w:rFonts w:eastAsia="Batang"/>
                <w:sz w:val="20"/>
                <w:szCs w:val="20"/>
                <w:lang w:val="en-US"/>
              </w:rPr>
              <w:t>Enhancement for TCI state switching delay requirements</w:t>
            </w:r>
          </w:p>
        </w:tc>
      </w:tr>
    </w:tbl>
    <w:p w14:paraId="78391AD8" w14:textId="77777777" w:rsidR="00D35CAF" w:rsidRPr="005F48A5" w:rsidRDefault="00D35CAF" w:rsidP="00D35CAF">
      <w:pPr>
        <w:pStyle w:val="Heading1"/>
        <w:numPr>
          <w:ilvl w:val="0"/>
          <w:numId w:val="1"/>
        </w:numPr>
        <w:rPr>
          <w:rFonts w:ascii="Times New Roman" w:hAnsi="Times New Roman"/>
        </w:rPr>
      </w:pPr>
      <w:r w:rsidRPr="005F48A5">
        <w:rPr>
          <w:rFonts w:ascii="Times New Roman" w:hAnsi="Times New Roman"/>
        </w:rPr>
        <w:t>Discussion</w:t>
      </w:r>
    </w:p>
    <w:tbl>
      <w:tblPr>
        <w:tblStyle w:val="TableGrid"/>
        <w:tblW w:w="0" w:type="auto"/>
        <w:tblLook w:val="04A0" w:firstRow="1" w:lastRow="0" w:firstColumn="1" w:lastColumn="0" w:noHBand="0" w:noVBand="1"/>
      </w:tblPr>
      <w:tblGrid>
        <w:gridCol w:w="9350"/>
      </w:tblGrid>
      <w:tr w:rsidR="00D35CAF" w:rsidRPr="0071406F" w14:paraId="7BFE71E3" w14:textId="77777777" w:rsidTr="00C66DDE">
        <w:tc>
          <w:tcPr>
            <w:tcW w:w="9350" w:type="dxa"/>
          </w:tcPr>
          <w:p w14:paraId="148814FF" w14:textId="77777777" w:rsidR="00D35CAF" w:rsidRPr="0071406F" w:rsidRDefault="00D35CAF" w:rsidP="00C66DDE">
            <w:pPr>
              <w:rPr>
                <w:rFonts w:ascii="Times New Roman" w:hAnsi="Times New Roman"/>
                <w:b/>
                <w:sz w:val="20"/>
                <w:szCs w:val="20"/>
                <w:u w:val="single"/>
                <w:lang w:eastAsia="ko-KR"/>
              </w:rPr>
            </w:pPr>
            <w:r w:rsidRPr="0071406F">
              <w:rPr>
                <w:rFonts w:ascii="Times New Roman" w:hAnsi="Times New Roman"/>
                <w:b/>
                <w:sz w:val="20"/>
                <w:szCs w:val="20"/>
                <w:u w:val="single"/>
                <w:lang w:eastAsia="ko-KR"/>
              </w:rPr>
              <w:t>Issue 1-3</w:t>
            </w:r>
            <w:r w:rsidRPr="0071406F">
              <w:rPr>
                <w:rFonts w:ascii="Times New Roman" w:hAnsi="Times New Roman"/>
                <w:b/>
                <w:sz w:val="20"/>
                <w:szCs w:val="20"/>
                <w:u w:val="single"/>
              </w:rPr>
              <w:t>-1-2</w:t>
            </w:r>
            <w:r w:rsidRPr="0071406F">
              <w:rPr>
                <w:rFonts w:ascii="Times New Roman" w:hAnsi="Times New Roman"/>
                <w:b/>
                <w:sz w:val="20"/>
                <w:szCs w:val="20"/>
                <w:u w:val="single"/>
                <w:lang w:eastAsia="ko-KR"/>
              </w:rPr>
              <w:t xml:space="preserve">:  TCI framework for dual </w:t>
            </w:r>
            <w:r w:rsidRPr="0071406F">
              <w:rPr>
                <w:rFonts w:ascii="Times New Roman" w:hAnsi="Times New Roman"/>
                <w:b/>
                <w:color w:val="000000"/>
                <w:sz w:val="20"/>
                <w:szCs w:val="20"/>
                <w:u w:val="single"/>
                <w:lang w:eastAsia="ko-KR"/>
              </w:rPr>
              <w:t>TCIs</w:t>
            </w:r>
          </w:p>
          <w:p w14:paraId="439A36E1" w14:textId="77777777" w:rsidR="00D35CAF" w:rsidRPr="0071406F" w:rsidRDefault="00D35CAF" w:rsidP="00C66DDE">
            <w:pPr>
              <w:pStyle w:val="ListParagraph"/>
              <w:widowControl/>
              <w:numPr>
                <w:ilvl w:val="0"/>
                <w:numId w:val="2"/>
              </w:numPr>
              <w:autoSpaceDE/>
              <w:autoSpaceDN/>
              <w:adjustRightInd/>
              <w:spacing w:after="120" w:line="240" w:lineRule="auto"/>
              <w:ind w:left="720" w:firstLineChars="0"/>
              <w:rPr>
                <w:sz w:val="20"/>
                <w:szCs w:val="20"/>
                <w:lang w:eastAsia="zh-CN"/>
              </w:rPr>
            </w:pPr>
            <w:r w:rsidRPr="0071406F">
              <w:rPr>
                <w:sz w:val="20"/>
                <w:szCs w:val="20"/>
                <w:lang w:eastAsia="zh-CN"/>
              </w:rPr>
              <w:t>Proposals</w:t>
            </w:r>
          </w:p>
          <w:p w14:paraId="0E383114" w14:textId="77777777" w:rsidR="00D35CAF" w:rsidRPr="0071406F" w:rsidRDefault="00D35CAF" w:rsidP="00C66DDE">
            <w:pPr>
              <w:pStyle w:val="ListParagraph"/>
              <w:widowControl/>
              <w:numPr>
                <w:ilvl w:val="1"/>
                <w:numId w:val="2"/>
              </w:numPr>
              <w:autoSpaceDE/>
              <w:autoSpaceDN/>
              <w:adjustRightInd/>
              <w:spacing w:after="120" w:line="240" w:lineRule="auto"/>
              <w:ind w:left="1440" w:firstLineChars="0"/>
              <w:rPr>
                <w:sz w:val="20"/>
                <w:szCs w:val="20"/>
                <w:lang w:eastAsia="zh-CN"/>
              </w:rPr>
            </w:pPr>
            <w:r w:rsidRPr="0071406F">
              <w:rPr>
                <w:sz w:val="20"/>
                <w:szCs w:val="20"/>
                <w:lang w:eastAsia="zh-CN"/>
              </w:rPr>
              <w:t>Option 1: Dual TCI state switching delay requirements shall base on Rel-15/16 TCI framework.</w:t>
            </w:r>
          </w:p>
          <w:p w14:paraId="1CBF8FDA" w14:textId="77777777" w:rsidR="00D35CAF" w:rsidRPr="0071406F" w:rsidRDefault="00D35CAF" w:rsidP="00C66DDE">
            <w:pPr>
              <w:pStyle w:val="ListParagraph"/>
              <w:widowControl/>
              <w:numPr>
                <w:ilvl w:val="1"/>
                <w:numId w:val="2"/>
              </w:numPr>
              <w:autoSpaceDE/>
              <w:autoSpaceDN/>
              <w:adjustRightInd/>
              <w:spacing w:after="120" w:line="240" w:lineRule="auto"/>
              <w:ind w:left="1440" w:firstLineChars="0"/>
              <w:rPr>
                <w:sz w:val="20"/>
                <w:szCs w:val="20"/>
                <w:lang w:eastAsia="zh-CN"/>
              </w:rPr>
            </w:pPr>
            <w:r w:rsidRPr="0071406F">
              <w:rPr>
                <w:sz w:val="20"/>
                <w:szCs w:val="20"/>
                <w:lang w:eastAsia="zh-CN"/>
              </w:rPr>
              <w:t>Option 2: To define requirements for TCI switching delay with dual TCI, both R15/R16 TCI framework and R17 TCI framework, i.e., unified TCI, are considered for UE supporting multi-Rx chain simultaneous reception.</w:t>
            </w:r>
          </w:p>
        </w:tc>
      </w:tr>
    </w:tbl>
    <w:p w14:paraId="6B640D8B" w14:textId="77777777" w:rsidR="00D35CAF" w:rsidRPr="0071406F" w:rsidRDefault="00D35CAF" w:rsidP="00D35CAF">
      <w:pPr>
        <w:rPr>
          <w:rFonts w:ascii="Times New Roman" w:hAnsi="Times New Roman"/>
          <w:sz w:val="20"/>
          <w:szCs w:val="20"/>
          <w:lang w:eastAsia="en-US"/>
        </w:rPr>
      </w:pPr>
    </w:p>
    <w:p w14:paraId="786885E7" w14:textId="77777777" w:rsidR="00D35CAF" w:rsidRPr="0071406F" w:rsidRDefault="00D35CAF" w:rsidP="00D35CAF">
      <w:pPr>
        <w:spacing w:after="120"/>
        <w:rPr>
          <w:rFonts w:ascii="Times New Roman" w:hAnsi="Times New Roman"/>
          <w:bCs/>
          <w:sz w:val="20"/>
          <w:szCs w:val="20"/>
          <w:lang w:eastAsia="ja-JP"/>
        </w:rPr>
      </w:pPr>
      <w:r w:rsidRPr="0071406F">
        <w:rPr>
          <w:rFonts w:ascii="Times New Roman" w:hAnsi="Times New Roman"/>
          <w:bCs/>
          <w:sz w:val="20"/>
          <w:szCs w:val="20"/>
          <w:lang w:eastAsia="ja-JP"/>
        </w:rPr>
        <w:t>From the LS from RAN1(</w:t>
      </w:r>
      <w:r w:rsidRPr="0071406F">
        <w:rPr>
          <w:rFonts w:ascii="Times New Roman" w:hAnsi="Times New Roman"/>
          <w:color w:val="000000"/>
          <w:sz w:val="20"/>
          <w:szCs w:val="20"/>
        </w:rPr>
        <w:t>R1-2110631</w:t>
      </w:r>
      <w:r w:rsidRPr="0071406F">
        <w:rPr>
          <w:rFonts w:ascii="Times New Roman" w:hAnsi="Times New Roman"/>
          <w:bCs/>
          <w:sz w:val="20"/>
          <w:szCs w:val="20"/>
          <w:lang w:eastAsia="ja-JP"/>
        </w:rPr>
        <w:t xml:space="preserve">), </w:t>
      </w:r>
      <w:r w:rsidRPr="0071406F">
        <w:rPr>
          <w:rFonts w:ascii="Times New Roman" w:hAnsi="Times New Roman"/>
          <w:sz w:val="20"/>
          <w:szCs w:val="20"/>
        </w:rPr>
        <w:t xml:space="preserve">RAN1 confirm that </w:t>
      </w:r>
      <w:proofErr w:type="spellStart"/>
      <w:r w:rsidRPr="0071406F">
        <w:rPr>
          <w:rFonts w:ascii="Times New Roman" w:hAnsi="Times New Roman"/>
          <w:sz w:val="20"/>
          <w:szCs w:val="20"/>
        </w:rPr>
        <w:t>mTRP</w:t>
      </w:r>
      <w:proofErr w:type="spellEnd"/>
      <w:r w:rsidRPr="0071406F">
        <w:rPr>
          <w:rFonts w:ascii="Times New Roman" w:hAnsi="Times New Roman"/>
          <w:sz w:val="20"/>
          <w:szCs w:val="20"/>
        </w:rPr>
        <w:t xml:space="preserve"> is based on Rel-15/16 TCI </w:t>
      </w:r>
      <w:proofErr w:type="spellStart"/>
      <w:r w:rsidRPr="0071406F">
        <w:rPr>
          <w:rFonts w:ascii="Times New Roman" w:hAnsi="Times New Roman"/>
          <w:sz w:val="20"/>
          <w:szCs w:val="20"/>
        </w:rPr>
        <w:t>tramework</w:t>
      </w:r>
      <w:proofErr w:type="spellEnd"/>
      <w:r w:rsidRPr="0071406F">
        <w:rPr>
          <w:rFonts w:ascii="Times New Roman" w:hAnsi="Times New Roman"/>
          <w:sz w:val="20"/>
          <w:szCs w:val="20"/>
        </w:rPr>
        <w:t>.</w:t>
      </w:r>
    </w:p>
    <w:tbl>
      <w:tblPr>
        <w:tblStyle w:val="TableGrid"/>
        <w:tblW w:w="0" w:type="auto"/>
        <w:tblLook w:val="04A0" w:firstRow="1" w:lastRow="0" w:firstColumn="1" w:lastColumn="0" w:noHBand="0" w:noVBand="1"/>
      </w:tblPr>
      <w:tblGrid>
        <w:gridCol w:w="9350"/>
      </w:tblGrid>
      <w:tr w:rsidR="00D35CAF" w:rsidRPr="0071406F" w14:paraId="16CE3EB5" w14:textId="77777777" w:rsidTr="00C66DDE">
        <w:tc>
          <w:tcPr>
            <w:tcW w:w="9350" w:type="dxa"/>
          </w:tcPr>
          <w:p w14:paraId="5CE5EB39" w14:textId="77777777" w:rsidR="00D35CAF" w:rsidRPr="0071406F" w:rsidRDefault="00D35CAF" w:rsidP="00C66DDE">
            <w:pPr>
              <w:snapToGrid w:val="0"/>
              <w:spacing w:after="60"/>
              <w:rPr>
                <w:rFonts w:ascii="Times New Roman" w:hAnsi="Times New Roman"/>
                <w:b/>
                <w:sz w:val="20"/>
                <w:szCs w:val="20"/>
                <w:highlight w:val="yellow"/>
              </w:rPr>
            </w:pPr>
            <w:r w:rsidRPr="0071406F">
              <w:rPr>
                <w:rFonts w:ascii="Times New Roman" w:hAnsi="Times New Roman"/>
                <w:b/>
                <w:sz w:val="20"/>
                <w:szCs w:val="20"/>
              </w:rPr>
              <w:t xml:space="preserve">Question 1: RAN2 notes that WI objective 1 states " The same beam measurement/reporting mechanism will be reused for inter-cell </w:t>
            </w:r>
            <w:proofErr w:type="spellStart"/>
            <w:r w:rsidRPr="0071406F">
              <w:rPr>
                <w:rFonts w:ascii="Times New Roman" w:hAnsi="Times New Roman"/>
                <w:b/>
                <w:sz w:val="20"/>
                <w:szCs w:val="20"/>
              </w:rPr>
              <w:t>mTRP</w:t>
            </w:r>
            <w:proofErr w:type="spellEnd"/>
            <w:r w:rsidRPr="0071406F">
              <w:rPr>
                <w:rFonts w:ascii="Times New Roman" w:hAnsi="Times New Roman"/>
                <w:b/>
                <w:sz w:val="20"/>
                <w:szCs w:val="20"/>
              </w:rPr>
              <w:t xml:space="preserve"> "). RAN2 would like to understand if the entire inter-cell BM is also applicable to inter-cell </w:t>
            </w:r>
            <w:proofErr w:type="spellStart"/>
            <w:r w:rsidRPr="0071406F">
              <w:rPr>
                <w:rFonts w:ascii="Times New Roman" w:hAnsi="Times New Roman"/>
                <w:b/>
                <w:sz w:val="20"/>
                <w:szCs w:val="20"/>
              </w:rPr>
              <w:t>mTRP</w:t>
            </w:r>
            <w:proofErr w:type="spellEnd"/>
            <w:r w:rsidRPr="0071406F">
              <w:rPr>
                <w:rFonts w:ascii="Times New Roman" w:hAnsi="Times New Roman"/>
                <w:b/>
                <w:sz w:val="20"/>
                <w:szCs w:val="20"/>
              </w:rPr>
              <w:t xml:space="preserve">? If not, which part is not applicable to </w:t>
            </w:r>
            <w:proofErr w:type="spellStart"/>
            <w:r w:rsidRPr="0071406F">
              <w:rPr>
                <w:rFonts w:ascii="Times New Roman" w:hAnsi="Times New Roman"/>
                <w:b/>
                <w:sz w:val="20"/>
                <w:szCs w:val="20"/>
              </w:rPr>
              <w:t>mTRP</w:t>
            </w:r>
            <w:proofErr w:type="spellEnd"/>
            <w:r w:rsidRPr="0071406F">
              <w:rPr>
                <w:rFonts w:ascii="Times New Roman" w:hAnsi="Times New Roman"/>
                <w:b/>
                <w:sz w:val="20"/>
                <w:szCs w:val="20"/>
              </w:rPr>
              <w:t xml:space="preserve"> and how does that work?</w:t>
            </w:r>
          </w:p>
          <w:p w14:paraId="7B7DD0BB" w14:textId="77777777" w:rsidR="00D35CAF" w:rsidRPr="0071406F" w:rsidRDefault="00D35CAF" w:rsidP="00C66DDE">
            <w:pPr>
              <w:snapToGrid w:val="0"/>
              <w:spacing w:after="60"/>
              <w:jc w:val="both"/>
              <w:rPr>
                <w:rFonts w:ascii="Times New Roman" w:eastAsia="Batang" w:hAnsi="Times New Roman"/>
                <w:sz w:val="20"/>
                <w:szCs w:val="20"/>
                <w:highlight w:val="yellow"/>
              </w:rPr>
            </w:pPr>
          </w:p>
          <w:p w14:paraId="24BD8CC6" w14:textId="77777777" w:rsidR="00D35CAF" w:rsidRPr="0071406F" w:rsidRDefault="00D35CAF" w:rsidP="00C66DDE">
            <w:pPr>
              <w:snapToGrid w:val="0"/>
              <w:spacing w:after="60"/>
              <w:jc w:val="both"/>
              <w:rPr>
                <w:rFonts w:ascii="Times New Roman" w:eastAsia="Batang" w:hAnsi="Times New Roman"/>
                <w:sz w:val="20"/>
                <w:szCs w:val="20"/>
              </w:rPr>
            </w:pPr>
            <w:r w:rsidRPr="0071406F">
              <w:rPr>
                <w:rFonts w:ascii="Times New Roman" w:eastAsia="Batang" w:hAnsi="Times New Roman"/>
                <w:b/>
                <w:sz w:val="20"/>
                <w:szCs w:val="20"/>
              </w:rPr>
              <w:t>Answer 1</w:t>
            </w:r>
            <w:r w:rsidRPr="0071406F">
              <w:rPr>
                <w:rFonts w:ascii="Times New Roman" w:eastAsia="Batang" w:hAnsi="Times New Roman"/>
                <w:sz w:val="20"/>
                <w:szCs w:val="20"/>
              </w:rPr>
              <w:t xml:space="preserve">: Rel17 Inter-cell BM and inter-cell </w:t>
            </w:r>
            <w:proofErr w:type="spellStart"/>
            <w:r w:rsidRPr="0071406F">
              <w:rPr>
                <w:rFonts w:ascii="Times New Roman" w:eastAsia="Batang" w:hAnsi="Times New Roman"/>
                <w:sz w:val="20"/>
                <w:szCs w:val="20"/>
              </w:rPr>
              <w:t>mTRP</w:t>
            </w:r>
            <w:proofErr w:type="spellEnd"/>
            <w:r w:rsidRPr="0071406F">
              <w:rPr>
                <w:rFonts w:ascii="Times New Roman" w:eastAsia="Batang" w:hAnsi="Times New Roman"/>
                <w:sz w:val="20"/>
                <w:szCs w:val="20"/>
              </w:rPr>
              <w:t xml:space="preserve"> have common points but they are not entirely the same. The common and different points are as follows: they both use the same beam measurement/reporting </w:t>
            </w:r>
            <w:proofErr w:type="gramStart"/>
            <w:r w:rsidRPr="0071406F">
              <w:rPr>
                <w:rFonts w:ascii="Times New Roman" w:eastAsia="Batang" w:hAnsi="Times New Roman"/>
                <w:sz w:val="20"/>
                <w:szCs w:val="20"/>
                <w:highlight w:val="yellow"/>
              </w:rPr>
              <w:t>mechanisms</w:t>
            </w:r>
            <w:proofErr w:type="gramEnd"/>
            <w:r w:rsidRPr="0071406F">
              <w:rPr>
                <w:rFonts w:ascii="Times New Roman" w:eastAsia="Batang" w:hAnsi="Times New Roman"/>
                <w:sz w:val="20"/>
                <w:szCs w:val="20"/>
                <w:highlight w:val="yellow"/>
              </w:rPr>
              <w:t xml:space="preserve"> but they have different TCI signaling framework (beam indication) as inter-cell BM is based on Rel17 unified TCI while inter-cell </w:t>
            </w:r>
            <w:proofErr w:type="spellStart"/>
            <w:r w:rsidRPr="0071406F">
              <w:rPr>
                <w:rFonts w:ascii="Times New Roman" w:eastAsia="Batang" w:hAnsi="Times New Roman"/>
                <w:sz w:val="20"/>
                <w:szCs w:val="20"/>
                <w:highlight w:val="yellow"/>
              </w:rPr>
              <w:t>mTRP</w:t>
            </w:r>
            <w:proofErr w:type="spellEnd"/>
            <w:r w:rsidRPr="0071406F">
              <w:rPr>
                <w:rFonts w:ascii="Times New Roman" w:eastAsia="Batang" w:hAnsi="Times New Roman"/>
                <w:sz w:val="20"/>
                <w:szCs w:val="20"/>
                <w:highlight w:val="yellow"/>
              </w:rPr>
              <w:t xml:space="preserve"> is based on Rel15/16 TCI framework.</w:t>
            </w:r>
            <w:r w:rsidRPr="0071406F">
              <w:rPr>
                <w:rFonts w:ascii="Times New Roman" w:eastAsia="Batang" w:hAnsi="Times New Roman"/>
                <w:sz w:val="20"/>
                <w:szCs w:val="20"/>
              </w:rPr>
              <w:t xml:space="preserve"> For inter-cell BM, UE assumes that the UE-dedicated channels/RSs can be switched to a TRP with different PCI according to DCI/MAC-CE based unified TCI update</w:t>
            </w:r>
            <w:r w:rsidRPr="0071406F">
              <w:rPr>
                <w:rFonts w:ascii="Times New Roman" w:eastAsia="Batang" w:hAnsi="Times New Roman"/>
                <w:sz w:val="20"/>
                <w:szCs w:val="20"/>
                <w:highlight w:val="yellow"/>
              </w:rPr>
              <w:t>;</w:t>
            </w:r>
            <w:r w:rsidRPr="0071406F">
              <w:rPr>
                <w:rFonts w:ascii="Times New Roman" w:eastAsia="Batang" w:hAnsi="Times New Roman"/>
                <w:sz w:val="20"/>
                <w:szCs w:val="20"/>
              </w:rPr>
              <w:t xml:space="preserve"> for inter-cell </w:t>
            </w:r>
            <w:proofErr w:type="spellStart"/>
            <w:r w:rsidRPr="0071406F">
              <w:rPr>
                <w:rFonts w:ascii="Times New Roman" w:eastAsia="Batang" w:hAnsi="Times New Roman"/>
                <w:sz w:val="20"/>
                <w:szCs w:val="20"/>
              </w:rPr>
              <w:t>mTRP</w:t>
            </w:r>
            <w:proofErr w:type="spellEnd"/>
            <w:r w:rsidRPr="0071406F">
              <w:rPr>
                <w:rFonts w:ascii="Times New Roman" w:eastAsia="Batang" w:hAnsi="Times New Roman"/>
                <w:sz w:val="20"/>
                <w:szCs w:val="20"/>
              </w:rPr>
              <w:t xml:space="preserve">, UE assumes </w:t>
            </w:r>
            <w:proofErr w:type="spellStart"/>
            <w:r w:rsidRPr="0071406F">
              <w:rPr>
                <w:rFonts w:ascii="Times New Roman" w:eastAsia="Batang" w:hAnsi="Times New Roman"/>
                <w:sz w:val="20"/>
                <w:szCs w:val="20"/>
              </w:rPr>
              <w:t>mDCI-mTRPbased</w:t>
            </w:r>
            <w:proofErr w:type="spellEnd"/>
            <w:r w:rsidRPr="0071406F">
              <w:rPr>
                <w:rFonts w:ascii="Times New Roman" w:eastAsia="Batang" w:hAnsi="Times New Roman"/>
                <w:sz w:val="20"/>
                <w:szCs w:val="20"/>
              </w:rPr>
              <w:t xml:space="preserve"> multi-PDSCH reception.</w:t>
            </w:r>
          </w:p>
        </w:tc>
      </w:tr>
    </w:tbl>
    <w:p w14:paraId="014850C4" w14:textId="77777777" w:rsidR="00D35CAF" w:rsidRPr="0071406F" w:rsidRDefault="00D35CAF" w:rsidP="00D35CAF">
      <w:pPr>
        <w:rPr>
          <w:rFonts w:ascii="Times New Roman" w:hAnsi="Times New Roman"/>
          <w:sz w:val="20"/>
          <w:szCs w:val="20"/>
          <w:lang w:eastAsia="en-US"/>
        </w:rPr>
      </w:pPr>
    </w:p>
    <w:p w14:paraId="4E4F2CB8" w14:textId="77777777" w:rsidR="00D35CAF" w:rsidRPr="0071406F" w:rsidRDefault="00D35CAF" w:rsidP="00D35CAF">
      <w:pPr>
        <w:rPr>
          <w:rFonts w:ascii="Times New Roman" w:hAnsi="Times New Roman"/>
          <w:sz w:val="20"/>
          <w:szCs w:val="20"/>
        </w:rPr>
      </w:pPr>
      <w:r w:rsidRPr="0071406F">
        <w:rPr>
          <w:rFonts w:ascii="Times New Roman" w:hAnsi="Times New Roman"/>
          <w:sz w:val="20"/>
          <w:szCs w:val="20"/>
          <w:lang w:eastAsia="en-US"/>
        </w:rPr>
        <w:lastRenderedPageBreak/>
        <w:t xml:space="preserve">Therefore, we support option 1. </w:t>
      </w:r>
      <w:r w:rsidRPr="0071406F">
        <w:rPr>
          <w:rFonts w:ascii="Times New Roman" w:hAnsi="Times New Roman"/>
          <w:sz w:val="20"/>
          <w:szCs w:val="20"/>
        </w:rPr>
        <w:t>Dual TCI state switching delay requirements shall base on Rel-15/16 TCI framework.</w:t>
      </w:r>
    </w:p>
    <w:p w14:paraId="4845A360" w14:textId="77777777" w:rsidR="0022615A" w:rsidRPr="0071406F" w:rsidRDefault="0022615A" w:rsidP="0022615A">
      <w:pPr>
        <w:rPr>
          <w:rFonts w:ascii="Times New Roman" w:hAnsi="Times New Roman"/>
          <w:b/>
          <w:bCs/>
          <w:sz w:val="20"/>
          <w:szCs w:val="20"/>
        </w:rPr>
      </w:pPr>
      <w:r w:rsidRPr="0071406F">
        <w:rPr>
          <w:rFonts w:ascii="Times New Roman" w:hAnsi="Times New Roman"/>
          <w:b/>
          <w:bCs/>
          <w:sz w:val="20"/>
          <w:szCs w:val="20"/>
        </w:rPr>
        <w:t xml:space="preserve">Proposal </w:t>
      </w:r>
      <w:r>
        <w:rPr>
          <w:rFonts w:ascii="Times New Roman" w:hAnsi="Times New Roman"/>
          <w:b/>
          <w:bCs/>
          <w:sz w:val="20"/>
          <w:szCs w:val="20"/>
        </w:rPr>
        <w:t>1</w:t>
      </w:r>
      <w:r w:rsidRPr="0071406F">
        <w:rPr>
          <w:rFonts w:ascii="Times New Roman" w:hAnsi="Times New Roman"/>
          <w:b/>
          <w:bCs/>
          <w:sz w:val="20"/>
          <w:szCs w:val="20"/>
        </w:rPr>
        <w:t>: Dual TCI state switching delay requirements shall base on Rel-15/16 TCI framework.</w:t>
      </w:r>
    </w:p>
    <w:tbl>
      <w:tblPr>
        <w:tblStyle w:val="TableGrid"/>
        <w:tblW w:w="0" w:type="auto"/>
        <w:tblLook w:val="04A0" w:firstRow="1" w:lastRow="0" w:firstColumn="1" w:lastColumn="0" w:noHBand="0" w:noVBand="1"/>
      </w:tblPr>
      <w:tblGrid>
        <w:gridCol w:w="9350"/>
      </w:tblGrid>
      <w:tr w:rsidR="00D35CAF" w:rsidRPr="0071406F" w14:paraId="7674380F" w14:textId="77777777" w:rsidTr="00C66DDE">
        <w:tc>
          <w:tcPr>
            <w:tcW w:w="9350" w:type="dxa"/>
          </w:tcPr>
          <w:p w14:paraId="3D3EB64E" w14:textId="77777777" w:rsidR="00D35CAF" w:rsidRPr="0071406F" w:rsidRDefault="00D35CAF" w:rsidP="00C66DDE">
            <w:pPr>
              <w:rPr>
                <w:b/>
                <w:sz w:val="20"/>
                <w:szCs w:val="20"/>
                <w:u w:val="single"/>
                <w:lang w:eastAsia="ko-KR"/>
              </w:rPr>
            </w:pPr>
            <w:r w:rsidRPr="0071406F">
              <w:rPr>
                <w:b/>
                <w:sz w:val="20"/>
                <w:szCs w:val="20"/>
                <w:u w:val="single"/>
                <w:lang w:eastAsia="ko-KR"/>
              </w:rPr>
              <w:t>Issue 1-3</w:t>
            </w:r>
            <w:r w:rsidRPr="0071406F">
              <w:rPr>
                <w:rFonts w:hint="eastAsia"/>
                <w:b/>
                <w:sz w:val="20"/>
                <w:szCs w:val="20"/>
                <w:u w:val="single"/>
              </w:rPr>
              <w:t>-</w:t>
            </w:r>
            <w:r w:rsidRPr="0071406F">
              <w:rPr>
                <w:b/>
                <w:sz w:val="20"/>
                <w:szCs w:val="20"/>
                <w:u w:val="single"/>
              </w:rPr>
              <w:t>3</w:t>
            </w:r>
            <w:r w:rsidRPr="0071406F">
              <w:rPr>
                <w:b/>
                <w:sz w:val="20"/>
                <w:szCs w:val="20"/>
                <w:u w:val="single"/>
                <w:lang w:eastAsia="ko-KR"/>
              </w:rPr>
              <w:t xml:space="preserve">: Enhancement for </w:t>
            </w:r>
            <w:r w:rsidRPr="0071406F">
              <w:rPr>
                <w:b/>
                <w:color w:val="000000"/>
                <w:sz w:val="20"/>
                <w:szCs w:val="20"/>
                <w:u w:val="single"/>
                <w:lang w:eastAsia="ko-KR"/>
              </w:rPr>
              <w:t>TCI state switching delay requirements</w:t>
            </w:r>
          </w:p>
          <w:p w14:paraId="29E4A062" w14:textId="77777777" w:rsidR="00D35CAF" w:rsidRPr="0071406F" w:rsidRDefault="00D35CAF" w:rsidP="00C66DDE">
            <w:pPr>
              <w:pStyle w:val="ListParagraph"/>
              <w:widowControl/>
              <w:numPr>
                <w:ilvl w:val="0"/>
                <w:numId w:val="2"/>
              </w:numPr>
              <w:autoSpaceDE/>
              <w:autoSpaceDN/>
              <w:adjustRightInd/>
              <w:spacing w:after="120" w:line="240" w:lineRule="auto"/>
              <w:ind w:left="720" w:firstLineChars="0"/>
              <w:rPr>
                <w:sz w:val="20"/>
                <w:szCs w:val="20"/>
                <w:lang w:eastAsia="zh-CN"/>
              </w:rPr>
            </w:pPr>
            <w:r w:rsidRPr="0071406F">
              <w:rPr>
                <w:sz w:val="20"/>
                <w:szCs w:val="20"/>
                <w:lang w:eastAsia="zh-CN"/>
              </w:rPr>
              <w:t>Proposals</w:t>
            </w:r>
          </w:p>
          <w:p w14:paraId="42E9A578" w14:textId="77777777" w:rsidR="00D35CAF" w:rsidRPr="0071406F" w:rsidRDefault="00D35CAF" w:rsidP="00C66DDE">
            <w:pPr>
              <w:pStyle w:val="ListParagraph"/>
              <w:widowControl/>
              <w:numPr>
                <w:ilvl w:val="1"/>
                <w:numId w:val="2"/>
              </w:numPr>
              <w:autoSpaceDE/>
              <w:autoSpaceDN/>
              <w:adjustRightInd/>
              <w:spacing w:after="120" w:line="240" w:lineRule="auto"/>
              <w:ind w:left="1440" w:firstLineChars="0"/>
              <w:rPr>
                <w:sz w:val="20"/>
                <w:szCs w:val="20"/>
                <w:lang w:eastAsia="zh-CN"/>
              </w:rPr>
            </w:pPr>
            <w:r w:rsidRPr="0071406F">
              <w:rPr>
                <w:sz w:val="20"/>
                <w:szCs w:val="20"/>
                <w:lang w:eastAsia="zh-CN"/>
              </w:rPr>
              <w:t>P1: For dual TCI state switch, the legacy TCI state switch delay requirement can be reused</w:t>
            </w:r>
          </w:p>
          <w:p w14:paraId="187DCC94" w14:textId="77777777" w:rsidR="00D35CAF" w:rsidRPr="0071406F" w:rsidRDefault="00D35CAF" w:rsidP="00C66DDE">
            <w:pPr>
              <w:pStyle w:val="ListParagraph"/>
              <w:widowControl/>
              <w:numPr>
                <w:ilvl w:val="1"/>
                <w:numId w:val="2"/>
              </w:numPr>
              <w:autoSpaceDE/>
              <w:autoSpaceDN/>
              <w:adjustRightInd/>
              <w:spacing w:after="120" w:line="240" w:lineRule="auto"/>
              <w:ind w:left="1440" w:firstLineChars="0"/>
              <w:rPr>
                <w:sz w:val="20"/>
                <w:szCs w:val="20"/>
                <w:lang w:eastAsia="zh-CN"/>
              </w:rPr>
            </w:pPr>
            <w:r w:rsidRPr="0071406F">
              <w:rPr>
                <w:sz w:val="20"/>
                <w:szCs w:val="20"/>
                <w:lang w:eastAsia="zh-CN"/>
              </w:rPr>
              <w:t>P2: The new RRM requirements defined for simultaneous measurements and procedures on two chains need to apply, provided the corresponding active TCI states are configured and used for simultaneous reception during the measurement or evaluation period.</w:t>
            </w:r>
          </w:p>
          <w:p w14:paraId="2D1E1765" w14:textId="77777777" w:rsidR="00D35CAF" w:rsidRPr="0071406F" w:rsidRDefault="00D35CAF" w:rsidP="00C66DDE">
            <w:pPr>
              <w:pStyle w:val="ListParagraph"/>
              <w:widowControl/>
              <w:numPr>
                <w:ilvl w:val="1"/>
                <w:numId w:val="2"/>
              </w:numPr>
              <w:autoSpaceDE/>
              <w:autoSpaceDN/>
              <w:adjustRightInd/>
              <w:spacing w:after="120" w:line="240" w:lineRule="auto"/>
              <w:ind w:left="1440" w:firstLineChars="0"/>
              <w:rPr>
                <w:sz w:val="20"/>
                <w:szCs w:val="20"/>
                <w:lang w:eastAsia="zh-CN"/>
              </w:rPr>
            </w:pPr>
            <w:r w:rsidRPr="0071406F">
              <w:rPr>
                <w:sz w:val="20"/>
                <w:szCs w:val="20"/>
                <w:lang w:eastAsia="zh-CN"/>
              </w:rPr>
              <w:t>P3: The legacy TCI state switching delay requirement can apply for each RX beam.</w:t>
            </w:r>
          </w:p>
        </w:tc>
      </w:tr>
    </w:tbl>
    <w:p w14:paraId="63978465" w14:textId="77777777" w:rsidR="00D35CAF" w:rsidRPr="0071406F" w:rsidRDefault="00D35CAF" w:rsidP="00D35CAF">
      <w:pPr>
        <w:rPr>
          <w:rFonts w:ascii="Times New Roman" w:hAnsi="Times New Roman"/>
          <w:b/>
          <w:bCs/>
          <w:sz w:val="20"/>
          <w:szCs w:val="20"/>
          <w:lang w:eastAsia="en-US"/>
        </w:rPr>
      </w:pPr>
    </w:p>
    <w:p w14:paraId="46BEF4BA" w14:textId="77777777" w:rsidR="00D35CAF" w:rsidRPr="0071406F" w:rsidRDefault="00D35CAF" w:rsidP="00D35CAF">
      <w:pPr>
        <w:rPr>
          <w:rFonts w:ascii="Times New Roman" w:hAnsi="Times New Roman"/>
          <w:sz w:val="20"/>
          <w:szCs w:val="20"/>
          <w:lang w:eastAsia="en-US"/>
        </w:rPr>
      </w:pPr>
      <w:r w:rsidRPr="0071406F">
        <w:rPr>
          <w:rFonts w:ascii="Times New Roman" w:hAnsi="Times New Roman"/>
          <w:sz w:val="20"/>
          <w:szCs w:val="20"/>
          <w:lang w:eastAsia="en-US"/>
        </w:rPr>
        <w:t xml:space="preserve">From our understanding, for each RX chain, the TCI activation is assumed to be </w:t>
      </w:r>
      <w:proofErr w:type="gramStart"/>
      <w:r w:rsidRPr="0071406F">
        <w:rPr>
          <w:rFonts w:ascii="Times New Roman" w:hAnsi="Times New Roman"/>
          <w:sz w:val="20"/>
          <w:szCs w:val="20"/>
          <w:lang w:eastAsia="en-US"/>
        </w:rPr>
        <w:t>independent</w:t>
      </w:r>
      <w:proofErr w:type="gramEnd"/>
      <w:r w:rsidRPr="0071406F">
        <w:rPr>
          <w:rFonts w:ascii="Times New Roman" w:hAnsi="Times New Roman"/>
          <w:sz w:val="20"/>
          <w:szCs w:val="20"/>
          <w:lang w:eastAsia="en-US"/>
        </w:rPr>
        <w:t xml:space="preserve"> and the activation delay requirement is the same as legacy Rel-15/16. </w:t>
      </w:r>
    </w:p>
    <w:p w14:paraId="26BF5BD6" w14:textId="65C98D73" w:rsidR="00D35CAF" w:rsidRPr="0071406F" w:rsidRDefault="00D35CAF" w:rsidP="00D35CAF">
      <w:pPr>
        <w:rPr>
          <w:rFonts w:ascii="Times New Roman" w:hAnsi="Times New Roman"/>
          <w:b/>
          <w:bCs/>
          <w:sz w:val="20"/>
          <w:szCs w:val="20"/>
          <w:lang w:eastAsia="en-US"/>
        </w:rPr>
      </w:pPr>
      <w:r w:rsidRPr="0071406F">
        <w:rPr>
          <w:rFonts w:ascii="Times New Roman" w:hAnsi="Times New Roman"/>
          <w:b/>
          <w:bCs/>
          <w:sz w:val="20"/>
          <w:szCs w:val="20"/>
        </w:rPr>
        <w:t xml:space="preserve">Proposal </w:t>
      </w:r>
      <w:r w:rsidR="0022615A">
        <w:rPr>
          <w:rFonts w:ascii="Times New Roman" w:hAnsi="Times New Roman"/>
          <w:b/>
          <w:bCs/>
          <w:sz w:val="20"/>
          <w:szCs w:val="20"/>
        </w:rPr>
        <w:t>2</w:t>
      </w:r>
      <w:r w:rsidRPr="0071406F">
        <w:rPr>
          <w:rFonts w:ascii="Times New Roman" w:hAnsi="Times New Roman"/>
          <w:b/>
          <w:bCs/>
          <w:sz w:val="20"/>
          <w:szCs w:val="20"/>
        </w:rPr>
        <w:t>:</w:t>
      </w:r>
      <w:r w:rsidRPr="0071406F">
        <w:rPr>
          <w:sz w:val="20"/>
          <w:szCs w:val="20"/>
        </w:rPr>
        <w:t xml:space="preserve"> </w:t>
      </w:r>
      <w:r w:rsidRPr="0071406F">
        <w:rPr>
          <w:rFonts w:ascii="Times New Roman" w:hAnsi="Times New Roman"/>
          <w:b/>
          <w:bCs/>
          <w:sz w:val="20"/>
          <w:szCs w:val="20"/>
          <w:lang w:eastAsia="en-US"/>
        </w:rPr>
        <w:t>For dual TCI state switch, the legacy Rel-15/16 TCI state switch delay requirement can be reused.</w:t>
      </w:r>
    </w:p>
    <w:p w14:paraId="1632F989" w14:textId="77777777" w:rsidR="00D35CAF" w:rsidRPr="005F48A5" w:rsidRDefault="00D35CAF" w:rsidP="00D35CAF">
      <w:pPr>
        <w:pStyle w:val="Heading1"/>
        <w:numPr>
          <w:ilvl w:val="0"/>
          <w:numId w:val="1"/>
        </w:numPr>
        <w:rPr>
          <w:rFonts w:ascii="Times New Roman" w:hAnsi="Times New Roman"/>
        </w:rPr>
      </w:pPr>
      <w:r w:rsidRPr="005F48A5">
        <w:rPr>
          <w:rFonts w:ascii="Times New Roman" w:hAnsi="Times New Roman"/>
        </w:rPr>
        <w:t>Conclusion</w:t>
      </w:r>
    </w:p>
    <w:p w14:paraId="3C9BB99D" w14:textId="00447296" w:rsidR="00D35CAF" w:rsidRDefault="00D35CAF" w:rsidP="00D35CAF">
      <w:pPr>
        <w:rPr>
          <w:rFonts w:ascii="Times New Roman" w:hAnsi="Times New Roman"/>
          <w:sz w:val="20"/>
          <w:szCs w:val="20"/>
          <w:lang w:val="en-GB" w:eastAsia="en-US"/>
        </w:rPr>
      </w:pPr>
      <w:r w:rsidRPr="009C4A9D">
        <w:rPr>
          <w:rFonts w:ascii="Times New Roman" w:hAnsi="Times New Roman"/>
          <w:sz w:val="20"/>
          <w:szCs w:val="20"/>
          <w:lang w:val="en-GB" w:eastAsia="en-US"/>
        </w:rPr>
        <w:t>In this contribution, we provide our views regarding multi-panel simultaneous reception:</w:t>
      </w:r>
    </w:p>
    <w:p w14:paraId="329986BF" w14:textId="77777777" w:rsidR="0022615A" w:rsidRPr="0071406F" w:rsidRDefault="0022615A" w:rsidP="0022615A">
      <w:pPr>
        <w:rPr>
          <w:rFonts w:ascii="Times New Roman" w:hAnsi="Times New Roman"/>
          <w:b/>
          <w:bCs/>
          <w:sz w:val="20"/>
          <w:szCs w:val="20"/>
        </w:rPr>
      </w:pPr>
      <w:r w:rsidRPr="0071406F">
        <w:rPr>
          <w:rFonts w:ascii="Times New Roman" w:hAnsi="Times New Roman"/>
          <w:b/>
          <w:bCs/>
          <w:sz w:val="20"/>
          <w:szCs w:val="20"/>
        </w:rPr>
        <w:t xml:space="preserve">Proposal </w:t>
      </w:r>
      <w:r>
        <w:rPr>
          <w:rFonts w:ascii="Times New Roman" w:hAnsi="Times New Roman"/>
          <w:b/>
          <w:bCs/>
          <w:sz w:val="20"/>
          <w:szCs w:val="20"/>
        </w:rPr>
        <w:t>1</w:t>
      </w:r>
      <w:r w:rsidRPr="0071406F">
        <w:rPr>
          <w:rFonts w:ascii="Times New Roman" w:hAnsi="Times New Roman"/>
          <w:b/>
          <w:bCs/>
          <w:sz w:val="20"/>
          <w:szCs w:val="20"/>
        </w:rPr>
        <w:t>: Dual TCI state switching delay requirements shall base on Rel-15/16 TCI framework.</w:t>
      </w:r>
    </w:p>
    <w:p w14:paraId="2D2492CA" w14:textId="77777777" w:rsidR="0022615A" w:rsidRPr="0071406F" w:rsidRDefault="0022615A" w:rsidP="0022615A">
      <w:pPr>
        <w:rPr>
          <w:rFonts w:ascii="Times New Roman" w:hAnsi="Times New Roman"/>
          <w:b/>
          <w:bCs/>
          <w:sz w:val="20"/>
          <w:szCs w:val="20"/>
          <w:lang w:eastAsia="en-US"/>
        </w:rPr>
      </w:pPr>
      <w:r w:rsidRPr="0071406F">
        <w:rPr>
          <w:rFonts w:ascii="Times New Roman" w:hAnsi="Times New Roman"/>
          <w:b/>
          <w:bCs/>
          <w:sz w:val="20"/>
          <w:szCs w:val="20"/>
        </w:rPr>
        <w:t xml:space="preserve">Proposal </w:t>
      </w:r>
      <w:r>
        <w:rPr>
          <w:rFonts w:ascii="Times New Roman" w:hAnsi="Times New Roman"/>
          <w:b/>
          <w:bCs/>
          <w:sz w:val="20"/>
          <w:szCs w:val="20"/>
        </w:rPr>
        <w:t>2</w:t>
      </w:r>
      <w:r w:rsidRPr="0071406F">
        <w:rPr>
          <w:rFonts w:ascii="Times New Roman" w:hAnsi="Times New Roman"/>
          <w:b/>
          <w:bCs/>
          <w:sz w:val="20"/>
          <w:szCs w:val="20"/>
        </w:rPr>
        <w:t>:</w:t>
      </w:r>
      <w:r w:rsidRPr="0071406F">
        <w:rPr>
          <w:sz w:val="20"/>
          <w:szCs w:val="20"/>
        </w:rPr>
        <w:t xml:space="preserve"> </w:t>
      </w:r>
      <w:r w:rsidRPr="0071406F">
        <w:rPr>
          <w:rFonts w:ascii="Times New Roman" w:hAnsi="Times New Roman"/>
          <w:b/>
          <w:bCs/>
          <w:sz w:val="20"/>
          <w:szCs w:val="20"/>
          <w:lang w:eastAsia="en-US"/>
        </w:rPr>
        <w:t>For dual TCI state switch, the legacy Rel-15/16 TCI state switch delay requirement can be reused.</w:t>
      </w:r>
    </w:p>
    <w:p w14:paraId="64D318F4" w14:textId="77777777" w:rsidR="00D35CAF" w:rsidRPr="005F48A5" w:rsidRDefault="00D35CAF" w:rsidP="00D35CAF">
      <w:pPr>
        <w:pStyle w:val="Heading1"/>
        <w:numPr>
          <w:ilvl w:val="0"/>
          <w:numId w:val="1"/>
        </w:numPr>
        <w:rPr>
          <w:rFonts w:ascii="Times New Roman" w:hAnsi="Times New Roman"/>
        </w:rPr>
      </w:pPr>
      <w:r w:rsidRPr="005F48A5">
        <w:rPr>
          <w:rFonts w:ascii="Times New Roman" w:hAnsi="Times New Roman"/>
        </w:rPr>
        <w:t xml:space="preserve">Reference </w:t>
      </w:r>
    </w:p>
    <w:p w14:paraId="117146E6" w14:textId="77777777" w:rsidR="00D35CAF" w:rsidRPr="00A359EB" w:rsidRDefault="00D35CAF" w:rsidP="00D35CAF">
      <w:pPr>
        <w:rPr>
          <w:rFonts w:ascii="Times New Roman" w:hAnsi="Times New Roman"/>
          <w:sz w:val="20"/>
          <w:szCs w:val="20"/>
          <w:lang w:val="en-GB" w:eastAsia="en-US"/>
        </w:rPr>
      </w:pPr>
      <w:r w:rsidRPr="00A359EB">
        <w:rPr>
          <w:rFonts w:ascii="Times New Roman" w:hAnsi="Times New Roman"/>
          <w:sz w:val="20"/>
          <w:szCs w:val="20"/>
          <w:lang w:val="en-GB" w:eastAsia="en-US"/>
        </w:rPr>
        <w:t xml:space="preserve">[1] R4-2214344, </w:t>
      </w:r>
      <w:r w:rsidRPr="00A359EB">
        <w:rPr>
          <w:rFonts w:ascii="Times New Roman" w:hAnsi="Times New Roman"/>
          <w:sz w:val="20"/>
          <w:szCs w:val="20"/>
        </w:rPr>
        <w:t>WF on FR2 multi-Rx RRM, vivo</w:t>
      </w:r>
    </w:p>
    <w:p w14:paraId="41B99B81" w14:textId="77777777" w:rsidR="00D35CAF" w:rsidRPr="005F48A5" w:rsidRDefault="00D35CAF" w:rsidP="00D35CAF">
      <w:pPr>
        <w:rPr>
          <w:rFonts w:ascii="Times New Roman" w:hAnsi="Times New Roman"/>
          <w:b/>
          <w:bCs/>
          <w:sz w:val="20"/>
          <w:szCs w:val="20"/>
          <w:lang w:val="en-GB" w:eastAsia="en-US"/>
        </w:rPr>
      </w:pPr>
    </w:p>
    <w:p w14:paraId="088F7550" w14:textId="77777777" w:rsidR="00D35CAF" w:rsidRPr="00FD4D80" w:rsidRDefault="00D35CAF" w:rsidP="00D35CAF">
      <w:pPr>
        <w:rPr>
          <w:lang w:val="en-GB"/>
        </w:rPr>
      </w:pPr>
    </w:p>
    <w:p w14:paraId="54887EAB" w14:textId="77777777" w:rsidR="00691D7C" w:rsidRPr="00D35CAF" w:rsidRDefault="00877CA8" w:rsidP="00D35CAF">
      <w:pPr>
        <w:rPr>
          <w:lang w:val="en-GB"/>
        </w:rPr>
      </w:pPr>
    </w:p>
    <w:sectPr w:rsidR="00691D7C" w:rsidRPr="00D35C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CAF"/>
    <w:rsid w:val="000E1452"/>
    <w:rsid w:val="001F5373"/>
    <w:rsid w:val="00215A5F"/>
    <w:rsid w:val="0022615A"/>
    <w:rsid w:val="00264A4D"/>
    <w:rsid w:val="00325276"/>
    <w:rsid w:val="003B3CB9"/>
    <w:rsid w:val="003B5E00"/>
    <w:rsid w:val="003D0D44"/>
    <w:rsid w:val="00443E39"/>
    <w:rsid w:val="00451B92"/>
    <w:rsid w:val="005F2ED8"/>
    <w:rsid w:val="006634CF"/>
    <w:rsid w:val="006E64DF"/>
    <w:rsid w:val="00705718"/>
    <w:rsid w:val="00775B4A"/>
    <w:rsid w:val="007E3A4F"/>
    <w:rsid w:val="00823C7C"/>
    <w:rsid w:val="00854B6A"/>
    <w:rsid w:val="00877CA8"/>
    <w:rsid w:val="00882435"/>
    <w:rsid w:val="008A0C2A"/>
    <w:rsid w:val="008A6258"/>
    <w:rsid w:val="00915AC3"/>
    <w:rsid w:val="009640D1"/>
    <w:rsid w:val="009F40FC"/>
    <w:rsid w:val="00A408F3"/>
    <w:rsid w:val="00AE3FFB"/>
    <w:rsid w:val="00B67102"/>
    <w:rsid w:val="00BC0E8D"/>
    <w:rsid w:val="00C0171E"/>
    <w:rsid w:val="00C02C0A"/>
    <w:rsid w:val="00C34A72"/>
    <w:rsid w:val="00C84BC2"/>
    <w:rsid w:val="00CA4800"/>
    <w:rsid w:val="00CD3B4A"/>
    <w:rsid w:val="00D35CAF"/>
    <w:rsid w:val="00DE4F1F"/>
    <w:rsid w:val="00EE0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231C"/>
  <w15:chartTrackingRefBased/>
  <w15:docId w15:val="{168FF0D5-F688-4FA9-AF35-9C54F3406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15A"/>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D35CA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35CAF"/>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D35CAF"/>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35CAF"/>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35CAF"/>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35CAF"/>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D35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D35CAF"/>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D35CAF"/>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2731</Characters>
  <Application>Microsoft Office Word</Application>
  <DocSecurity>0</DocSecurity>
  <Lines>22</Lines>
  <Paragraphs>6</Paragraphs>
  <ScaleCrop>false</ScaleCrop>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2022-09-29T12:29:00Z</dcterms:created>
  <dcterms:modified xsi:type="dcterms:W3CDTF">2022-09-29T12:29:00Z</dcterms:modified>
</cp:coreProperties>
</file>