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0440"/>
          <w:tab w:val="right" w:pos="13323"/>
        </w:tabs>
        <w:spacing w:after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hAnsi="Arial" w:eastAsia="MS Mincho" w:cs="Arial"/>
          <w:b/>
          <w:sz w:val="24"/>
          <w:szCs w:val="24"/>
        </w:rPr>
        <w:tab/>
      </w:r>
      <w:r>
        <w:rPr>
          <w:rFonts w:ascii="Arial" w:hAnsi="Arial" w:eastAsia="MS Mincho" w:cs="Arial"/>
          <w:b/>
          <w:sz w:val="24"/>
          <w:szCs w:val="24"/>
        </w:rPr>
        <w:t>R4-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221xxxx</w:t>
      </w:r>
    </w:p>
    <w:p>
      <w:pPr>
        <w:tabs>
          <w:tab w:val="right" w:pos="10440"/>
          <w:tab w:val="right" w:pos="13323"/>
        </w:tabs>
        <w:spacing w:after="240" w:afterLines="10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26 Aug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>
      <w:pPr>
        <w:tabs>
          <w:tab w:val="left" w:pos="1985"/>
        </w:tabs>
        <w:jc w:val="both"/>
        <w:rPr>
          <w:rFonts w:hint="default"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 xml:space="preserve">WF on </w:t>
      </w:r>
      <w:r>
        <w:rPr>
          <w:rFonts w:hint="eastAsia" w:ascii="Arial" w:hAnsi="Arial" w:cs="Arial"/>
          <w:sz w:val="22"/>
          <w:lang w:val="en-US" w:eastAsia="zh-CN"/>
        </w:rPr>
        <w:t>ATG BS RF requirements</w:t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eastAsia="宋体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 xml:space="preserve">     </w:t>
      </w:r>
      <w:bookmarkStart w:id="2" w:name="_GoBack"/>
      <w:bookmarkEnd w:id="2"/>
      <w:r>
        <w:rPr>
          <w:rFonts w:hint="eastAsia" w:ascii="Arial" w:hAnsi="Arial" w:cs="Arial"/>
          <w:color w:val="000000"/>
          <w:sz w:val="22"/>
          <w:lang w:eastAsia="zh-CN"/>
        </w:rPr>
        <w:t>11.12.5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sz w:val="22"/>
          <w:lang w:val="en-US" w:eastAsia="zh-CN"/>
        </w:rPr>
        <w:t>ZTE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>
      <w:pPr>
        <w:pStyle w:val="2"/>
        <w:rPr>
          <w:sz w:val="28"/>
          <w:szCs w:val="28"/>
          <w:lang w:val="en-US" w:eastAsia="ja-JP"/>
        </w:rPr>
      </w:pPr>
      <w:r>
        <w:rPr>
          <w:sz w:val="28"/>
          <w:szCs w:val="28"/>
        </w:rPr>
        <w:t>Topic #</w:t>
      </w:r>
      <w:r>
        <w:rPr>
          <w:rFonts w:hint="eastAsia"/>
          <w:sz w:val="28"/>
          <w:szCs w:val="28"/>
          <w:lang w:val="en-US" w:eastAsia="zh-CN"/>
        </w:rPr>
        <w:t>3 ATG BS RF requirements</w:t>
      </w:r>
    </w:p>
    <w:p>
      <w:pPr>
        <w:rPr>
          <w:lang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3-2-1: ATG BS class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default"/>
          <w:b w:val="0"/>
          <w:bCs w:val="0"/>
          <w:iCs/>
          <w:highlight w:val="none"/>
          <w:lang w:val="en-US" w:eastAsia="zh-CN"/>
        </w:rPr>
      </w:pPr>
      <w:r>
        <w:rPr>
          <w:rFonts w:hint="eastAsia"/>
          <w:b w:val="0"/>
          <w:bCs w:val="0"/>
          <w:iCs/>
          <w:highlight w:val="none"/>
          <w:lang w:val="en-US" w:eastAsia="zh-CN"/>
        </w:rPr>
        <w:t>4 companies support the following option 1 and one company say this need the coexistence study and WA BS might be reused, since the majority of view are fine with option 1, it</w:t>
      </w:r>
      <w:r>
        <w:rPr>
          <w:rFonts w:hint="default"/>
          <w:b w:val="0"/>
          <w:bCs w:val="0"/>
          <w:iCs/>
          <w:highlight w:val="none"/>
          <w:lang w:val="en-US" w:eastAsia="zh-CN"/>
        </w:rPr>
        <w:t>’</w:t>
      </w:r>
      <w:r>
        <w:rPr>
          <w:rFonts w:hint="eastAsia"/>
          <w:b w:val="0"/>
          <w:bCs w:val="0"/>
          <w:iCs/>
          <w:highlight w:val="none"/>
          <w:lang w:val="en-US" w:eastAsia="zh-CN"/>
        </w:rPr>
        <w:t>s proposed to agree on option 1 as baseline and further discuss the altitude value in 2</w:t>
      </w:r>
      <w:r>
        <w:rPr>
          <w:rFonts w:hint="eastAsia"/>
          <w:b w:val="0"/>
          <w:bCs w:val="0"/>
          <w:iCs/>
          <w:highlight w:val="none"/>
          <w:vertAlign w:val="superscript"/>
          <w:lang w:val="en-US" w:eastAsia="zh-CN"/>
        </w:rPr>
        <w:t>nd</w:t>
      </w:r>
      <w:r>
        <w:rPr>
          <w:rFonts w:hint="eastAsia"/>
          <w:b w:val="0"/>
          <w:bCs w:val="0"/>
          <w:iCs/>
          <w:highlight w:val="none"/>
          <w:lang w:val="en-US" w:eastAsia="zh-CN"/>
        </w:rPr>
        <w:t xml:space="preserve"> round.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eastAsia="Yu Mincho"/>
          <w:i/>
          <w:color w:val="0070C0"/>
          <w:lang w:val="en-US" w:eastAsia="zh-CN"/>
        </w:rPr>
      </w:pPr>
      <w:r>
        <w:rPr>
          <w:rFonts w:hint="eastAsia" w:eastAsia="Yu Mincho"/>
          <w:i/>
          <w:color w:val="0070C0"/>
          <w:lang w:val="en-US" w:eastAsia="zh-CN"/>
        </w:rPr>
        <w:t>Agreements:</w:t>
      </w:r>
    </w:p>
    <w:p>
      <w:pPr>
        <w:pStyle w:val="87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="1446" w:hanging="363" w:firstLineChars="0"/>
        <w:textAlignment w:val="auto"/>
        <w:rPr>
          <w:rFonts w:eastAsiaTheme="minorEastAsia"/>
          <w:color w:val="0070C0"/>
          <w:szCs w:val="24"/>
          <w:lang w:eastAsia="zh-CN"/>
        </w:rPr>
      </w:pPr>
      <w:r>
        <w:rPr>
          <w:rFonts w:eastAsiaTheme="minorEastAsia"/>
          <w:color w:val="0070C0"/>
          <w:szCs w:val="24"/>
          <w:lang w:eastAsia="zh-CN"/>
        </w:rPr>
        <w:t xml:space="preserve"> O</w:t>
      </w:r>
      <w:r>
        <w:rPr>
          <w:rFonts w:hint="eastAsia" w:eastAsiaTheme="minorEastAsia"/>
          <w:color w:val="0070C0"/>
          <w:szCs w:val="24"/>
          <w:lang w:eastAsia="zh-CN"/>
        </w:rPr>
        <w:t>ption1:</w:t>
      </w:r>
      <w:r>
        <w:rPr>
          <w:rFonts w:hint="eastAsia" w:eastAsiaTheme="minorEastAsia"/>
          <w:color w:val="0070C0"/>
          <w:szCs w:val="24"/>
          <w:lang w:val="en-US" w:eastAsia="zh-CN"/>
        </w:rPr>
        <w:t xml:space="preserve"> to follow the HAPS approach</w:t>
      </w:r>
    </w:p>
    <w:p>
      <w:pPr>
        <w:pStyle w:val="87"/>
        <w:overflowPunct/>
        <w:autoSpaceDE/>
        <w:autoSpaceDN/>
        <w:adjustRightInd/>
        <w:spacing w:after="120"/>
        <w:ind w:left="1080" w:firstLine="0" w:firstLineChars="0"/>
        <w:textAlignment w:val="auto"/>
        <w:rPr>
          <w:rFonts w:hint="eastAsia" w:eastAsiaTheme="minorEastAsia"/>
          <w:color w:val="0070C0"/>
          <w:szCs w:val="24"/>
          <w:lang w:eastAsia="zh-CN"/>
        </w:rPr>
      </w:pPr>
      <w:r>
        <w:rPr>
          <w:rFonts w:hint="eastAsia" w:eastAsiaTheme="minorEastAsia"/>
          <w:color w:val="0070C0"/>
          <w:szCs w:val="24"/>
          <w:lang w:eastAsia="zh-CN"/>
        </w:rPr>
        <w:t>-</w:t>
      </w:r>
      <w:r>
        <w:rPr>
          <w:rFonts w:hint="eastAsia" w:eastAsiaTheme="minorEastAsia"/>
          <w:color w:val="0070C0"/>
          <w:szCs w:val="24"/>
          <w:lang w:eastAsia="zh-CN"/>
        </w:rPr>
        <w:tab/>
      </w:r>
      <w:r>
        <w:rPr>
          <w:rFonts w:hint="eastAsia" w:eastAsiaTheme="minorEastAsia"/>
          <w:color w:val="0070C0"/>
          <w:szCs w:val="24"/>
          <w:lang w:eastAsia="zh-CN"/>
        </w:rPr>
        <w:t xml:space="preserve">ATG Base Stations are characterized by requirements derived from ATG scenarios with a ground BS to air UE with typical vertical altitude range </w:t>
      </w:r>
      <w:r>
        <w:rPr>
          <w:rFonts w:hint="eastAsia" w:eastAsiaTheme="minorEastAsia"/>
          <w:color w:val="0070C0"/>
          <w:szCs w:val="24"/>
          <w:lang w:val="en-US" w:eastAsia="zh-CN"/>
        </w:rPr>
        <w:t xml:space="preserve">[TBD </w:t>
      </w:r>
      <w:r>
        <w:rPr>
          <w:rFonts w:hint="eastAsia" w:eastAsiaTheme="minorEastAsia"/>
          <w:color w:val="0070C0"/>
          <w:szCs w:val="24"/>
          <w:lang w:eastAsia="zh-CN"/>
        </w:rPr>
        <w:t>km</w:t>
      </w:r>
      <w:r>
        <w:rPr>
          <w:rFonts w:hint="eastAsia" w:eastAsiaTheme="minorEastAsia"/>
          <w:color w:val="0070C0"/>
          <w:szCs w:val="24"/>
          <w:lang w:val="en-US" w:eastAsia="zh-CN"/>
        </w:rPr>
        <w:t>]</w:t>
      </w:r>
      <w:r>
        <w:rPr>
          <w:rFonts w:hint="eastAsia" w:eastAsiaTheme="minorEastAsia"/>
          <w:color w:val="0070C0"/>
          <w:szCs w:val="24"/>
          <w:lang w:eastAsia="zh-CN"/>
        </w:rPr>
        <w:t>.</w:t>
      </w:r>
    </w:p>
    <w:p>
      <w:pPr>
        <w:pStyle w:val="87"/>
        <w:overflowPunct/>
        <w:autoSpaceDE/>
        <w:autoSpaceDN/>
        <w:adjustRightInd/>
        <w:spacing w:after="120"/>
        <w:ind w:left="1080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eastAsiaTheme="minorEastAsia"/>
          <w:color w:val="0070C0"/>
          <w:szCs w:val="24"/>
          <w:lang w:eastAsia="zh-CN"/>
        </w:rPr>
        <w:t>-</w:t>
      </w:r>
      <w:r>
        <w:rPr>
          <w:rFonts w:hint="eastAsia" w:eastAsiaTheme="minorEastAsia"/>
          <w:color w:val="0070C0"/>
          <w:szCs w:val="24"/>
          <w:lang w:eastAsia="zh-CN"/>
        </w:rPr>
        <w:tab/>
      </w:r>
      <w:r>
        <w:rPr>
          <w:rFonts w:hint="eastAsia" w:eastAsiaTheme="minorEastAsia"/>
          <w:color w:val="0070C0"/>
          <w:szCs w:val="24"/>
          <w:lang w:val="en-US" w:eastAsia="zh-CN"/>
        </w:rPr>
        <w:t>Further discuss the typical vertical altitude range</w:t>
      </w:r>
    </w:p>
    <w:p>
      <w:pPr>
        <w:spacing w:after="120" w:afterLines="50"/>
        <w:rPr>
          <w:lang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3-2-2: ATG BS type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default"/>
          <w:b w:val="0"/>
          <w:bCs w:val="0"/>
          <w:iCs/>
          <w:highlight w:val="none"/>
          <w:lang w:val="en-US" w:eastAsia="zh-CN"/>
        </w:rPr>
      </w:pPr>
      <w:r>
        <w:rPr>
          <w:rFonts w:hint="eastAsia"/>
          <w:b w:val="0"/>
          <w:bCs w:val="0"/>
          <w:iCs/>
          <w:highlight w:val="none"/>
          <w:lang w:val="en-US" w:eastAsia="zh-CN"/>
        </w:rPr>
        <w:t>2 companies clearly support the option 2 and one company support the option 1 and one company slight prefer option 1. It</w:t>
      </w:r>
      <w:r>
        <w:rPr>
          <w:rFonts w:hint="default"/>
          <w:b w:val="0"/>
          <w:bCs w:val="0"/>
          <w:iCs/>
          <w:highlight w:val="none"/>
          <w:lang w:val="en-US" w:eastAsia="zh-CN"/>
        </w:rPr>
        <w:t>’</w:t>
      </w:r>
      <w:r>
        <w:rPr>
          <w:rFonts w:hint="eastAsia"/>
          <w:b w:val="0"/>
          <w:bCs w:val="0"/>
          <w:iCs/>
          <w:highlight w:val="none"/>
          <w:lang w:val="en-US" w:eastAsia="zh-CN"/>
        </w:rPr>
        <w:t>s proposed to agree on BS type 1-H and BS type 1-O firstly and then further discuss BS type 1-C.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eastAsia="Yu Mincho"/>
          <w:i/>
          <w:color w:val="0070C0"/>
          <w:lang w:val="en-US" w:eastAsia="zh-CN"/>
        </w:rPr>
      </w:pPr>
      <w:r>
        <w:rPr>
          <w:rFonts w:hint="eastAsia" w:eastAsia="Yu Mincho"/>
          <w:i/>
          <w:color w:val="0070C0"/>
          <w:lang w:val="en-US" w:eastAsia="zh-CN"/>
        </w:rPr>
        <w:t xml:space="preserve"> Agreements: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eastAsia="Yu Mincho"/>
          <w:i/>
          <w:color w:val="0070C0"/>
          <w:lang w:val="en-US" w:eastAsia="zh-CN"/>
        </w:rPr>
      </w:pPr>
      <w:r>
        <w:rPr>
          <w:rFonts w:hint="eastAsia" w:eastAsia="Yu Mincho"/>
          <w:i/>
          <w:color w:val="0070C0"/>
          <w:lang w:val="en-US" w:eastAsia="zh-CN"/>
        </w:rPr>
        <w:t xml:space="preserve">             Agree to support the BS type 1-H and BS type 1-O, FFS for BS type 1-C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eastAsia="Yu Mincho"/>
          <w:i/>
          <w:color w:val="0070C0"/>
          <w:lang w:val="en-US" w:eastAsia="zh-CN"/>
        </w:rPr>
      </w:pPr>
    </w:p>
    <w:p>
      <w:pPr>
        <w:pStyle w:val="3"/>
        <w:rPr>
          <w:rFonts w:hint="eastAsia" w:ascii="Arial" w:hAnsi="Arial" w:eastAsia="宋体" w:cs="Times New Roman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Times New Roman"/>
          <w:sz w:val="24"/>
          <w:szCs w:val="24"/>
          <w:lang w:val="en-US" w:eastAsia="zh-CN" w:bidi="ar-SA"/>
        </w:rPr>
        <w:t>Issue 3-2-3: ATG BS RF requirements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/>
          <w:b w:val="0"/>
          <w:bCs w:val="0"/>
          <w:iCs/>
          <w:highlight w:val="none"/>
          <w:lang w:val="en-US" w:eastAsia="zh-CN"/>
        </w:rPr>
      </w:pPr>
      <w:r>
        <w:rPr>
          <w:rFonts w:hint="eastAsia"/>
          <w:b w:val="0"/>
          <w:bCs w:val="0"/>
          <w:iCs/>
          <w:highlight w:val="none"/>
          <w:lang w:val="en-US" w:eastAsia="zh-CN"/>
        </w:rPr>
        <w:t>Discussion on ATG BS RF requirement is a bit high level, since this is first meeting. For ACLR, unwanted emission mask/ACS requirement, this should depend on the coexistence study outcome and it</w:t>
      </w:r>
      <w:r>
        <w:rPr>
          <w:rFonts w:hint="default"/>
          <w:b w:val="0"/>
          <w:bCs w:val="0"/>
          <w:iCs/>
          <w:highlight w:val="none"/>
          <w:lang w:val="en-US" w:eastAsia="zh-CN"/>
        </w:rPr>
        <w:t>’</w:t>
      </w:r>
      <w:r>
        <w:rPr>
          <w:rFonts w:hint="eastAsia"/>
          <w:b w:val="0"/>
          <w:bCs w:val="0"/>
          <w:iCs/>
          <w:highlight w:val="none"/>
          <w:lang w:val="en-US" w:eastAsia="zh-CN"/>
        </w:rPr>
        <w:t>s premature to agree on option 2 at current stage.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default"/>
          <w:b w:val="0"/>
          <w:bCs w:val="0"/>
          <w:iCs/>
          <w:highlight w:val="none"/>
          <w:lang w:val="en-US" w:eastAsia="zh-CN"/>
        </w:rPr>
      </w:pPr>
      <w:r>
        <w:rPr>
          <w:rFonts w:hint="eastAsia"/>
          <w:b w:val="0"/>
          <w:bCs w:val="0"/>
          <w:iCs/>
          <w:highlight w:val="none"/>
          <w:lang w:val="en-US" w:eastAsia="zh-CN"/>
        </w:rPr>
        <w:t>The following RF requirements highlighted in yellow, these requirements need more discussions in 2</w:t>
      </w:r>
      <w:r>
        <w:rPr>
          <w:rFonts w:hint="eastAsia"/>
          <w:b w:val="0"/>
          <w:bCs w:val="0"/>
          <w:iCs/>
          <w:highlight w:val="none"/>
          <w:vertAlign w:val="superscript"/>
          <w:lang w:val="en-US" w:eastAsia="zh-CN"/>
        </w:rPr>
        <w:t>nd</w:t>
      </w:r>
      <w:r>
        <w:rPr>
          <w:rFonts w:hint="eastAsia"/>
          <w:b w:val="0"/>
          <w:bCs w:val="0"/>
          <w:iCs/>
          <w:highlight w:val="none"/>
          <w:lang w:val="en-US" w:eastAsia="zh-CN"/>
        </w:rPr>
        <w:t xml:space="preserve"> round.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eastAsia="Yu Mincho"/>
          <w:i/>
          <w:color w:val="0070C0"/>
          <w:lang w:val="en-US" w:eastAsia="zh-CN"/>
        </w:rPr>
      </w:pPr>
      <w:r>
        <w:rPr>
          <w:rFonts w:hint="eastAsia" w:eastAsia="Yu Mincho"/>
          <w:i/>
          <w:color w:val="0070C0"/>
          <w:lang w:val="en-US" w:eastAsia="zh-CN"/>
        </w:rPr>
        <w:t>Potential Agreements for other RF requirements except for ACLR/ACS: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6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  <w:shd w:val="clear" w:color="auto" w:fill="D7D7D7" w:themeFill="background1" w:themeFillShade="D8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Tx requirements</w:t>
            </w:r>
          </w:p>
        </w:tc>
        <w:tc>
          <w:tcPr>
            <w:tcW w:w="6194" w:type="dxa"/>
            <w:shd w:val="clear" w:color="auto" w:fill="D7D7D7" w:themeFill="background1" w:themeFillShade="D8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Proposal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bookmarkStart w:id="0" w:name="_Toc24574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gNB output power</w:t>
            </w:r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ATG BS should belong to the Wide area BS type and its maximum output power should be left up to the declaration.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bookmarkStart w:id="1" w:name="_Toc22538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Output power dynamics</w:t>
            </w:r>
            <w:bookmarkEnd w:id="1"/>
          </w:p>
        </w:tc>
        <w:tc>
          <w:tcPr>
            <w:tcW w:w="6194" w:type="dxa"/>
            <w:vAlign w:val="top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RE power control dynamic range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reuse the existing requirement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Total power dynamic range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reuse the total power dynamic range of TS 38.104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Transmit ON/OFF power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reuse the existing requirement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Transmitted signal quality</w:t>
            </w:r>
          </w:p>
        </w:tc>
        <w:tc>
          <w:tcPr>
            <w:tcW w:w="6194" w:type="dxa"/>
          </w:tcPr>
          <w:p>
            <w:pPr>
              <w:pStyle w:val="71"/>
              <w:tabs>
                <w:tab w:val="left" w:pos="2474"/>
              </w:tabs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Frequency error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reuse the same requirement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Modulation quality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reuse the same requirement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Time alignment error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 xml:space="preserve">This is not applicable for ATG BS 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Since its channel characteristic is difficult to support the MIMO which is similar as NR over NTN in Rel-17.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Unwanted emissions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Occupied bandwidth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To reuse the same requirement defined in TS38.104 which is following </w:t>
            </w:r>
            <w:r>
              <w:rPr>
                <w:rFonts w:cs="v4.2.0"/>
              </w:rPr>
              <w:t>ITU-R Recommendation SM.328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Adjacent Channel Leakage Power Ratio</w:t>
            </w:r>
          </w:p>
        </w:tc>
        <w:tc>
          <w:tcPr>
            <w:tcW w:w="61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="Yu Mincho"/>
                <w:i/>
                <w:color w:val="0070C0"/>
                <w:lang w:val="en-US" w:eastAsia="zh-CN"/>
              </w:rPr>
            </w:pPr>
            <w:r>
              <w:rPr>
                <w:rFonts w:hint="eastAsia" w:eastAsia="Yu Mincho"/>
                <w:i/>
                <w:color w:val="0070C0"/>
                <w:lang w:val="en-US" w:eastAsia="zh-CN"/>
              </w:rPr>
              <w:t>Agreements for ACLR,unwanted emission mask and ACS: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70C0"/>
                <w:szCs w:val="24"/>
                <w:lang w:val="en-US" w:eastAsia="zh-CN"/>
              </w:rPr>
              <w:t>for ACLR, UEM/ACS requirement, this should depend on the coexistence study outcome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Operating band unwanted emissions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="Yu Mincho"/>
                <w:i/>
                <w:color w:val="0070C0"/>
                <w:lang w:val="en-US" w:eastAsia="zh-CN"/>
              </w:rPr>
            </w:pPr>
            <w:r>
              <w:rPr>
                <w:rFonts w:hint="eastAsia" w:eastAsia="Yu Mincho"/>
                <w:i/>
                <w:color w:val="0070C0"/>
                <w:lang w:val="en-US" w:eastAsia="zh-CN"/>
              </w:rPr>
              <w:t>Agreements for ACLR and ACS: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70C0"/>
                <w:szCs w:val="24"/>
                <w:lang w:val="en-US" w:eastAsia="zh-CN"/>
              </w:rPr>
              <w:t>for ACLR, UEM/ACS requirement, this should depend on the coexistence study outcome 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Transmitter spurious emissions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reuse the same spurious emission requirement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Transmitter intermodulation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Not applicable 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since it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s supposed to have no surrounding interfering gNB next to gNB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  <w:shd w:val="clear" w:color="auto" w:fill="D7D7D7" w:themeFill="background1" w:themeFillShade="D8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Rx requirement</w:t>
            </w:r>
          </w:p>
        </w:tc>
        <w:tc>
          <w:tcPr>
            <w:tcW w:w="6194" w:type="dxa"/>
            <w:shd w:val="clear" w:color="auto" w:fill="D7D7D7" w:themeFill="background1" w:themeFillShade="D8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Reference sensitivity level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reuse the same reference requirements for Wide Area BS defined in TS 38.104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Dynamic range 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Since IoT of ATG BS is supposed to quite low compared with IoT level of the legacy TN BS, it</w:t>
            </w:r>
            <w:r>
              <w:rPr>
                <w:rFonts w:hint="default"/>
                <w:highlight w:val="yellow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s sufficient to reuse the existing requirement for Wide Area BS defined in TS 38.104.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ACS</w:t>
            </w:r>
          </w:p>
        </w:tc>
        <w:tc>
          <w:tcPr>
            <w:tcW w:w="619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="Yu Mincho"/>
                <w:i/>
                <w:color w:val="0070C0"/>
                <w:lang w:val="en-US" w:eastAsia="zh-CN"/>
              </w:rPr>
            </w:pPr>
            <w:r>
              <w:rPr>
                <w:rFonts w:hint="eastAsia" w:eastAsia="Yu Mincho"/>
                <w:i/>
                <w:color w:val="0070C0"/>
                <w:lang w:val="en-US" w:eastAsia="zh-CN"/>
              </w:rPr>
              <w:t>Agreements for ACLR and ACS:</w:t>
            </w:r>
          </w:p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70C0"/>
                <w:szCs w:val="24"/>
                <w:lang w:val="en-US" w:eastAsia="zh-CN"/>
              </w:rPr>
              <w:t>for ACLR, UEM/ACS requirement, this should depend on the coexistence study outcome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In-band blocking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This depends on the outcome of coexistence study.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Out of band blocking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To reuse OOBB power level as -15dBm for ATG BS which should be sufficient enough.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Receiver spurious emission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To reuse the requirements defined in TS 38.104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Receiver intermodulation</w:t>
            </w:r>
          </w:p>
        </w:tc>
        <w:tc>
          <w:tcPr>
            <w:tcW w:w="6194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Similar as transmitter intermodulation requirements, not applicable since it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s supposed to have no surrounding interfering gNB next to gNB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pStyle w:val="71"/>
              <w:bidi w:val="0"/>
              <w:ind w:left="0" w:leftChars="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In-channel selectivity</w:t>
            </w:r>
          </w:p>
        </w:tc>
        <w:tc>
          <w:tcPr>
            <w:tcW w:w="6194" w:type="dxa"/>
          </w:tcPr>
          <w:p>
            <w:pPr>
              <w:rPr>
                <w:rFonts w:hint="default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Similar as dynamic range requirements, the IoT of ATG BS is supposed to quite low compared with IoT level of the legacy TN BS, it</w:t>
            </w:r>
            <w:r>
              <w:rPr>
                <w:rFonts w:hint="default"/>
                <w:highlight w:val="yellow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s sufficient to reuse the existing requirement for Wide Area BS defined in TS 38.104.</w:t>
            </w:r>
          </w:p>
        </w:tc>
      </w:tr>
    </w:tbl>
    <w:p>
      <w:pPr>
        <w:rPr>
          <w:iCs/>
          <w:lang w:val="en-US" w:eastAsia="zh-CN"/>
        </w:rPr>
      </w:pPr>
    </w:p>
    <w:p>
      <w:pPr>
        <w:pStyle w:val="87"/>
        <w:spacing w:after="120"/>
        <w:ind w:firstLine="0" w:firstLineChars="0"/>
        <w:rPr>
          <w:szCs w:val="24"/>
          <w:lang w:eastAsia="zh-CN"/>
        </w:rPr>
      </w:pPr>
    </w:p>
    <w:sectPr>
      <w:footnotePr>
        <w:numRestart w:val="eachSect"/>
      </w:footnotePr>
      <w:pgSz w:w="11907" w:h="16840"/>
      <w:pgMar w:top="720" w:right="720" w:bottom="720" w:left="720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1">
    <w:nsid w:val="72C71936"/>
    <w:multiLevelType w:val="multilevel"/>
    <w:tmpl w:val="72C7193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hyphenationZone w:val="425"/>
  <w:drawingGridHorizontalSpacing w:val="100"/>
  <w:drawingGridVerticalSpacing w:val="156"/>
  <w:noPunctuationKerning w:val="1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A56FAB"/>
    <w:rsid w:val="02207A05"/>
    <w:rsid w:val="023114DC"/>
    <w:rsid w:val="029401D0"/>
    <w:rsid w:val="02C75875"/>
    <w:rsid w:val="033676B5"/>
    <w:rsid w:val="0360625D"/>
    <w:rsid w:val="03A80371"/>
    <w:rsid w:val="04573544"/>
    <w:rsid w:val="04A33028"/>
    <w:rsid w:val="04A8786A"/>
    <w:rsid w:val="04C21305"/>
    <w:rsid w:val="05D52A67"/>
    <w:rsid w:val="063467E5"/>
    <w:rsid w:val="067D2939"/>
    <w:rsid w:val="067E7AFF"/>
    <w:rsid w:val="072C24E3"/>
    <w:rsid w:val="081852B6"/>
    <w:rsid w:val="090F1D8C"/>
    <w:rsid w:val="096C5763"/>
    <w:rsid w:val="0A467BD4"/>
    <w:rsid w:val="0A7A3A6F"/>
    <w:rsid w:val="0AB35C28"/>
    <w:rsid w:val="0AC70E4D"/>
    <w:rsid w:val="0C9639D1"/>
    <w:rsid w:val="0D6F3147"/>
    <w:rsid w:val="0DA4580A"/>
    <w:rsid w:val="0E7C32F1"/>
    <w:rsid w:val="0F302047"/>
    <w:rsid w:val="0F9A6DFD"/>
    <w:rsid w:val="0FC21761"/>
    <w:rsid w:val="10370C76"/>
    <w:rsid w:val="10502D2C"/>
    <w:rsid w:val="114B0315"/>
    <w:rsid w:val="114F50F0"/>
    <w:rsid w:val="11513D9D"/>
    <w:rsid w:val="11A056A8"/>
    <w:rsid w:val="11A669BC"/>
    <w:rsid w:val="12184B7C"/>
    <w:rsid w:val="12562F4F"/>
    <w:rsid w:val="12A467FF"/>
    <w:rsid w:val="12E62365"/>
    <w:rsid w:val="131A32F7"/>
    <w:rsid w:val="13303256"/>
    <w:rsid w:val="141C5906"/>
    <w:rsid w:val="142D2518"/>
    <w:rsid w:val="14304C8C"/>
    <w:rsid w:val="14774D1A"/>
    <w:rsid w:val="148131EC"/>
    <w:rsid w:val="14E9666F"/>
    <w:rsid w:val="155D054E"/>
    <w:rsid w:val="15B6151F"/>
    <w:rsid w:val="15B67958"/>
    <w:rsid w:val="1638470C"/>
    <w:rsid w:val="16B769EB"/>
    <w:rsid w:val="17307051"/>
    <w:rsid w:val="17637892"/>
    <w:rsid w:val="18217321"/>
    <w:rsid w:val="18615A28"/>
    <w:rsid w:val="1886040C"/>
    <w:rsid w:val="18B25C57"/>
    <w:rsid w:val="18B451EE"/>
    <w:rsid w:val="18E04972"/>
    <w:rsid w:val="19337DCC"/>
    <w:rsid w:val="19453C57"/>
    <w:rsid w:val="1AD15F16"/>
    <w:rsid w:val="1B2D79CD"/>
    <w:rsid w:val="1C067DE7"/>
    <w:rsid w:val="1C91599E"/>
    <w:rsid w:val="1C9408FD"/>
    <w:rsid w:val="1D1835B6"/>
    <w:rsid w:val="1D741944"/>
    <w:rsid w:val="1D9416B2"/>
    <w:rsid w:val="1EC919BF"/>
    <w:rsid w:val="1F9B19AE"/>
    <w:rsid w:val="1FB73AAB"/>
    <w:rsid w:val="20153BA1"/>
    <w:rsid w:val="20501486"/>
    <w:rsid w:val="20891E56"/>
    <w:rsid w:val="2148239E"/>
    <w:rsid w:val="216653B0"/>
    <w:rsid w:val="22202406"/>
    <w:rsid w:val="22956388"/>
    <w:rsid w:val="22A1313E"/>
    <w:rsid w:val="234931CD"/>
    <w:rsid w:val="23792988"/>
    <w:rsid w:val="238508AF"/>
    <w:rsid w:val="24931E5E"/>
    <w:rsid w:val="24E710A5"/>
    <w:rsid w:val="24FD0C42"/>
    <w:rsid w:val="25001F1C"/>
    <w:rsid w:val="253B23BF"/>
    <w:rsid w:val="25E124ED"/>
    <w:rsid w:val="262A0FC5"/>
    <w:rsid w:val="267E0B13"/>
    <w:rsid w:val="27542B52"/>
    <w:rsid w:val="275814A9"/>
    <w:rsid w:val="2759520B"/>
    <w:rsid w:val="28031259"/>
    <w:rsid w:val="28151B92"/>
    <w:rsid w:val="29850FFF"/>
    <w:rsid w:val="29F7110B"/>
    <w:rsid w:val="2A152875"/>
    <w:rsid w:val="2ABC2482"/>
    <w:rsid w:val="2AE62C95"/>
    <w:rsid w:val="2AE91593"/>
    <w:rsid w:val="2B03249C"/>
    <w:rsid w:val="2B322E2E"/>
    <w:rsid w:val="2BB03F73"/>
    <w:rsid w:val="2BF5313F"/>
    <w:rsid w:val="2C4E0F14"/>
    <w:rsid w:val="2CD7184A"/>
    <w:rsid w:val="2E2339D3"/>
    <w:rsid w:val="2E46730F"/>
    <w:rsid w:val="2E5C466B"/>
    <w:rsid w:val="2E643F62"/>
    <w:rsid w:val="2EB86A5A"/>
    <w:rsid w:val="2F8B1999"/>
    <w:rsid w:val="302442D9"/>
    <w:rsid w:val="303460F0"/>
    <w:rsid w:val="305808D2"/>
    <w:rsid w:val="31AE0F7B"/>
    <w:rsid w:val="32D73973"/>
    <w:rsid w:val="32F644CA"/>
    <w:rsid w:val="33024B42"/>
    <w:rsid w:val="337C596E"/>
    <w:rsid w:val="34211DC3"/>
    <w:rsid w:val="34457C7B"/>
    <w:rsid w:val="34E838FF"/>
    <w:rsid w:val="35CE36F4"/>
    <w:rsid w:val="36425C10"/>
    <w:rsid w:val="36545850"/>
    <w:rsid w:val="365509D9"/>
    <w:rsid w:val="36E376B5"/>
    <w:rsid w:val="374851A2"/>
    <w:rsid w:val="38114253"/>
    <w:rsid w:val="38E40EC7"/>
    <w:rsid w:val="397B2105"/>
    <w:rsid w:val="39992131"/>
    <w:rsid w:val="399D0C47"/>
    <w:rsid w:val="39F76E63"/>
    <w:rsid w:val="3A141F6C"/>
    <w:rsid w:val="3A165225"/>
    <w:rsid w:val="3A3A37F9"/>
    <w:rsid w:val="3A7C2502"/>
    <w:rsid w:val="3AA052FB"/>
    <w:rsid w:val="3B0F4575"/>
    <w:rsid w:val="3B447DC6"/>
    <w:rsid w:val="3BA50EFF"/>
    <w:rsid w:val="3C916A88"/>
    <w:rsid w:val="3CA95CFB"/>
    <w:rsid w:val="3D604A2D"/>
    <w:rsid w:val="3D636270"/>
    <w:rsid w:val="3D895406"/>
    <w:rsid w:val="3D946AC2"/>
    <w:rsid w:val="3DD526CA"/>
    <w:rsid w:val="3E217D33"/>
    <w:rsid w:val="3F5B2C54"/>
    <w:rsid w:val="401B2443"/>
    <w:rsid w:val="410913DA"/>
    <w:rsid w:val="41542A12"/>
    <w:rsid w:val="41940949"/>
    <w:rsid w:val="41D506BB"/>
    <w:rsid w:val="41EF7F1F"/>
    <w:rsid w:val="43205793"/>
    <w:rsid w:val="4335357A"/>
    <w:rsid w:val="43F438D8"/>
    <w:rsid w:val="44302DF3"/>
    <w:rsid w:val="44B40D3D"/>
    <w:rsid w:val="450B6A79"/>
    <w:rsid w:val="45B17F93"/>
    <w:rsid w:val="45DA3853"/>
    <w:rsid w:val="45FA07D0"/>
    <w:rsid w:val="467D52CE"/>
    <w:rsid w:val="46917266"/>
    <w:rsid w:val="48297809"/>
    <w:rsid w:val="486A7EDB"/>
    <w:rsid w:val="48FE69A5"/>
    <w:rsid w:val="4930333B"/>
    <w:rsid w:val="49724F29"/>
    <w:rsid w:val="49934D61"/>
    <w:rsid w:val="4B9C56DF"/>
    <w:rsid w:val="4BB12379"/>
    <w:rsid w:val="4BF837D2"/>
    <w:rsid w:val="4C401BFB"/>
    <w:rsid w:val="4CC40142"/>
    <w:rsid w:val="4D3A3368"/>
    <w:rsid w:val="4D661BD9"/>
    <w:rsid w:val="4DF23AA7"/>
    <w:rsid w:val="4E0B7D64"/>
    <w:rsid w:val="4E3C6CFA"/>
    <w:rsid w:val="4EB57F2A"/>
    <w:rsid w:val="4F441E2A"/>
    <w:rsid w:val="4F742231"/>
    <w:rsid w:val="4F85712F"/>
    <w:rsid w:val="4F9B779E"/>
    <w:rsid w:val="4FA10E05"/>
    <w:rsid w:val="5037224D"/>
    <w:rsid w:val="50912F82"/>
    <w:rsid w:val="50D40D95"/>
    <w:rsid w:val="51832F88"/>
    <w:rsid w:val="518F5CDD"/>
    <w:rsid w:val="521238CB"/>
    <w:rsid w:val="52A60C1E"/>
    <w:rsid w:val="53517A6B"/>
    <w:rsid w:val="53956DC5"/>
    <w:rsid w:val="53A03BFA"/>
    <w:rsid w:val="53A52556"/>
    <w:rsid w:val="53A96824"/>
    <w:rsid w:val="54A605D4"/>
    <w:rsid w:val="54D6764B"/>
    <w:rsid w:val="54F01EEF"/>
    <w:rsid w:val="55387FCD"/>
    <w:rsid w:val="55940B01"/>
    <w:rsid w:val="55BF6693"/>
    <w:rsid w:val="562B6CEE"/>
    <w:rsid w:val="568E6375"/>
    <w:rsid w:val="56BC1ECE"/>
    <w:rsid w:val="57300C98"/>
    <w:rsid w:val="57431A44"/>
    <w:rsid w:val="5751351F"/>
    <w:rsid w:val="57F81E57"/>
    <w:rsid w:val="58505756"/>
    <w:rsid w:val="5895248C"/>
    <w:rsid w:val="58A70901"/>
    <w:rsid w:val="58E27CE2"/>
    <w:rsid w:val="599A3124"/>
    <w:rsid w:val="59C50A90"/>
    <w:rsid w:val="5A7B667C"/>
    <w:rsid w:val="5A9C15E1"/>
    <w:rsid w:val="5AB318EC"/>
    <w:rsid w:val="5CA21F53"/>
    <w:rsid w:val="5D166FA1"/>
    <w:rsid w:val="5D64614D"/>
    <w:rsid w:val="5D6F0A1C"/>
    <w:rsid w:val="5ED955F8"/>
    <w:rsid w:val="5F317902"/>
    <w:rsid w:val="5F645C40"/>
    <w:rsid w:val="6077058D"/>
    <w:rsid w:val="608D1FBB"/>
    <w:rsid w:val="60D661AE"/>
    <w:rsid w:val="614B0980"/>
    <w:rsid w:val="61B665C4"/>
    <w:rsid w:val="624108BA"/>
    <w:rsid w:val="62F31145"/>
    <w:rsid w:val="63AC0B80"/>
    <w:rsid w:val="640D4579"/>
    <w:rsid w:val="645A59DA"/>
    <w:rsid w:val="64F1679F"/>
    <w:rsid w:val="6535386A"/>
    <w:rsid w:val="656E1EA5"/>
    <w:rsid w:val="66A41C30"/>
    <w:rsid w:val="67E003A2"/>
    <w:rsid w:val="68373100"/>
    <w:rsid w:val="68960123"/>
    <w:rsid w:val="68985CF0"/>
    <w:rsid w:val="68CD05A2"/>
    <w:rsid w:val="692C67D9"/>
    <w:rsid w:val="69EF54FA"/>
    <w:rsid w:val="6AC64296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D7E311D"/>
    <w:rsid w:val="6DBB2DC6"/>
    <w:rsid w:val="6E675472"/>
    <w:rsid w:val="6E7B4B6C"/>
    <w:rsid w:val="6EBA4107"/>
    <w:rsid w:val="6F0A3EB4"/>
    <w:rsid w:val="6F21030C"/>
    <w:rsid w:val="6F8D2E83"/>
    <w:rsid w:val="70025C90"/>
    <w:rsid w:val="70C608BE"/>
    <w:rsid w:val="712F05F8"/>
    <w:rsid w:val="7159098D"/>
    <w:rsid w:val="71652EE0"/>
    <w:rsid w:val="71996A62"/>
    <w:rsid w:val="71C550FA"/>
    <w:rsid w:val="72746F41"/>
    <w:rsid w:val="731B117A"/>
    <w:rsid w:val="74453431"/>
    <w:rsid w:val="74600BBC"/>
    <w:rsid w:val="7480655E"/>
    <w:rsid w:val="74B963D7"/>
    <w:rsid w:val="75532172"/>
    <w:rsid w:val="756537CF"/>
    <w:rsid w:val="75A04E0F"/>
    <w:rsid w:val="75BD0535"/>
    <w:rsid w:val="760D3446"/>
    <w:rsid w:val="76237E13"/>
    <w:rsid w:val="763C35C2"/>
    <w:rsid w:val="76816645"/>
    <w:rsid w:val="76843750"/>
    <w:rsid w:val="76913F70"/>
    <w:rsid w:val="771C1592"/>
    <w:rsid w:val="774F4848"/>
    <w:rsid w:val="778575B4"/>
    <w:rsid w:val="7797669F"/>
    <w:rsid w:val="77C07083"/>
    <w:rsid w:val="77D671B1"/>
    <w:rsid w:val="7867307F"/>
    <w:rsid w:val="78881741"/>
    <w:rsid w:val="78A70FCA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F12B0C"/>
    <w:rsid w:val="7C1B749B"/>
    <w:rsid w:val="7CF746F0"/>
    <w:rsid w:val="7D190D9F"/>
    <w:rsid w:val="7D417001"/>
    <w:rsid w:val="7D7A6B81"/>
    <w:rsid w:val="7D8037CA"/>
    <w:rsid w:val="7E122E21"/>
    <w:rsid w:val="7E5C3A73"/>
    <w:rsid w:val="7EDF6B91"/>
    <w:rsid w:val="7EFE6536"/>
    <w:rsid w:val="7F9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8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9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2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0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91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1"/>
    <w:next w:val="1"/>
    <w:link w:val="67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9">
    <w:name w:val="heading 8"/>
    <w:basedOn w:val="2"/>
    <w:next w:val="1"/>
    <w:link w:val="65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68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ind w:left="1418"/>
    </w:pPr>
  </w:style>
  <w:style w:type="paragraph" w:styleId="24">
    <w:name w:val="List Bullet 3"/>
    <w:basedOn w:val="25"/>
    <w:qFormat/>
    <w:uiPriority w:val="0"/>
    <w:pPr>
      <w:ind w:left="1135"/>
    </w:pPr>
  </w:style>
  <w:style w:type="paragraph" w:styleId="25">
    <w:name w:val="List Bullet 2"/>
    <w:basedOn w:val="26"/>
    <w:qFormat/>
    <w:uiPriority w:val="0"/>
    <w:pPr>
      <w:ind w:left="851"/>
    </w:pPr>
  </w:style>
  <w:style w:type="paragraph" w:styleId="26">
    <w:name w:val="List Bullet"/>
    <w:basedOn w:val="13"/>
    <w:qFormat/>
    <w:uiPriority w:val="0"/>
  </w:style>
  <w:style w:type="paragraph" w:styleId="27">
    <w:name w:val="caption"/>
    <w:basedOn w:val="1"/>
    <w:next w:val="1"/>
    <w:link w:val="111"/>
    <w:qFormat/>
    <w:uiPriority w:val="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28">
    <w:name w:val="Document Map"/>
    <w:basedOn w:val="1"/>
    <w:link w:val="66"/>
    <w:unhideWhenUsed/>
    <w:qFormat/>
    <w:uiPriority w:val="0"/>
    <w:rPr>
      <w:rFonts w:ascii="宋体"/>
      <w:sz w:val="18"/>
      <w:szCs w:val="18"/>
    </w:rPr>
  </w:style>
  <w:style w:type="paragraph" w:styleId="29">
    <w:name w:val="annotation text"/>
    <w:basedOn w:val="1"/>
    <w:link w:val="103"/>
    <w:qFormat/>
    <w:uiPriority w:val="99"/>
  </w:style>
  <w:style w:type="paragraph" w:styleId="30">
    <w:name w:val="Body Text"/>
    <w:basedOn w:val="1"/>
    <w:link w:val="80"/>
    <w:qFormat/>
    <w:uiPriority w:val="0"/>
  </w:style>
  <w:style w:type="paragraph" w:styleId="31">
    <w:name w:val="Plain Text"/>
    <w:basedOn w:val="1"/>
    <w:link w:val="104"/>
    <w:qFormat/>
    <w:uiPriority w:val="99"/>
    <w:rPr>
      <w:rFonts w:ascii="Courier New" w:hAnsi="Courier New"/>
      <w:lang w:val="nb-NO"/>
    </w:rPr>
  </w:style>
  <w:style w:type="paragraph" w:styleId="32">
    <w:name w:val="List Bullet 5"/>
    <w:basedOn w:val="23"/>
    <w:qFormat/>
    <w:uiPriority w:val="0"/>
    <w:pPr>
      <w:ind w:left="1702"/>
    </w:pPr>
  </w:style>
  <w:style w:type="paragraph" w:styleId="33">
    <w:name w:val="toc 8"/>
    <w:basedOn w:val="20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Date"/>
    <w:basedOn w:val="1"/>
    <w:next w:val="1"/>
    <w:link w:val="101"/>
    <w:unhideWhenUsed/>
    <w:qFormat/>
    <w:uiPriority w:val="99"/>
    <w:pPr>
      <w:ind w:left="100" w:leftChars="2500"/>
    </w:pPr>
  </w:style>
  <w:style w:type="paragraph" w:styleId="35">
    <w:name w:val="Body Text Indent 2"/>
    <w:basedOn w:val="1"/>
    <w:link w:val="105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7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63"/>
    <w:unhideWhenUsed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1"/>
    <w:link w:val="10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9">
    <w:name w:val="header"/>
    <w:basedOn w:val="1"/>
    <w:link w:val="5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58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1"/>
    <w:qFormat/>
    <w:uiPriority w:val="0"/>
    <w:pPr>
      <w:ind w:left="1418"/>
    </w:pPr>
  </w:style>
  <w:style w:type="paragraph" w:styleId="44">
    <w:name w:val="toc 9"/>
    <w:basedOn w:val="33"/>
    <w:next w:val="1"/>
    <w:qFormat/>
    <w:uiPriority w:val="0"/>
    <w:pPr>
      <w:ind w:left="1418" w:hanging="1418"/>
    </w:pPr>
  </w:style>
  <w:style w:type="paragraph" w:styleId="4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46">
    <w:name w:val="index 1"/>
    <w:basedOn w:val="1"/>
    <w:next w:val="1"/>
    <w:unhideWhenUsed/>
    <w:qFormat/>
    <w:uiPriority w:val="0"/>
    <w:pPr>
      <w:ind w:left="200" w:hanging="200"/>
    </w:pPr>
  </w:style>
  <w:style w:type="paragraph" w:styleId="47">
    <w:name w:val="index 2"/>
    <w:basedOn w:val="46"/>
    <w:next w:val="1"/>
    <w:semiHidden/>
    <w:qFormat/>
    <w:uiPriority w:val="0"/>
    <w:pPr>
      <w:keepLines/>
      <w:spacing w:after="0"/>
      <w:ind w:left="284" w:firstLine="0"/>
    </w:pPr>
  </w:style>
  <w:style w:type="paragraph" w:styleId="48">
    <w:name w:val="annotation subject"/>
    <w:basedOn w:val="29"/>
    <w:next w:val="29"/>
    <w:link w:val="106"/>
    <w:qFormat/>
    <w:uiPriority w:val="0"/>
    <w:rPr>
      <w:b/>
      <w:bCs/>
    </w:rPr>
  </w:style>
  <w:style w:type="table" w:styleId="50">
    <w:name w:val="Table Grid"/>
    <w:basedOn w:val="4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character" w:customStyle="1" w:styleId="58">
    <w:name w:val="脚注文本 字符"/>
    <w:link w:val="41"/>
    <w:semiHidden/>
    <w:qFormat/>
    <w:uiPriority w:val="0"/>
    <w:rPr>
      <w:rFonts w:ascii="Times New Roman" w:hAnsi="Times New Roman"/>
      <w:sz w:val="16"/>
      <w:lang w:eastAsia="en-US"/>
    </w:rPr>
  </w:style>
  <w:style w:type="character" w:customStyle="1" w:styleId="59">
    <w:name w:val="页眉 字符"/>
    <w:link w:val="39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60">
    <w:name w:val="TAH Car"/>
    <w:link w:val="61"/>
    <w:qFormat/>
    <w:uiPriority w:val="99"/>
    <w:rPr>
      <w:rFonts w:ascii="Arial" w:hAnsi="Arial" w:eastAsia="Times New Roman" w:cs="Arial"/>
      <w:b/>
      <w:bCs/>
      <w:sz w:val="18"/>
      <w:szCs w:val="18"/>
      <w:lang w:val="en-GB" w:eastAsia="ja-JP"/>
    </w:rPr>
  </w:style>
  <w:style w:type="paragraph" w:customStyle="1" w:styleId="61">
    <w:name w:val="TAH"/>
    <w:basedOn w:val="1"/>
    <w:link w:val="60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hAnsi="Arial" w:eastAsia="Times New Roman"/>
      <w:b/>
      <w:bCs/>
      <w:sz w:val="18"/>
      <w:szCs w:val="18"/>
      <w:lang w:eastAsia="ja-JP"/>
    </w:rPr>
  </w:style>
  <w:style w:type="character" w:customStyle="1" w:styleId="62">
    <w:name w:val="标题 3 字符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63">
    <w:name w:val="批注框文本 字符"/>
    <w:link w:val="37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64">
    <w:name w:val="标题 7 字符"/>
    <w:link w:val="8"/>
    <w:qFormat/>
    <w:uiPriority w:val="0"/>
    <w:rPr>
      <w:rFonts w:ascii="Arial" w:hAnsi="Arial"/>
      <w:lang w:eastAsia="en-US"/>
    </w:rPr>
  </w:style>
  <w:style w:type="character" w:customStyle="1" w:styleId="65">
    <w:name w:val="标题 8 字符"/>
    <w:link w:val="9"/>
    <w:qFormat/>
    <w:uiPriority w:val="0"/>
    <w:rPr>
      <w:rFonts w:ascii="Arial" w:hAnsi="Arial"/>
      <w:sz w:val="36"/>
      <w:lang w:eastAsia="en-US"/>
    </w:rPr>
  </w:style>
  <w:style w:type="character" w:customStyle="1" w:styleId="66">
    <w:name w:val="文档结构图 字符"/>
    <w:link w:val="28"/>
    <w:semiHidden/>
    <w:qFormat/>
    <w:uiPriority w:val="0"/>
    <w:rPr>
      <w:rFonts w:ascii="宋体" w:hAnsi="Times New Roman"/>
      <w:sz w:val="18"/>
      <w:szCs w:val="18"/>
      <w:lang w:val="en-GB" w:eastAsia="en-US"/>
    </w:rPr>
  </w:style>
  <w:style w:type="character" w:customStyle="1" w:styleId="67">
    <w:name w:val="标题 6 字符"/>
    <w:link w:val="7"/>
    <w:qFormat/>
    <w:uiPriority w:val="0"/>
    <w:rPr>
      <w:rFonts w:ascii="Arial" w:hAnsi="Arial"/>
      <w:lang w:eastAsia="en-US"/>
    </w:rPr>
  </w:style>
  <w:style w:type="character" w:customStyle="1" w:styleId="68">
    <w:name w:val="标题 9 字符"/>
    <w:link w:val="10"/>
    <w:qFormat/>
    <w:uiPriority w:val="0"/>
    <w:rPr>
      <w:rFonts w:ascii="Arial" w:hAnsi="Arial"/>
      <w:sz w:val="36"/>
      <w:lang w:eastAsia="en-US"/>
    </w:rPr>
  </w:style>
  <w:style w:type="character" w:customStyle="1" w:styleId="69">
    <w:name w:val="TAL Char"/>
    <w:qFormat/>
    <w:uiPriority w:val="0"/>
    <w:rPr>
      <w:rFonts w:ascii="Arial" w:hAnsi="Arial"/>
      <w:sz w:val="18"/>
      <w:lang w:eastAsia="en-US"/>
    </w:rPr>
  </w:style>
  <w:style w:type="character" w:customStyle="1" w:styleId="70">
    <w:name w:val="NO Char"/>
    <w:link w:val="71"/>
    <w:qFormat/>
    <w:uiPriority w:val="0"/>
    <w:rPr>
      <w:rFonts w:ascii="Times New Roman" w:hAnsi="Times New Roman"/>
      <w:lang w:val="zh-CN" w:eastAsia="en-US"/>
    </w:rPr>
  </w:style>
  <w:style w:type="paragraph" w:customStyle="1" w:styleId="71">
    <w:name w:val="NO"/>
    <w:basedOn w:val="1"/>
    <w:link w:val="70"/>
    <w:qFormat/>
    <w:uiPriority w:val="0"/>
    <w:pPr>
      <w:keepLines/>
      <w:ind w:left="1135" w:hanging="851"/>
    </w:pPr>
    <w:rPr>
      <w:lang w:val="zh-CN"/>
    </w:rPr>
  </w:style>
  <w:style w:type="character" w:customStyle="1" w:styleId="72">
    <w:name w:val="尾注文本 字符"/>
    <w:link w:val="36"/>
    <w:qFormat/>
    <w:uiPriority w:val="0"/>
    <w:rPr>
      <w:rFonts w:ascii="Times New Roman" w:hAnsi="Times New Roman" w:eastAsia="Yu Mincho"/>
      <w:lang w:eastAsia="en-US"/>
    </w:rPr>
  </w:style>
  <w:style w:type="character" w:customStyle="1" w:styleId="73">
    <w:name w:val="3GPP Normal Text Char"/>
    <w:link w:val="74"/>
    <w:qFormat/>
    <w:uiPriority w:val="0"/>
    <w:rPr>
      <w:rFonts w:ascii="Times New Roman" w:hAnsi="Times New Roman" w:eastAsia="MS Mincho"/>
      <w:sz w:val="22"/>
      <w:szCs w:val="24"/>
      <w:lang w:val="zh-CN" w:eastAsia="zh-CN"/>
    </w:rPr>
  </w:style>
  <w:style w:type="paragraph" w:customStyle="1" w:styleId="74">
    <w:name w:val="3GPP Normal Text"/>
    <w:basedOn w:val="30"/>
    <w:link w:val="73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75">
    <w:name w:val="ZGSM"/>
    <w:qFormat/>
    <w:uiPriority w:val="0"/>
  </w:style>
  <w:style w:type="character" w:customStyle="1" w:styleId="76">
    <w:name w:val="CR Cover Page Char"/>
    <w:link w:val="77"/>
    <w:qFormat/>
    <w:uiPriority w:val="0"/>
    <w:rPr>
      <w:rFonts w:ascii="Arial" w:hAnsi="Arial"/>
      <w:lang w:eastAsia="en-US"/>
    </w:rPr>
  </w:style>
  <w:style w:type="paragraph" w:customStyle="1" w:styleId="77">
    <w:name w:val="CR Cover Page"/>
    <w:link w:val="76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78">
    <w:name w:val="样式 页眉 Char"/>
    <w:link w:val="79"/>
    <w:qFormat/>
    <w:uiPriority w:val="0"/>
    <w:rPr>
      <w:rFonts w:ascii="Arial" w:hAnsi="Arial" w:eastAsia="Arial"/>
      <w:b/>
      <w:bCs/>
      <w:sz w:val="22"/>
      <w:lang w:eastAsia="en-US"/>
    </w:rPr>
  </w:style>
  <w:style w:type="paragraph" w:customStyle="1" w:styleId="79">
    <w:name w:val="样式 页眉"/>
    <w:basedOn w:val="39"/>
    <w:link w:val="78"/>
    <w:qFormat/>
    <w:uiPriority w:val="0"/>
    <w:pPr>
      <w:widowControl w:val="0"/>
      <w:pBdr>
        <w:bottom w:val="none" w:color="auto" w:sz="0" w:space="0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hAnsi="Arial" w:eastAsia="Arial"/>
      <w:b/>
      <w:bCs/>
      <w:sz w:val="22"/>
      <w:szCs w:val="20"/>
    </w:rPr>
  </w:style>
  <w:style w:type="character" w:customStyle="1" w:styleId="80">
    <w:name w:val="正文文本 字符"/>
    <w:link w:val="30"/>
    <w:qFormat/>
    <w:uiPriority w:val="0"/>
    <w:rPr>
      <w:rFonts w:ascii="Times New Roman" w:hAnsi="Times New Roman"/>
      <w:lang w:eastAsia="en-US"/>
    </w:rPr>
  </w:style>
  <w:style w:type="character" w:customStyle="1" w:styleId="81">
    <w:name w:val="批注主题 Char"/>
    <w:qFormat/>
    <w:uiPriority w:val="0"/>
    <w:rPr>
      <w:rFonts w:ascii="Times New Roman" w:hAnsi="Times New Roman"/>
      <w:lang w:val="en-GB" w:eastAsia="en-US"/>
    </w:rPr>
  </w:style>
  <w:style w:type="character" w:customStyle="1" w:styleId="82">
    <w:name w:val="PL Char"/>
    <w:link w:val="83"/>
    <w:qFormat/>
    <w:uiPriority w:val="0"/>
    <w:rPr>
      <w:rFonts w:ascii="Courier New" w:hAnsi="Courier New"/>
      <w:sz w:val="16"/>
      <w:lang w:eastAsia="en-US"/>
    </w:rPr>
  </w:style>
  <w:style w:type="paragraph" w:customStyle="1" w:styleId="83">
    <w:name w:val="PL"/>
    <w:link w:val="8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84">
    <w:name w:val="H6 Char"/>
    <w:link w:val="85"/>
    <w:qFormat/>
    <w:uiPriority w:val="0"/>
    <w:rPr>
      <w:rFonts w:ascii="Arial" w:hAnsi="Arial"/>
      <w:szCs w:val="18"/>
      <w:lang w:val="sv-SE" w:eastAsia="zh-CN"/>
    </w:rPr>
  </w:style>
  <w:style w:type="paragraph" w:customStyle="1" w:styleId="85">
    <w:name w:val="H6"/>
    <w:basedOn w:val="6"/>
    <w:next w:val="1"/>
    <w:link w:val="84"/>
    <w:qFormat/>
    <w:uiPriority w:val="0"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86">
    <w:name w:val="列表段落 字符"/>
    <w:link w:val="87"/>
    <w:qFormat/>
    <w:locked/>
    <w:uiPriority w:val="34"/>
    <w:rPr>
      <w:rFonts w:ascii="Times New Roman" w:hAnsi="Times New Roman"/>
      <w:lang w:eastAsia="en-US"/>
    </w:rPr>
  </w:style>
  <w:style w:type="paragraph" w:styleId="87">
    <w:name w:val="List Paragraph"/>
    <w:basedOn w:val="1"/>
    <w:link w:val="86"/>
    <w:qFormat/>
    <w:uiPriority w:val="34"/>
    <w:pPr>
      <w:ind w:firstLine="420" w:firstLineChars="200"/>
    </w:pPr>
  </w:style>
  <w:style w:type="character" w:customStyle="1" w:styleId="88">
    <w:name w:val="标题 1 字符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89">
    <w:name w:val="标题 2 字符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90">
    <w:name w:val="标题 4 字符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91">
    <w:name w:val="标题 5 字符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92">
    <w:name w:val="TAC Char"/>
    <w:link w:val="93"/>
    <w:qFormat/>
    <w:uiPriority w:val="0"/>
    <w:rPr>
      <w:rFonts w:ascii="Arial" w:hAnsi="Arial" w:eastAsia="Times New Roman"/>
      <w:sz w:val="18"/>
      <w:lang w:eastAsia="en-GB"/>
    </w:rPr>
  </w:style>
  <w:style w:type="paragraph" w:customStyle="1" w:styleId="93">
    <w:name w:val="TAC"/>
    <w:basedOn w:val="1"/>
    <w:link w:val="92"/>
    <w:qFormat/>
    <w:uiPriority w:val="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hAnsi="Arial" w:eastAsia="Times New Roman"/>
      <w:sz w:val="18"/>
      <w:lang w:val="en-US" w:eastAsia="en-GB"/>
    </w:rPr>
  </w:style>
  <w:style w:type="character" w:customStyle="1" w:styleId="94">
    <w:name w:val="TAL Car"/>
    <w:link w:val="95"/>
    <w:qFormat/>
    <w:locked/>
    <w:uiPriority w:val="0"/>
    <w:rPr>
      <w:rFonts w:ascii="Arial" w:hAnsi="Arial" w:cs="Arial"/>
      <w:sz w:val="18"/>
      <w:szCs w:val="18"/>
      <w:lang w:val="en-GB" w:eastAsia="ja-JP"/>
    </w:rPr>
  </w:style>
  <w:style w:type="paragraph" w:customStyle="1" w:styleId="95">
    <w:name w:val="TAL"/>
    <w:basedOn w:val="1"/>
    <w:link w:val="94"/>
    <w:qFormat/>
    <w:uiPriority w:val="0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96">
    <w:name w:val="TH Char"/>
    <w:link w:val="97"/>
    <w:qFormat/>
    <w:locked/>
    <w:uiPriority w:val="0"/>
    <w:rPr>
      <w:rFonts w:ascii="Arial" w:hAnsi="Arial" w:cs="Arial"/>
      <w:b/>
      <w:bCs/>
      <w:lang w:val="en-GB" w:eastAsia="ja-JP"/>
    </w:rPr>
  </w:style>
  <w:style w:type="paragraph" w:customStyle="1" w:styleId="97">
    <w:name w:val="TH"/>
    <w:basedOn w:val="1"/>
    <w:link w:val="96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98">
    <w:name w:val="TAN Char"/>
    <w:link w:val="99"/>
    <w:qFormat/>
    <w:uiPriority w:val="0"/>
    <w:rPr>
      <w:rFonts w:ascii="Arial" w:hAnsi="Arial" w:cs="Arial"/>
      <w:sz w:val="18"/>
      <w:szCs w:val="18"/>
      <w:lang w:val="en-GB" w:eastAsia="en-US"/>
    </w:rPr>
  </w:style>
  <w:style w:type="paragraph" w:customStyle="1" w:styleId="99">
    <w:name w:val="TAN"/>
    <w:basedOn w:val="95"/>
    <w:link w:val="98"/>
    <w:qFormat/>
    <w:uiPriority w:val="0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100">
    <w:name w:val="页脚 字符"/>
    <w:link w:val="38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101">
    <w:name w:val="日期 字符"/>
    <w:link w:val="34"/>
    <w:semiHidden/>
    <w:qFormat/>
    <w:uiPriority w:val="99"/>
    <w:rPr>
      <w:rFonts w:ascii="Times New Roman" w:hAnsi="Times New Roman"/>
      <w:lang w:val="en-GB" w:eastAsia="en-US"/>
    </w:rPr>
  </w:style>
  <w:style w:type="character" w:customStyle="1" w:styleId="102">
    <w:name w:val="texhtml"/>
    <w:basedOn w:val="51"/>
    <w:qFormat/>
    <w:uiPriority w:val="0"/>
  </w:style>
  <w:style w:type="character" w:customStyle="1" w:styleId="103">
    <w:name w:val="批注文字 字符"/>
    <w:link w:val="29"/>
    <w:qFormat/>
    <w:uiPriority w:val="99"/>
    <w:rPr>
      <w:rFonts w:ascii="Times New Roman" w:hAnsi="Times New Roman"/>
      <w:lang w:eastAsia="en-US"/>
    </w:rPr>
  </w:style>
  <w:style w:type="character" w:customStyle="1" w:styleId="104">
    <w:name w:val="纯文本 字符"/>
    <w:link w:val="31"/>
    <w:qFormat/>
    <w:uiPriority w:val="99"/>
    <w:rPr>
      <w:rFonts w:ascii="Courier New" w:hAnsi="Courier New"/>
      <w:lang w:val="nb-NO" w:eastAsia="en-US"/>
    </w:rPr>
  </w:style>
  <w:style w:type="character" w:customStyle="1" w:styleId="105">
    <w:name w:val="正文文本缩进 2 字符"/>
    <w:link w:val="35"/>
    <w:qFormat/>
    <w:uiPriority w:val="0"/>
    <w:rPr>
      <w:rFonts w:ascii="Arial" w:hAnsi="Arial" w:eastAsia="Yu Mincho"/>
      <w:sz w:val="22"/>
      <w:lang w:eastAsia="en-US"/>
    </w:rPr>
  </w:style>
  <w:style w:type="character" w:customStyle="1" w:styleId="106">
    <w:name w:val="批注主题 字符"/>
    <w:link w:val="48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07">
    <w:name w:val="Guidance Char"/>
    <w:link w:val="108"/>
    <w:qFormat/>
    <w:uiPriority w:val="0"/>
    <w:rPr>
      <w:rFonts w:ascii="Times New Roman" w:hAnsi="Times New Roman"/>
      <w:i/>
      <w:color w:val="0000FF"/>
      <w:lang w:val="zh-CN" w:eastAsia="en-US"/>
    </w:rPr>
  </w:style>
  <w:style w:type="paragraph" w:customStyle="1" w:styleId="108">
    <w:name w:val="Guidance"/>
    <w:basedOn w:val="1"/>
    <w:link w:val="107"/>
    <w:qFormat/>
    <w:uiPriority w:val="0"/>
    <w:rPr>
      <w:i/>
      <w:color w:val="0000FF"/>
      <w:lang w:val="zh-CN"/>
    </w:rPr>
  </w:style>
  <w:style w:type="character" w:customStyle="1" w:styleId="109">
    <w:name w:val="B1 Char"/>
    <w:link w:val="110"/>
    <w:qFormat/>
    <w:uiPriority w:val="0"/>
    <w:rPr>
      <w:rFonts w:ascii="Times New Roman" w:hAnsi="Times New Roman"/>
      <w:lang w:eastAsia="en-US"/>
    </w:rPr>
  </w:style>
  <w:style w:type="paragraph" w:customStyle="1" w:styleId="110">
    <w:name w:val="B1"/>
    <w:basedOn w:val="13"/>
    <w:link w:val="109"/>
    <w:qFormat/>
    <w:uiPriority w:val="0"/>
  </w:style>
  <w:style w:type="character" w:customStyle="1" w:styleId="111">
    <w:name w:val="题注 字符"/>
    <w:link w:val="27"/>
    <w:qFormat/>
    <w:uiPriority w:val="0"/>
    <w:rPr>
      <w:rFonts w:ascii="Times New Roman" w:hAnsi="Times New Roman"/>
      <w:b/>
      <w:bCs/>
      <w:lang w:val="en-US" w:eastAsia="en-US"/>
    </w:rPr>
  </w:style>
  <w:style w:type="character" w:customStyle="1" w:styleId="112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13">
    <w:name w:val="Subtle Reference1"/>
    <w:qFormat/>
    <w:uiPriority w:val="31"/>
    <w:rPr>
      <w:smallCaps/>
      <w:color w:val="C0504D"/>
      <w:u w:val="single"/>
    </w:rPr>
  </w:style>
  <w:style w:type="character" w:customStyle="1" w:styleId="114">
    <w:name w:val="Unresolved Mention1"/>
    <w:unhideWhenUsed/>
    <w:qFormat/>
    <w:uiPriority w:val="99"/>
    <w:rPr>
      <w:color w:val="808080"/>
      <w:shd w:val="clear" w:color="auto" w:fill="E6E6E6"/>
    </w:rPr>
  </w:style>
  <w:style w:type="character" w:customStyle="1" w:styleId="115">
    <w:name w:val="EQ Char"/>
    <w:link w:val="116"/>
    <w:qFormat/>
    <w:locked/>
    <w:uiPriority w:val="0"/>
    <w:rPr>
      <w:rFonts w:ascii="Times New Roman" w:hAnsi="Times New Roman"/>
      <w:lang w:eastAsia="en-US"/>
    </w:rPr>
  </w:style>
  <w:style w:type="paragraph" w:customStyle="1" w:styleId="116">
    <w:name w:val="EQ"/>
    <w:basedOn w:val="1"/>
    <w:next w:val="1"/>
    <w:link w:val="115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117">
    <w:name w:val="normaltextrun"/>
    <w:basedOn w:val="51"/>
    <w:qFormat/>
    <w:uiPriority w:val="0"/>
  </w:style>
  <w:style w:type="paragraph" w:customStyle="1" w:styleId="118">
    <w:name w:val="TF"/>
    <w:basedOn w:val="97"/>
    <w:qFormat/>
    <w:uiPriority w:val="0"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119">
    <w:name w:val="INDENT1"/>
    <w:basedOn w:val="1"/>
    <w:qFormat/>
    <w:uiPriority w:val="0"/>
    <w:pPr>
      <w:ind w:left="851"/>
    </w:pPr>
  </w:style>
  <w:style w:type="paragraph" w:customStyle="1" w:styleId="120">
    <w:name w:val="ZTD"/>
    <w:basedOn w:val="121"/>
    <w:qFormat/>
    <w:uiPriority w:val="0"/>
    <w:pPr>
      <w:framePr w:hRule="auto" w:y="852"/>
    </w:pPr>
    <w:rPr>
      <w:i w:val="0"/>
      <w:sz w:val="40"/>
    </w:rPr>
  </w:style>
  <w:style w:type="paragraph" w:customStyle="1" w:styleId="121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22">
    <w:name w:val="TAR"/>
    <w:basedOn w:val="95"/>
    <w:qFormat/>
    <w:uiPriority w:val="0"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123">
    <w:name w:val="B5"/>
    <w:basedOn w:val="42"/>
    <w:qFormat/>
    <w:uiPriority w:val="0"/>
  </w:style>
  <w:style w:type="paragraph" w:customStyle="1" w:styleId="124">
    <w:name w:val="B2"/>
    <w:basedOn w:val="12"/>
    <w:qFormat/>
    <w:uiPriority w:val="0"/>
  </w:style>
  <w:style w:type="paragraph" w:customStyle="1" w:styleId="125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paragraph" w:customStyle="1" w:styleId="126">
    <w:name w:val="B3"/>
    <w:basedOn w:val="11"/>
    <w:qFormat/>
    <w:uiPriority w:val="0"/>
  </w:style>
  <w:style w:type="paragraph" w:customStyle="1" w:styleId="127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28">
    <w:name w:val="TT"/>
    <w:basedOn w:val="2"/>
    <w:next w:val="1"/>
    <w:qFormat/>
    <w:uiPriority w:val="0"/>
    <w:pPr>
      <w:tabs>
        <w:tab w:val="clear" w:pos="432"/>
      </w:tabs>
      <w:outlineLvl w:val="9"/>
    </w:pPr>
    <w:rPr>
      <w:lang w:val="sv-SE"/>
    </w:rPr>
  </w:style>
  <w:style w:type="paragraph" w:customStyle="1" w:styleId="129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31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132">
    <w:name w:val="EX"/>
    <w:basedOn w:val="1"/>
    <w:qFormat/>
    <w:uiPriority w:val="0"/>
    <w:pPr>
      <w:keepLines/>
      <w:ind w:left="1702" w:hanging="1418"/>
    </w:pPr>
  </w:style>
  <w:style w:type="paragraph" w:customStyle="1" w:styleId="13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34">
    <w:name w:val="FP"/>
    <w:basedOn w:val="1"/>
    <w:qFormat/>
    <w:uiPriority w:val="0"/>
    <w:pPr>
      <w:spacing w:after="0"/>
    </w:pPr>
  </w:style>
  <w:style w:type="paragraph" w:customStyle="1" w:styleId="135">
    <w:name w:val="NW"/>
    <w:basedOn w:val="71"/>
    <w:qFormat/>
    <w:uiPriority w:val="0"/>
    <w:pPr>
      <w:spacing w:after="0"/>
    </w:pPr>
  </w:style>
  <w:style w:type="paragraph" w:customStyle="1" w:styleId="136">
    <w:name w:val="INDENT3"/>
    <w:basedOn w:val="1"/>
    <w:qFormat/>
    <w:uiPriority w:val="0"/>
    <w:pPr>
      <w:ind w:left="1701" w:hanging="567"/>
    </w:pPr>
  </w:style>
  <w:style w:type="paragraph" w:customStyle="1" w:styleId="137">
    <w:name w:val="EW"/>
    <w:basedOn w:val="132"/>
    <w:qFormat/>
    <w:uiPriority w:val="0"/>
    <w:pPr>
      <w:spacing w:after="0"/>
    </w:pPr>
  </w:style>
  <w:style w:type="paragraph" w:customStyle="1" w:styleId="138">
    <w:name w:val="Editor's Note"/>
    <w:basedOn w:val="71"/>
    <w:qFormat/>
    <w:uiPriority w:val="0"/>
    <w:rPr>
      <w:color w:val="FF0000"/>
    </w:rPr>
  </w:style>
  <w:style w:type="paragraph" w:customStyle="1" w:styleId="13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0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1">
    <w:name w:val="B4"/>
    <w:basedOn w:val="43"/>
    <w:qFormat/>
    <w:uiPriority w:val="0"/>
  </w:style>
  <w:style w:type="paragraph" w:customStyle="1" w:styleId="142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4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145">
    <w:name w:val="Revision1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46">
    <w:name w:val="ZV"/>
    <w:basedOn w:val="143"/>
    <w:qFormat/>
    <w:uiPriority w:val="0"/>
    <w:pPr>
      <w:framePr w:y="16161"/>
    </w:pPr>
  </w:style>
  <w:style w:type="paragraph" w:customStyle="1" w:styleId="147">
    <w:name w:val="INDENT2"/>
    <w:basedOn w:val="1"/>
    <w:qFormat/>
    <w:uiPriority w:val="0"/>
    <w:pPr>
      <w:ind w:left="1135" w:hanging="284"/>
    </w:pPr>
  </w:style>
  <w:style w:type="paragraph" w:customStyle="1" w:styleId="14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49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5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51">
    <w:name w:val="TAJ"/>
    <w:basedOn w:val="97"/>
    <w:qFormat/>
    <w:uiPriority w:val="0"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152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153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154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155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15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157">
    <w:name w:val="Table Grid1"/>
    <w:basedOn w:val="49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">
    <w:name w:val="Table Grid3"/>
    <w:basedOn w:val="49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10</Pages>
  <Words>1535</Words>
  <Characters>8752</Characters>
  <Lines>72</Lines>
  <Paragraphs>20</Paragraphs>
  <TotalTime>0</TotalTime>
  <ScaleCrop>false</ScaleCrop>
  <LinksUpToDate>false</LinksUpToDate>
  <CharactersWithSpaces>10267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2022-05-20T15:43:00Z</dcterms:created>
  <dc:creator>Dai Xizeng</dc:creator>
  <cp:lastModifiedBy>ZTE,Fei Xue</cp:lastModifiedBy>
  <dcterms:modified xsi:type="dcterms:W3CDTF">2022-08-22T02:52:56Z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2052-11.8.2.8875</vt:lpwstr>
  </property>
</Properties>
</file>