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6FC81CE3"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EF7425">
        <w:rPr>
          <w:rFonts w:ascii="Arial" w:hAnsi="Arial"/>
          <w:b/>
          <w:sz w:val="24"/>
          <w:szCs w:val="24"/>
        </w:rPr>
        <w:t>1</w:t>
      </w:r>
      <w:r w:rsidR="002B2C0C">
        <w:rPr>
          <w:rFonts w:ascii="Arial" w:hAnsi="Arial"/>
          <w:b/>
          <w:sz w:val="24"/>
          <w:szCs w:val="24"/>
        </w:rPr>
        <w:t>4753</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4D171843"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D42F51">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3D0A6631"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465BA7">
              <w:rPr>
                <w:rFonts w:ascii="Arial" w:hAnsi="Arial"/>
                <w:b/>
                <w:bCs/>
                <w:sz w:val="28"/>
                <w:szCs w:val="28"/>
                <w:lang w:val="fr-FR"/>
              </w:rPr>
              <w:t>7</w:t>
            </w:r>
            <w:r w:rsidRPr="00C97469">
              <w:rPr>
                <w:rFonts w:ascii="Arial" w:hAnsi="Arial"/>
                <w:b/>
                <w:bCs/>
                <w:sz w:val="28"/>
                <w:szCs w:val="28"/>
                <w:lang w:val="fr-FR"/>
              </w:rPr>
              <w:t>.</w:t>
            </w:r>
            <w:r w:rsidR="00465BA7">
              <w:rPr>
                <w:rFonts w:ascii="Arial" w:hAnsi="Arial"/>
                <w:b/>
                <w:bCs/>
                <w:sz w:val="28"/>
                <w:szCs w:val="28"/>
                <w:lang w:val="fr-FR"/>
              </w:rPr>
              <w:t>6</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F6625E3"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5A0B45">
              <w:rPr>
                <w:rFonts w:ascii="Arial" w:hAnsi="Arial"/>
                <w:lang w:val="fr-FR"/>
              </w:rPr>
              <w:t>04</w:t>
            </w:r>
            <w:r w:rsidRPr="00C97469">
              <w:rPr>
                <w:rFonts w:ascii="Arial" w:hAnsi="Arial"/>
                <w:lang w:val="fr-FR"/>
              </w:rPr>
              <w:t xml:space="preserve"> on </w:t>
            </w:r>
            <w:r w:rsidR="00657C71">
              <w:rPr>
                <w:rFonts w:ascii="Arial" w:hAnsi="Arial"/>
                <w:lang w:val="fr-FR"/>
              </w:rPr>
              <w:t xml:space="preserve">clarifications of ACLR/CACLR </w:t>
            </w:r>
            <w:proofErr w:type="spellStart"/>
            <w:r w:rsidR="00657C71">
              <w:rPr>
                <w:rFonts w:ascii="Arial" w:hAnsi="Arial"/>
                <w:lang w:val="fr-FR"/>
              </w:rPr>
              <w:t>requirements</w:t>
            </w:r>
            <w:proofErr w:type="spellEnd"/>
            <w:r w:rsidR="00657C71">
              <w:rPr>
                <w:rFonts w:ascii="Arial" w:hAnsi="Arial"/>
                <w:lang w:val="fr-FR"/>
              </w:rPr>
              <w:t xml:space="preserve"> for band n46</w:t>
            </w:r>
            <w:r w:rsidR="009E729A">
              <w:rPr>
                <w:rFonts w:ascii="Arial" w:hAnsi="Arial"/>
                <w:lang w:val="fr-FR"/>
              </w:rPr>
              <w:t>, n96</w:t>
            </w:r>
            <w:r w:rsidR="00657C71">
              <w:rPr>
                <w:rFonts w:ascii="Arial" w:hAnsi="Arial"/>
                <w:lang w:val="fr-FR"/>
              </w:rPr>
              <w:t xml:space="preserve"> and n</w:t>
            </w:r>
            <w:r w:rsidR="009E729A">
              <w:rPr>
                <w:rFonts w:ascii="Arial" w:hAnsi="Arial"/>
                <w:lang w:val="fr-FR"/>
              </w:rPr>
              <w:t>102</w:t>
            </w:r>
            <w:r w:rsidR="00D24B55">
              <w:rPr>
                <w:rFonts w:ascii="Arial" w:hAnsi="Arial"/>
                <w:lang w:val="fr-FR"/>
              </w:rPr>
              <w:t xml:space="preserve"> </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7BAF7F30" w:rsidR="00F74057" w:rsidRPr="00F74057" w:rsidRDefault="00010A14" w:rsidP="00F74057">
            <w:pPr>
              <w:spacing w:after="0"/>
              <w:ind w:left="100"/>
              <w:rPr>
                <w:rFonts w:ascii="Arial" w:hAnsi="Arial"/>
                <w:noProof/>
                <w:lang w:val="fr-FR"/>
              </w:rPr>
            </w:pPr>
            <w:r w:rsidRPr="001D3CF7">
              <w:rPr>
                <w:rFonts w:ascii="Arial" w:hAnsi="Arial"/>
                <w:lang w:val="fr-FR"/>
              </w:rPr>
              <w:t>NR_6GHz_unlic_EU-</w:t>
            </w:r>
            <w:r w:rsidR="002B2CF7">
              <w:rPr>
                <w:rFonts w:ascii="Arial" w:hAnsi="Arial"/>
                <w:lang w:val="fr-FR"/>
              </w:rPr>
              <w:t>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468D4ADB" w:rsidR="00F74057" w:rsidRPr="00F74057" w:rsidRDefault="00C97469" w:rsidP="00F74057">
            <w:pPr>
              <w:spacing w:after="0"/>
              <w:ind w:left="100"/>
              <w:rPr>
                <w:rFonts w:ascii="Arial" w:hAnsi="Arial"/>
                <w:noProof/>
                <w:lang w:val="fr-FR"/>
              </w:rPr>
            </w:pPr>
            <w:r w:rsidRPr="00C97469">
              <w:rPr>
                <w:rFonts w:ascii="Arial" w:hAnsi="Arial"/>
                <w:lang w:val="fr-FR"/>
              </w:rPr>
              <w:t>Rel-1</w:t>
            </w:r>
            <w:r w:rsidR="00010A14">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63EB9D77" w:rsidR="00F74057" w:rsidRPr="00F74057" w:rsidRDefault="00657C71" w:rsidP="00C97469">
            <w:pPr>
              <w:spacing w:after="0"/>
              <w:ind w:left="100"/>
              <w:rPr>
                <w:rFonts w:ascii="Arial" w:hAnsi="Arial"/>
                <w:noProof/>
                <w:lang w:val="fr-FR"/>
              </w:rPr>
            </w:pPr>
            <w:r>
              <w:rPr>
                <w:rFonts w:ascii="Arial" w:hAnsi="Arial"/>
                <w:lang w:val="fr-FR"/>
              </w:rPr>
              <w:t xml:space="preserve">It </w:t>
            </w:r>
            <w:proofErr w:type="spellStart"/>
            <w:r>
              <w:rPr>
                <w:rFonts w:ascii="Arial" w:hAnsi="Arial"/>
                <w:lang w:val="fr-FR"/>
              </w:rPr>
              <w:t>is</w:t>
            </w:r>
            <w:proofErr w:type="spellEnd"/>
            <w:r>
              <w:rPr>
                <w:rFonts w:ascii="Arial" w:hAnsi="Arial"/>
                <w:lang w:val="fr-FR"/>
              </w:rPr>
              <w:t xml:space="preserve"> not </w:t>
            </w:r>
            <w:proofErr w:type="spellStart"/>
            <w:r>
              <w:rPr>
                <w:rFonts w:ascii="Arial" w:hAnsi="Arial"/>
                <w:lang w:val="fr-FR"/>
              </w:rPr>
              <w:t>clear</w:t>
            </w:r>
            <w:proofErr w:type="spellEnd"/>
            <w:r>
              <w:rPr>
                <w:rFonts w:ascii="Arial" w:hAnsi="Arial"/>
                <w:lang w:val="fr-FR"/>
              </w:rPr>
              <w:t xml:space="preserve"> </w:t>
            </w:r>
            <w:proofErr w:type="spellStart"/>
            <w:r>
              <w:rPr>
                <w:rFonts w:ascii="Arial" w:hAnsi="Arial"/>
                <w:lang w:val="fr-FR"/>
              </w:rPr>
              <w:t>that</w:t>
            </w:r>
            <w:proofErr w:type="spellEnd"/>
            <w:r>
              <w:rPr>
                <w:rFonts w:ascii="Arial" w:hAnsi="Arial"/>
                <w:lang w:val="fr-FR"/>
              </w:rPr>
              <w:t xml:space="preserve"> the ACLR/CACLR </w:t>
            </w:r>
            <w:proofErr w:type="spellStart"/>
            <w:r>
              <w:rPr>
                <w:rFonts w:ascii="Arial" w:hAnsi="Arial"/>
                <w:lang w:val="fr-FR"/>
              </w:rPr>
              <w:t>limits</w:t>
            </w:r>
            <w:proofErr w:type="spellEnd"/>
            <w:r>
              <w:rPr>
                <w:rFonts w:ascii="Arial" w:hAnsi="Arial"/>
                <w:lang w:val="fr-FR"/>
              </w:rPr>
              <w:t xml:space="preserve"> </w:t>
            </w:r>
            <w:proofErr w:type="spellStart"/>
            <w:r>
              <w:rPr>
                <w:rFonts w:ascii="Arial" w:hAnsi="Arial"/>
                <w:lang w:val="fr-FR"/>
              </w:rPr>
              <w:t>specified</w:t>
            </w:r>
            <w:proofErr w:type="spellEnd"/>
            <w:r>
              <w:rPr>
                <w:rFonts w:ascii="Arial" w:hAnsi="Arial"/>
                <w:lang w:val="fr-FR"/>
              </w:rPr>
              <w:t xml:space="preserve"> for </w:t>
            </w:r>
            <w:proofErr w:type="spellStart"/>
            <w:r>
              <w:rPr>
                <w:rFonts w:ascii="Arial" w:hAnsi="Arial"/>
                <w:lang w:val="fr-FR"/>
              </w:rPr>
              <w:t>other</w:t>
            </w:r>
            <w:proofErr w:type="spellEnd"/>
            <w:r>
              <w:rPr>
                <w:rFonts w:ascii="Arial" w:hAnsi="Arial"/>
                <w:lang w:val="fr-FR"/>
              </w:rPr>
              <w:t xml:space="preserve"> bands are not applicable to band n46</w:t>
            </w:r>
            <w:r w:rsidR="00465BA7" w:rsidRPr="00FC2C9E">
              <w:rPr>
                <w:rFonts w:ascii="Arial" w:hAnsi="Arial"/>
                <w:lang w:val="fr-FR"/>
              </w:rPr>
              <w:t>, n96 and n102</w:t>
            </w:r>
            <w:r w:rsidR="00D24B5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67C0E116" w:rsidR="00F74057" w:rsidRPr="00F74057" w:rsidRDefault="004718B8" w:rsidP="00C97469">
            <w:pPr>
              <w:spacing w:after="0"/>
              <w:ind w:left="100"/>
              <w:rPr>
                <w:rFonts w:ascii="Arial" w:hAnsi="Arial"/>
                <w:noProof/>
                <w:lang w:val="fr-FR"/>
              </w:rPr>
            </w:pPr>
            <w:r>
              <w:rPr>
                <w:rFonts w:ascii="Arial" w:hAnsi="Arial"/>
                <w:noProof/>
                <w:lang w:val="fr-FR"/>
              </w:rPr>
              <w:t xml:space="preserve">Clarify </w:t>
            </w:r>
            <w:r w:rsidR="00D24B55">
              <w:rPr>
                <w:rFonts w:ascii="Arial" w:hAnsi="Arial"/>
                <w:noProof/>
                <w:lang w:val="fr-FR"/>
              </w:rPr>
              <w:t xml:space="preserve">that </w:t>
            </w:r>
            <w:r w:rsidR="00657C71">
              <w:rPr>
                <w:rFonts w:ascii="Arial" w:hAnsi="Arial"/>
                <w:lang w:val="fr-FR"/>
              </w:rPr>
              <w:t xml:space="preserve">the ACLR/CACLR </w:t>
            </w:r>
            <w:proofErr w:type="spellStart"/>
            <w:r w:rsidR="00657C71">
              <w:rPr>
                <w:rFonts w:ascii="Arial" w:hAnsi="Arial"/>
                <w:lang w:val="fr-FR"/>
              </w:rPr>
              <w:t>limits</w:t>
            </w:r>
            <w:proofErr w:type="spellEnd"/>
            <w:r w:rsidR="00657C71">
              <w:rPr>
                <w:rFonts w:ascii="Arial" w:hAnsi="Arial"/>
                <w:lang w:val="fr-FR"/>
              </w:rPr>
              <w:t xml:space="preserve"> </w:t>
            </w:r>
            <w:proofErr w:type="spellStart"/>
            <w:r w:rsidR="00657C71">
              <w:rPr>
                <w:rFonts w:ascii="Arial" w:hAnsi="Arial"/>
                <w:lang w:val="fr-FR"/>
              </w:rPr>
              <w:t>specified</w:t>
            </w:r>
            <w:proofErr w:type="spellEnd"/>
            <w:r w:rsidR="00657C71">
              <w:rPr>
                <w:rFonts w:ascii="Arial" w:hAnsi="Arial"/>
                <w:lang w:val="fr-FR"/>
              </w:rPr>
              <w:t xml:space="preserve"> for </w:t>
            </w:r>
            <w:proofErr w:type="spellStart"/>
            <w:r w:rsidR="00657C71">
              <w:rPr>
                <w:rFonts w:ascii="Arial" w:hAnsi="Arial"/>
                <w:lang w:val="fr-FR"/>
              </w:rPr>
              <w:t>other</w:t>
            </w:r>
            <w:proofErr w:type="spellEnd"/>
            <w:r w:rsidR="00657C71">
              <w:rPr>
                <w:rFonts w:ascii="Arial" w:hAnsi="Arial"/>
                <w:lang w:val="fr-FR"/>
              </w:rPr>
              <w:t xml:space="preserve"> bands are not applicable to band n46</w:t>
            </w:r>
            <w:r w:rsidR="00465BA7" w:rsidRPr="00FC2C9E">
              <w:rPr>
                <w:rFonts w:ascii="Arial" w:hAnsi="Arial"/>
                <w:lang w:val="fr-FR"/>
              </w:rPr>
              <w:t>, n96 and n102</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7567B37B"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40EDE063" w:rsidR="00F74057" w:rsidRPr="00F74057" w:rsidRDefault="00657C71" w:rsidP="00F74057">
            <w:pPr>
              <w:spacing w:after="0"/>
              <w:ind w:left="100"/>
              <w:rPr>
                <w:rFonts w:ascii="Arial" w:hAnsi="Arial"/>
                <w:noProof/>
                <w:lang w:val="fr-FR"/>
              </w:rPr>
            </w:pPr>
            <w:r>
              <w:rPr>
                <w:rFonts w:ascii="Arial" w:hAnsi="Arial"/>
                <w:noProof/>
                <w:lang w:val="fr-FR"/>
              </w:rPr>
              <w:t>6.6.3.</w:t>
            </w:r>
            <w:r w:rsidR="003726DA">
              <w:rPr>
                <w:rFonts w:ascii="Arial" w:hAnsi="Arial"/>
                <w:noProof/>
                <w:lang w:val="fr-FR"/>
              </w:rPr>
              <w:t>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391A6D94" w:rsidR="00F74057" w:rsidRPr="00F74057" w:rsidRDefault="002B2C0C" w:rsidP="00F74057">
            <w:pPr>
              <w:spacing w:after="0"/>
              <w:ind w:left="100"/>
              <w:rPr>
                <w:rFonts w:ascii="Arial" w:hAnsi="Arial"/>
                <w:noProof/>
                <w:lang w:val="fr-FR"/>
              </w:rPr>
            </w:pPr>
            <w:r>
              <w:rPr>
                <w:rFonts w:ascii="Arial" w:hAnsi="Arial"/>
                <w:noProof/>
                <w:lang w:val="fr-FR"/>
              </w:rPr>
              <w:t>Revised from R4-221</w:t>
            </w:r>
            <w:r>
              <w:rPr>
                <w:rFonts w:ascii="Arial" w:hAnsi="Arial"/>
                <w:noProof/>
                <w:lang w:val="fr-FR"/>
              </w:rPr>
              <w:t>2088</w:t>
            </w:r>
            <w:r>
              <w:rPr>
                <w:rFonts w:ascii="Arial" w:hAnsi="Arial"/>
                <w:noProof/>
                <w:lang w:val="fr-FR"/>
              </w:rPr>
              <w:t xml:space="preserve"> according to received comments in 1st round.</w:t>
            </w: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00247263" w14:textId="77777777" w:rsidR="00B47D06" w:rsidRPr="00B47D06" w:rsidRDefault="00B47D06" w:rsidP="00B47D06">
      <w:pPr>
        <w:keepNext/>
        <w:keepLines/>
        <w:spacing w:before="120"/>
        <w:ind w:left="1418" w:hanging="1418"/>
        <w:outlineLvl w:val="3"/>
        <w:rPr>
          <w:rFonts w:ascii="Arial" w:hAnsi="Arial"/>
          <w:sz w:val="24"/>
        </w:rPr>
      </w:pPr>
      <w:bookmarkStart w:id="9" w:name="_Toc61178872"/>
      <w:bookmarkStart w:id="10" w:name="_Toc61179342"/>
      <w:bookmarkStart w:id="11" w:name="_Toc67916638"/>
      <w:bookmarkStart w:id="12" w:name="_Toc74663236"/>
      <w:bookmarkStart w:id="13" w:name="_Toc82621776"/>
      <w:bookmarkStart w:id="14" w:name="_Toc90422623"/>
      <w:bookmarkStart w:id="15" w:name="_Toc106782816"/>
      <w:bookmarkStart w:id="16" w:name="_Toc107311707"/>
      <w:bookmarkStart w:id="17" w:name="_Toc107419291"/>
      <w:bookmarkStart w:id="18" w:name="_Toc107474918"/>
      <w:bookmarkStart w:id="19" w:name="_Toc21127488"/>
      <w:bookmarkStart w:id="20" w:name="_Toc29811697"/>
      <w:bookmarkStart w:id="21" w:name="_Toc36817249"/>
      <w:bookmarkStart w:id="22" w:name="_Toc37260165"/>
      <w:bookmarkStart w:id="23" w:name="_Toc37267553"/>
      <w:bookmarkStart w:id="24" w:name="_Toc44712155"/>
      <w:bookmarkStart w:id="25" w:name="_Toc45893468"/>
      <w:bookmarkStart w:id="26" w:name="_Toc53178195"/>
      <w:bookmarkStart w:id="27" w:name="_Toc53178646"/>
      <w:bookmarkStart w:id="28" w:name="_Toc61177885"/>
      <w:bookmarkStart w:id="29" w:name="_Toc61178357"/>
      <w:bookmarkStart w:id="30" w:name="_Toc67916424"/>
      <w:bookmarkStart w:id="31" w:name="_Toc74669861"/>
      <w:bookmarkStart w:id="32" w:name="_Toc76543509"/>
      <w:bookmarkStart w:id="33" w:name="_Toc82624169"/>
      <w:bookmarkStart w:id="34" w:name="_Toc90416908"/>
      <w:bookmarkStart w:id="35" w:name="_Toc106771253"/>
      <w:bookmarkEnd w:id="0"/>
      <w:bookmarkEnd w:id="1"/>
      <w:bookmarkEnd w:id="2"/>
      <w:bookmarkEnd w:id="3"/>
      <w:bookmarkEnd w:id="4"/>
      <w:bookmarkEnd w:id="5"/>
      <w:bookmarkEnd w:id="6"/>
      <w:bookmarkEnd w:id="7"/>
      <w:bookmarkEnd w:id="8"/>
      <w:r w:rsidRPr="00B47D06">
        <w:rPr>
          <w:rFonts w:ascii="Arial" w:hAnsi="Arial"/>
          <w:sz w:val="24"/>
        </w:rPr>
        <w:t>6.6.3.1</w:t>
      </w:r>
      <w:r w:rsidRPr="00B47D06">
        <w:rPr>
          <w:rFonts w:ascii="Arial" w:hAnsi="Arial"/>
          <w:sz w:val="24"/>
        </w:rPr>
        <w:tab/>
        <w:t>General</w:t>
      </w:r>
      <w:bookmarkEnd w:id="9"/>
      <w:bookmarkEnd w:id="10"/>
      <w:bookmarkEnd w:id="11"/>
      <w:bookmarkEnd w:id="12"/>
      <w:bookmarkEnd w:id="13"/>
      <w:bookmarkEnd w:id="14"/>
      <w:bookmarkEnd w:id="15"/>
      <w:bookmarkEnd w:id="16"/>
      <w:bookmarkEnd w:id="17"/>
      <w:bookmarkEnd w:id="18"/>
    </w:p>
    <w:p w14:paraId="1144EE33" w14:textId="77777777" w:rsidR="00B47D06" w:rsidRPr="00B47D06" w:rsidRDefault="00B47D06" w:rsidP="00B47D06">
      <w:r w:rsidRPr="00B47D06">
        <w:t>Adjacent Channel Leakage power Ratio (ACLR) is the ratio of the filtered mean power centred on the assigned channel frequency to the filtered mean power centred on an adjacent channel frequency.</w:t>
      </w:r>
    </w:p>
    <w:p w14:paraId="1C72D0C8" w14:textId="77777777" w:rsidR="00B47D06" w:rsidRPr="00B47D06" w:rsidRDefault="00B47D06" w:rsidP="00B47D06">
      <w:r w:rsidRPr="00B47D06">
        <w:t xml:space="preserve">The requirements shall apply </w:t>
      </w:r>
      <w:r w:rsidRPr="00B47D06">
        <w:rPr>
          <w:lang w:eastAsia="zh-CN"/>
        </w:rPr>
        <w:t xml:space="preserve">outside the </w:t>
      </w:r>
      <w:r w:rsidRPr="00B47D06">
        <w:rPr>
          <w:i/>
          <w:lang w:eastAsia="zh-CN"/>
        </w:rPr>
        <w:t>Base Station RF Bandwidth</w:t>
      </w:r>
      <w:r w:rsidRPr="00B47D06">
        <w:rPr>
          <w:lang w:eastAsia="zh-CN"/>
        </w:rPr>
        <w:t xml:space="preserve"> or </w:t>
      </w:r>
      <w:r w:rsidRPr="00B47D06">
        <w:rPr>
          <w:i/>
          <w:lang w:eastAsia="zh-CN"/>
        </w:rPr>
        <w:t>Radio Bandwidth</w:t>
      </w:r>
      <w:r w:rsidRPr="00B47D06">
        <w:rPr>
          <w:lang w:eastAsia="zh-CN"/>
        </w:rPr>
        <w:t xml:space="preserve"> </w:t>
      </w:r>
      <w:r w:rsidRPr="00B47D06">
        <w:t>whatever the type of transmitter considered (single carrier or multi-carrier) and for all transmission modes foreseen by the manufacturer’s specification.</w:t>
      </w:r>
    </w:p>
    <w:p w14:paraId="7BC0379D" w14:textId="77777777" w:rsidR="00B47D06" w:rsidRPr="00B47D06" w:rsidRDefault="00B47D06" w:rsidP="00B47D06">
      <w:r w:rsidRPr="00B47D06">
        <w:t xml:space="preserve">The requirements shall also apply if the BS supports NB-IoT </w:t>
      </w:r>
      <w:r w:rsidRPr="00B47D06">
        <w:rPr>
          <w:rFonts w:cs="v4.2.0"/>
        </w:rPr>
        <w:t>operation in NR in-band</w:t>
      </w:r>
      <w:r w:rsidRPr="00B47D06">
        <w:t>.</w:t>
      </w:r>
    </w:p>
    <w:p w14:paraId="182285D6" w14:textId="5BECBBA3" w:rsidR="00B47D06" w:rsidRPr="00B47D06" w:rsidRDefault="00B47D06" w:rsidP="00B47D06">
      <w:pPr>
        <w:overflowPunct w:val="0"/>
        <w:autoSpaceDE w:val="0"/>
        <w:autoSpaceDN w:val="0"/>
        <w:adjustRightInd w:val="0"/>
        <w:textAlignment w:val="baseline"/>
        <w:rPr>
          <w:lang w:eastAsia="ko-KR"/>
        </w:rPr>
      </w:pPr>
      <w:r w:rsidRPr="00B47D06">
        <w:rPr>
          <w:lang w:eastAsia="ko-KR"/>
        </w:rPr>
        <w:t xml:space="preserve">For a </w:t>
      </w:r>
      <w:r w:rsidRPr="00B47D06">
        <w:rPr>
          <w:rFonts w:cs="v5.0.0"/>
          <w:lang w:eastAsia="ko-KR"/>
        </w:rPr>
        <w:t>BS</w:t>
      </w:r>
      <w:r w:rsidRPr="00B47D06">
        <w:rPr>
          <w:lang w:eastAsia="ko-KR"/>
        </w:rPr>
        <w:t xml:space="preserve"> operating in </w:t>
      </w:r>
      <w:r w:rsidRPr="00B47D06">
        <w:rPr>
          <w:i/>
          <w:lang w:eastAsia="ko-KR"/>
        </w:rPr>
        <w:t>non-contiguous spectrum</w:t>
      </w:r>
      <w:r w:rsidRPr="00B47D06">
        <w:rPr>
          <w:lang w:eastAsia="ko-KR"/>
        </w:rPr>
        <w:t xml:space="preserve">, the ACLR requirement in clause 6.6.3.2 shall apply in </w:t>
      </w:r>
      <w:r w:rsidRPr="00B47D06">
        <w:rPr>
          <w:i/>
          <w:lang w:eastAsia="ko-KR"/>
        </w:rPr>
        <w:t>sub-block gaps</w:t>
      </w:r>
      <w:del w:id="36" w:author="Ng, Man Hung (Nokia - GB)" w:date="2022-08-19T14:01:00Z">
        <w:r w:rsidRPr="00B47D06" w:rsidDel="00493CB4">
          <w:rPr>
            <w:lang w:eastAsia="ko-KR"/>
          </w:rPr>
          <w:delText xml:space="preserve"> for the frequency ranges defined in table 6.6.3.2-2a</w:delText>
        </w:r>
      </w:del>
      <w:r w:rsidRPr="00B47D06">
        <w:rPr>
          <w:lang w:eastAsia="ko-KR"/>
        </w:rPr>
        <w:t xml:space="preserve">, while the CACLR requirement in clause 6.6.3.2 shall apply in </w:t>
      </w:r>
      <w:r w:rsidRPr="00B47D06">
        <w:rPr>
          <w:i/>
          <w:lang w:eastAsia="ko-KR"/>
        </w:rPr>
        <w:t>sub-block gaps</w:t>
      </w:r>
      <w:del w:id="37" w:author="Ng, Man Hung (Nokia - GB)" w:date="2022-08-19T14:01:00Z">
        <w:r w:rsidRPr="00B47D06" w:rsidDel="00493CB4">
          <w:rPr>
            <w:lang w:eastAsia="ko-KR"/>
          </w:rPr>
          <w:delText xml:space="preserve"> for the frequency ranges defined in table 6.6.3.2-3</w:delText>
        </w:r>
      </w:del>
      <w:r w:rsidRPr="00B47D06">
        <w:rPr>
          <w:lang w:eastAsia="ko-KR"/>
        </w:rPr>
        <w:t>.</w:t>
      </w:r>
    </w:p>
    <w:p w14:paraId="7F7529B2" w14:textId="4007CEB2" w:rsidR="00B47D06" w:rsidRPr="00B47D06" w:rsidRDefault="00B47D06" w:rsidP="00B47D06">
      <w:pPr>
        <w:overflowPunct w:val="0"/>
        <w:autoSpaceDE w:val="0"/>
        <w:autoSpaceDN w:val="0"/>
        <w:adjustRightInd w:val="0"/>
        <w:textAlignment w:val="baseline"/>
        <w:rPr>
          <w:lang w:eastAsia="zh-CN"/>
        </w:rPr>
      </w:pPr>
      <w:r w:rsidRPr="00B47D06">
        <w:rPr>
          <w:lang w:eastAsia="zh-CN"/>
        </w:rPr>
        <w:t>F</w:t>
      </w:r>
      <w:r w:rsidRPr="00B47D06">
        <w:rPr>
          <w:lang w:eastAsia="ko-KR"/>
        </w:rPr>
        <w:t>or a</w:t>
      </w:r>
      <w:r w:rsidRPr="00B47D06">
        <w:rPr>
          <w:lang w:eastAsia="zh-CN"/>
        </w:rPr>
        <w:t xml:space="preserve"> </w:t>
      </w:r>
      <w:r w:rsidRPr="00B47D06">
        <w:rPr>
          <w:i/>
          <w:lang w:eastAsia="zh-CN"/>
        </w:rPr>
        <w:t>multi-band connector</w:t>
      </w:r>
      <w:r w:rsidRPr="00B47D06">
        <w:rPr>
          <w:lang w:eastAsia="ko-KR"/>
        </w:rPr>
        <w:t xml:space="preserve">, the ACLR </w:t>
      </w:r>
      <w:r w:rsidRPr="00B47D06">
        <w:rPr>
          <w:lang w:eastAsia="zh-CN"/>
        </w:rPr>
        <w:t xml:space="preserve">requirement in clause 6.6.3.2 shall apply in </w:t>
      </w:r>
      <w:r w:rsidRPr="00B47D06">
        <w:rPr>
          <w:i/>
          <w:lang w:eastAsia="ko-KR"/>
        </w:rPr>
        <w:t>Inter RF Bandwidth</w:t>
      </w:r>
      <w:r w:rsidRPr="00B47D06">
        <w:rPr>
          <w:i/>
          <w:lang w:eastAsia="zh-CN"/>
        </w:rPr>
        <w:t xml:space="preserve"> gaps</w:t>
      </w:r>
      <w:del w:id="38" w:author="Ng, Man Hung (Nokia - GB)" w:date="2022-08-19T14:01:00Z">
        <w:r w:rsidRPr="00B47D06" w:rsidDel="00493CB4">
          <w:rPr>
            <w:lang w:eastAsia="zh-CN"/>
          </w:rPr>
          <w:delText xml:space="preserve"> for the frequency ranges defined in table 6.6.3.2-2a</w:delText>
        </w:r>
      </w:del>
      <w:r w:rsidRPr="00B47D06">
        <w:rPr>
          <w:lang w:eastAsia="zh-CN"/>
        </w:rPr>
        <w:t xml:space="preserve">, while the </w:t>
      </w:r>
      <w:r w:rsidRPr="00B47D06">
        <w:rPr>
          <w:lang w:eastAsia="ko-KR"/>
        </w:rPr>
        <w:t xml:space="preserve">CACLR requirement in clause 6.6.3.2 shall apply in </w:t>
      </w:r>
      <w:r w:rsidRPr="00B47D06">
        <w:rPr>
          <w:i/>
          <w:lang w:eastAsia="ko-KR"/>
        </w:rPr>
        <w:t>Inter RF Bandwidth gaps</w:t>
      </w:r>
      <w:del w:id="39" w:author="Ng, Man Hung (Nokia - GB)" w:date="2022-08-19T14:01:00Z">
        <w:r w:rsidRPr="00B47D06" w:rsidDel="00493CB4">
          <w:rPr>
            <w:lang w:eastAsia="ko-KR"/>
          </w:rPr>
          <w:delText xml:space="preserve"> for the frequency ranges defined in table 6.6.3.2-3</w:delText>
        </w:r>
      </w:del>
      <w:r w:rsidRPr="00B47D06">
        <w:rPr>
          <w:lang w:eastAsia="ko-KR"/>
        </w:rPr>
        <w:t>.</w:t>
      </w:r>
    </w:p>
    <w:p w14:paraId="4CCD9264" w14:textId="77777777" w:rsidR="00B47D06" w:rsidRPr="00B47D06" w:rsidRDefault="00B47D06" w:rsidP="00B47D06">
      <w:r w:rsidRPr="00B47D06">
        <w:t xml:space="preserve">The requirement shall apply during the </w:t>
      </w:r>
      <w:r w:rsidRPr="00B47D06">
        <w:rPr>
          <w:i/>
        </w:rPr>
        <w:t>transmitter ON period</w:t>
      </w:r>
      <w:r w:rsidRPr="00B47D06">
        <w:t>.</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A5F981A" w14:textId="3F4A6005"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0C97" w14:textId="77777777" w:rsidR="00CC32B8" w:rsidRDefault="00CC32B8">
      <w:r>
        <w:separator/>
      </w:r>
    </w:p>
  </w:endnote>
  <w:endnote w:type="continuationSeparator" w:id="0">
    <w:p w14:paraId="51049684" w14:textId="77777777" w:rsidR="00CC32B8" w:rsidRDefault="00CC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0183E" w14:textId="77777777" w:rsidR="00CC32B8" w:rsidRDefault="00CC32B8">
      <w:r>
        <w:separator/>
      </w:r>
    </w:p>
  </w:footnote>
  <w:footnote w:type="continuationSeparator" w:id="0">
    <w:p w14:paraId="256F95DF" w14:textId="77777777" w:rsidR="00CC32B8" w:rsidRDefault="00CC3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10A14"/>
    <w:rsid w:val="00022E4A"/>
    <w:rsid w:val="00026AEA"/>
    <w:rsid w:val="00036DD8"/>
    <w:rsid w:val="00054324"/>
    <w:rsid w:val="00066DFB"/>
    <w:rsid w:val="0007016D"/>
    <w:rsid w:val="00073F30"/>
    <w:rsid w:val="0008567C"/>
    <w:rsid w:val="00091B2C"/>
    <w:rsid w:val="000A606A"/>
    <w:rsid w:val="000A6394"/>
    <w:rsid w:val="000B4306"/>
    <w:rsid w:val="000B7FED"/>
    <w:rsid w:val="000C038A"/>
    <w:rsid w:val="000C6598"/>
    <w:rsid w:val="000C718A"/>
    <w:rsid w:val="000D44B3"/>
    <w:rsid w:val="000F2B88"/>
    <w:rsid w:val="00106171"/>
    <w:rsid w:val="00120C6B"/>
    <w:rsid w:val="00120EC0"/>
    <w:rsid w:val="00130AA3"/>
    <w:rsid w:val="00144131"/>
    <w:rsid w:val="00145D43"/>
    <w:rsid w:val="00145F98"/>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47C1A"/>
    <w:rsid w:val="002545A0"/>
    <w:rsid w:val="0026004D"/>
    <w:rsid w:val="0026073D"/>
    <w:rsid w:val="002640DD"/>
    <w:rsid w:val="00265AB8"/>
    <w:rsid w:val="00275D12"/>
    <w:rsid w:val="00277BA5"/>
    <w:rsid w:val="00284FEB"/>
    <w:rsid w:val="002860C4"/>
    <w:rsid w:val="002A05DE"/>
    <w:rsid w:val="002B2C0C"/>
    <w:rsid w:val="002B2CF7"/>
    <w:rsid w:val="002B5741"/>
    <w:rsid w:val="002C383D"/>
    <w:rsid w:val="002D0CE1"/>
    <w:rsid w:val="002D465D"/>
    <w:rsid w:val="002E43D2"/>
    <w:rsid w:val="002E472E"/>
    <w:rsid w:val="002F6307"/>
    <w:rsid w:val="00305409"/>
    <w:rsid w:val="003125B4"/>
    <w:rsid w:val="00323884"/>
    <w:rsid w:val="003460CB"/>
    <w:rsid w:val="00352BFC"/>
    <w:rsid w:val="0035788D"/>
    <w:rsid w:val="003609EF"/>
    <w:rsid w:val="0036231A"/>
    <w:rsid w:val="00366690"/>
    <w:rsid w:val="003726DA"/>
    <w:rsid w:val="00374DD4"/>
    <w:rsid w:val="003773F9"/>
    <w:rsid w:val="0037796A"/>
    <w:rsid w:val="00396A41"/>
    <w:rsid w:val="003A36F2"/>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65BA7"/>
    <w:rsid w:val="004718B8"/>
    <w:rsid w:val="00472E67"/>
    <w:rsid w:val="004802AD"/>
    <w:rsid w:val="00481BD5"/>
    <w:rsid w:val="004847EC"/>
    <w:rsid w:val="00484F7F"/>
    <w:rsid w:val="00493CB4"/>
    <w:rsid w:val="004B6321"/>
    <w:rsid w:val="004B75B7"/>
    <w:rsid w:val="0051580D"/>
    <w:rsid w:val="005174E8"/>
    <w:rsid w:val="00517D2B"/>
    <w:rsid w:val="00521ABA"/>
    <w:rsid w:val="00546DD0"/>
    <w:rsid w:val="00547111"/>
    <w:rsid w:val="0058352D"/>
    <w:rsid w:val="00592D74"/>
    <w:rsid w:val="005A0B45"/>
    <w:rsid w:val="005B5094"/>
    <w:rsid w:val="005E2C44"/>
    <w:rsid w:val="00621188"/>
    <w:rsid w:val="00622450"/>
    <w:rsid w:val="00622610"/>
    <w:rsid w:val="006257ED"/>
    <w:rsid w:val="00633FD6"/>
    <w:rsid w:val="006540C6"/>
    <w:rsid w:val="00657C71"/>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6C4"/>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2062D"/>
    <w:rsid w:val="009316A8"/>
    <w:rsid w:val="00941E30"/>
    <w:rsid w:val="00956113"/>
    <w:rsid w:val="009777D9"/>
    <w:rsid w:val="00977E7C"/>
    <w:rsid w:val="00987288"/>
    <w:rsid w:val="00991B88"/>
    <w:rsid w:val="00995CA8"/>
    <w:rsid w:val="009A5753"/>
    <w:rsid w:val="009A579D"/>
    <w:rsid w:val="009A5CA6"/>
    <w:rsid w:val="009B2C2A"/>
    <w:rsid w:val="009D2CBB"/>
    <w:rsid w:val="009D4AF8"/>
    <w:rsid w:val="009E3297"/>
    <w:rsid w:val="009E729A"/>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403A"/>
    <w:rsid w:val="00B258BB"/>
    <w:rsid w:val="00B35018"/>
    <w:rsid w:val="00B350EC"/>
    <w:rsid w:val="00B3535F"/>
    <w:rsid w:val="00B47D06"/>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A2E97"/>
    <w:rsid w:val="00CB4F88"/>
    <w:rsid w:val="00CC32B8"/>
    <w:rsid w:val="00CC5026"/>
    <w:rsid w:val="00CC68D0"/>
    <w:rsid w:val="00CE54BF"/>
    <w:rsid w:val="00D03F9A"/>
    <w:rsid w:val="00D06D51"/>
    <w:rsid w:val="00D13D64"/>
    <w:rsid w:val="00D13DF6"/>
    <w:rsid w:val="00D14437"/>
    <w:rsid w:val="00D16B0A"/>
    <w:rsid w:val="00D24991"/>
    <w:rsid w:val="00D24B55"/>
    <w:rsid w:val="00D2782A"/>
    <w:rsid w:val="00D42F51"/>
    <w:rsid w:val="00D50255"/>
    <w:rsid w:val="00D56D43"/>
    <w:rsid w:val="00D607E1"/>
    <w:rsid w:val="00D66520"/>
    <w:rsid w:val="00D73A79"/>
    <w:rsid w:val="00D81F1B"/>
    <w:rsid w:val="00DB0E06"/>
    <w:rsid w:val="00DC3E92"/>
    <w:rsid w:val="00DE0A06"/>
    <w:rsid w:val="00DE34CF"/>
    <w:rsid w:val="00DE3AB8"/>
    <w:rsid w:val="00DE4FF2"/>
    <w:rsid w:val="00E12901"/>
    <w:rsid w:val="00E13F3D"/>
    <w:rsid w:val="00E3407B"/>
    <w:rsid w:val="00E34898"/>
    <w:rsid w:val="00E555FC"/>
    <w:rsid w:val="00E56581"/>
    <w:rsid w:val="00E863BF"/>
    <w:rsid w:val="00E964A8"/>
    <w:rsid w:val="00EB09B7"/>
    <w:rsid w:val="00EB0EC9"/>
    <w:rsid w:val="00EB5CA9"/>
    <w:rsid w:val="00EC07B2"/>
    <w:rsid w:val="00EC3E0A"/>
    <w:rsid w:val="00EE142C"/>
    <w:rsid w:val="00EE5119"/>
    <w:rsid w:val="00EE7D7C"/>
    <w:rsid w:val="00EF0065"/>
    <w:rsid w:val="00EF7425"/>
    <w:rsid w:val="00F03475"/>
    <w:rsid w:val="00F06DDE"/>
    <w:rsid w:val="00F11105"/>
    <w:rsid w:val="00F21782"/>
    <w:rsid w:val="00F25D98"/>
    <w:rsid w:val="00F300FB"/>
    <w:rsid w:val="00F31B06"/>
    <w:rsid w:val="00F72DC5"/>
    <w:rsid w:val="00F74057"/>
    <w:rsid w:val="00F86421"/>
    <w:rsid w:val="00FA1E5D"/>
    <w:rsid w:val="00FB6386"/>
    <w:rsid w:val="00FD6E7E"/>
    <w:rsid w:val="00FE23C3"/>
    <w:rsid w:val="00FE2490"/>
    <w:rsid w:val="00FE7DD2"/>
    <w:rsid w:val="00FF1B20"/>
    <w:rsid w:val="00FF42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496</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2022-08-19T13:01:00Z</dcterms:created>
  <dcterms:modified xsi:type="dcterms:W3CDTF">2022-08-24T17:18:00Z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