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103" w:rsidRPr="001E0A28"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3B7B6A">
        <w:rPr>
          <w:rFonts w:ascii="Arial" w:eastAsiaTheme="minorEastAsia" w:hAnsi="Arial" w:cs="Arial"/>
          <w:b/>
          <w:sz w:val="24"/>
          <w:szCs w:val="24"/>
          <w:lang w:eastAsia="zh-CN"/>
        </w:rPr>
        <w:t>R4-2214</w:t>
      </w:r>
      <w:r>
        <w:rPr>
          <w:rFonts w:ascii="Arial" w:eastAsiaTheme="minorEastAsia" w:hAnsi="Arial" w:cs="Arial"/>
          <w:b/>
          <w:sz w:val="24"/>
          <w:szCs w:val="24"/>
          <w:lang w:eastAsia="zh-CN"/>
        </w:rPr>
        <w:t>343</w:t>
      </w:r>
    </w:p>
    <w:p w:rsidR="00953103"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15</w:t>
      </w:r>
      <w:r w:rsidRPr="007C1955">
        <w:rPr>
          <w:rFonts w:ascii="Arial" w:hAnsi="Arial" w:cs="Arial"/>
          <w:b/>
          <w:bCs/>
          <w:noProof/>
          <w:sz w:val="24"/>
          <w:szCs w:val="24"/>
        </w:rPr>
        <w:t>– 2</w:t>
      </w:r>
      <w:r>
        <w:rPr>
          <w:rFonts w:ascii="Arial" w:hAnsi="Arial" w:cs="Arial"/>
          <w:b/>
          <w:bCs/>
          <w:noProof/>
          <w:sz w:val="24"/>
          <w:szCs w:val="24"/>
        </w:rPr>
        <w:t>6</w:t>
      </w:r>
      <w:r w:rsidRPr="007C1955">
        <w:rPr>
          <w:rFonts w:ascii="Arial" w:hAnsi="Arial" w:cs="Arial"/>
          <w:b/>
          <w:bCs/>
          <w:noProof/>
          <w:sz w:val="24"/>
          <w:szCs w:val="24"/>
        </w:rPr>
        <w:t xml:space="preserve"> </w:t>
      </w:r>
      <w:r>
        <w:rPr>
          <w:rFonts w:ascii="Arial" w:hAnsi="Arial" w:cs="Arial"/>
          <w:b/>
          <w:bCs/>
          <w:noProof/>
          <w:sz w:val="24"/>
          <w:szCs w:val="24"/>
        </w:rPr>
        <w:t>August</w:t>
      </w:r>
      <w:r w:rsidRPr="007C1955">
        <w:rPr>
          <w:rFonts w:ascii="Arial" w:hAnsi="Arial" w:cs="Arial"/>
          <w:b/>
          <w:bCs/>
          <w:noProof/>
          <w:sz w:val="24"/>
          <w:szCs w:val="24"/>
        </w:rPr>
        <w:t xml:space="preserve"> 2022</w:t>
      </w:r>
    </w:p>
    <w:p w:rsidR="000465C0" w:rsidRDefault="000465C0" w:rsidP="00E61455">
      <w:pPr>
        <w:tabs>
          <w:tab w:val="left" w:pos="1985"/>
        </w:tabs>
        <w:jc w:val="both"/>
        <w:rPr>
          <w:rFonts w:ascii="Arial" w:hAnsi="Arial" w:cs="Arial"/>
          <w:b/>
          <w:sz w:val="22"/>
        </w:rPr>
      </w:pP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465C0" w:rsidRPr="000465C0">
        <w:rPr>
          <w:rFonts w:ascii="Arial" w:hAnsi="Arial" w:cs="Arial"/>
          <w:sz w:val="22"/>
          <w:lang w:eastAsia="zh-CN"/>
        </w:rPr>
        <w:t>WF on RRM requirements for Rel-17 NB-IoT and LTE-MTC</w:t>
      </w:r>
    </w:p>
    <w:p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3103">
        <w:rPr>
          <w:rFonts w:ascii="Arial" w:eastAsiaTheme="minorEastAsia" w:hAnsi="Arial" w:cs="Arial"/>
          <w:color w:val="000000"/>
          <w:sz w:val="22"/>
          <w:lang w:eastAsia="zh-CN"/>
        </w:rPr>
        <w:t>9.24.4, 9.24.5</w:t>
      </w:r>
    </w:p>
    <w:p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465C0" w:rsidRPr="00953103">
        <w:rPr>
          <w:rFonts w:ascii="Arial" w:hAnsi="Arial" w:cs="Arial"/>
          <w:sz w:val="22"/>
        </w:rPr>
        <w:t>Huawei, HiSilicon</w:t>
      </w: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rsidR="00953103" w:rsidRPr="00953103" w:rsidRDefault="00953103" w:rsidP="00953103">
      <w:pPr>
        <w:rPr>
          <w:b/>
          <w:color w:val="0070C0"/>
          <w:u w:val="single"/>
          <w:lang w:val="en-US" w:eastAsia="ko-KR"/>
        </w:rPr>
      </w:pPr>
    </w:p>
    <w:p w:rsidR="004424CC" w:rsidRDefault="004424CC" w:rsidP="004424CC">
      <w:pPr>
        <w:pStyle w:val="Heading1"/>
        <w:numPr>
          <w:ilvl w:val="0"/>
          <w:numId w:val="0"/>
        </w:numPr>
        <w:ind w:left="432" w:hanging="432"/>
        <w:rPr>
          <w:lang w:eastAsia="ja-JP"/>
        </w:rPr>
      </w:pPr>
      <w:r w:rsidRPr="004424CC">
        <w:rPr>
          <w:lang w:eastAsia="ja-JP"/>
        </w:rPr>
        <w:t>Topic #2: Performance requirements for NB-IoT</w:t>
      </w:r>
    </w:p>
    <w:p w:rsidR="00953103" w:rsidRPr="00805BE8" w:rsidRDefault="00953103" w:rsidP="00953103">
      <w:pPr>
        <w:pStyle w:val="Heading3"/>
        <w:numPr>
          <w:ilvl w:val="0"/>
          <w:numId w:val="0"/>
        </w:numPr>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Test cases for neighbour cell measurement for NB-IoT</w:t>
      </w:r>
    </w:p>
    <w:p w:rsidR="00953103" w:rsidRPr="00953103" w:rsidRDefault="00953103" w:rsidP="00953103">
      <w:pPr>
        <w:rPr>
          <w:b/>
          <w:u w:val="single"/>
          <w:lang w:eastAsia="ko-KR"/>
        </w:rPr>
      </w:pPr>
      <w:r w:rsidRPr="00953103">
        <w:rPr>
          <w:b/>
          <w:u w:val="single"/>
          <w:lang w:eastAsia="ko-KR"/>
        </w:rPr>
        <w:t>Issue 2-1: Whether and how to define test cases for inter-frequency neighbour cell measurement for NB-IoT</w:t>
      </w:r>
    </w:p>
    <w:p w:rsidR="00953103" w:rsidRPr="00953103" w:rsidRDefault="00953103" w:rsidP="00953103">
      <w:pPr>
        <w:spacing w:afterLines="50" w:after="120"/>
        <w:rPr>
          <w:lang w:eastAsia="zh-CN"/>
        </w:rPr>
      </w:pPr>
      <w:r w:rsidRPr="00953103">
        <w:rPr>
          <w:rFonts w:hint="eastAsia"/>
          <w:lang w:eastAsia="zh-CN"/>
        </w:rPr>
        <w:t>Agreement:</w:t>
      </w:r>
    </w:p>
    <w:p w:rsidR="00953103" w:rsidRPr="00953103" w:rsidRDefault="00953103" w:rsidP="00953103">
      <w:pPr>
        <w:pStyle w:val="ListParagraph"/>
        <w:numPr>
          <w:ilvl w:val="1"/>
          <w:numId w:val="37"/>
        </w:numPr>
        <w:overflowPunct w:val="0"/>
        <w:autoSpaceDE w:val="0"/>
        <w:autoSpaceDN w:val="0"/>
        <w:adjustRightInd w:val="0"/>
        <w:spacing w:after="120"/>
        <w:ind w:firstLineChars="0"/>
        <w:textAlignment w:val="baseline"/>
        <w:rPr>
          <w:lang w:eastAsia="zh-CN"/>
        </w:rPr>
      </w:pPr>
      <w:r w:rsidRPr="00953103">
        <w:rPr>
          <w:szCs w:val="24"/>
          <w:lang w:eastAsia="zh-CN"/>
        </w:rPr>
        <w:t>Define inter-frequency neighbour measurement test cases with the serving cell in anchor carrier, and state in the test cases that the target carrier frequency information is provided to the UE to ensure that UE has the context of the target carrier frequency.</w:t>
      </w:r>
    </w:p>
    <w:p w:rsidR="00953103" w:rsidRPr="00953103" w:rsidRDefault="00953103" w:rsidP="00953103">
      <w:pPr>
        <w:rPr>
          <w:b/>
          <w:u w:val="single"/>
          <w:lang w:eastAsia="ko-KR"/>
        </w:rPr>
      </w:pPr>
      <w:r w:rsidRPr="00953103">
        <w:rPr>
          <w:b/>
          <w:u w:val="single"/>
          <w:lang w:eastAsia="ko-KR"/>
        </w:rPr>
        <w:t>Issue 2-2: Test cases list</w:t>
      </w:r>
    </w:p>
    <w:p w:rsidR="00953103" w:rsidRPr="00953103" w:rsidRDefault="00953103" w:rsidP="00953103">
      <w:pPr>
        <w:spacing w:afterLines="50" w:after="120"/>
        <w:rPr>
          <w:lang w:eastAsia="zh-CN"/>
        </w:rPr>
      </w:pPr>
      <w:r w:rsidRPr="00953103">
        <w:rPr>
          <w:rFonts w:hint="eastAsia"/>
          <w:lang w:eastAsia="zh-CN"/>
        </w:rPr>
        <w:t>Agreement:</w:t>
      </w:r>
    </w:p>
    <w:p w:rsidR="00953103" w:rsidRPr="00953103" w:rsidRDefault="00953103" w:rsidP="00953103">
      <w:pPr>
        <w:pStyle w:val="ListParagraph"/>
        <w:numPr>
          <w:ilvl w:val="1"/>
          <w:numId w:val="37"/>
        </w:numPr>
        <w:overflowPunct w:val="0"/>
        <w:autoSpaceDE w:val="0"/>
        <w:autoSpaceDN w:val="0"/>
        <w:adjustRightInd w:val="0"/>
        <w:spacing w:after="120"/>
        <w:ind w:firstLineChars="0"/>
        <w:textAlignment w:val="baseline"/>
        <w:rPr>
          <w:szCs w:val="24"/>
          <w:lang w:eastAsia="zh-CN"/>
        </w:rPr>
      </w:pPr>
      <w:r w:rsidRPr="00953103">
        <w:rPr>
          <w:szCs w:val="24"/>
          <w:lang w:eastAsia="zh-CN"/>
        </w:rPr>
        <w:t>TC1:HD-FDD intra-frequency neighbour cell measurement under normal coverage in non-DRX in SA/in-band/guard-band</w:t>
      </w:r>
    </w:p>
    <w:p w:rsidR="00953103" w:rsidRPr="00953103" w:rsidRDefault="00953103" w:rsidP="00953103">
      <w:pPr>
        <w:pStyle w:val="ListParagraph"/>
        <w:numPr>
          <w:ilvl w:val="1"/>
          <w:numId w:val="37"/>
        </w:numPr>
        <w:overflowPunct w:val="0"/>
        <w:autoSpaceDE w:val="0"/>
        <w:autoSpaceDN w:val="0"/>
        <w:adjustRightInd w:val="0"/>
        <w:spacing w:after="120"/>
        <w:ind w:firstLineChars="0"/>
        <w:textAlignment w:val="baseline"/>
        <w:rPr>
          <w:szCs w:val="24"/>
          <w:lang w:eastAsia="zh-CN"/>
        </w:rPr>
      </w:pPr>
      <w:r w:rsidRPr="00953103">
        <w:rPr>
          <w:szCs w:val="24"/>
          <w:lang w:eastAsia="zh-CN"/>
        </w:rPr>
        <w:t>TC2: TDD intra-frequency neighbour cell measurement under normal coverage in non-DRX in SA//in-band/guard-band</w:t>
      </w:r>
    </w:p>
    <w:p w:rsidR="00953103" w:rsidRPr="00953103" w:rsidRDefault="00953103" w:rsidP="00953103">
      <w:pPr>
        <w:pStyle w:val="ListParagraph"/>
        <w:numPr>
          <w:ilvl w:val="1"/>
          <w:numId w:val="37"/>
        </w:numPr>
        <w:overflowPunct w:val="0"/>
        <w:autoSpaceDE w:val="0"/>
        <w:autoSpaceDN w:val="0"/>
        <w:adjustRightInd w:val="0"/>
        <w:spacing w:after="120"/>
        <w:ind w:firstLineChars="0"/>
        <w:textAlignment w:val="baseline"/>
        <w:rPr>
          <w:szCs w:val="24"/>
          <w:lang w:eastAsia="zh-CN"/>
        </w:rPr>
      </w:pPr>
      <w:r w:rsidRPr="00953103">
        <w:rPr>
          <w:szCs w:val="24"/>
          <w:lang w:eastAsia="zh-CN"/>
        </w:rPr>
        <w:t>TC3:HD-FDD inter-frequency neighbour cell measurement under normal coverage in DRX in SA SA//in-band/guard-band</w:t>
      </w:r>
    </w:p>
    <w:p w:rsidR="00953103" w:rsidRPr="00953103" w:rsidRDefault="00953103" w:rsidP="00953103">
      <w:pPr>
        <w:pStyle w:val="ListParagraph"/>
        <w:numPr>
          <w:ilvl w:val="1"/>
          <w:numId w:val="37"/>
        </w:numPr>
        <w:overflowPunct w:val="0"/>
        <w:autoSpaceDE w:val="0"/>
        <w:autoSpaceDN w:val="0"/>
        <w:adjustRightInd w:val="0"/>
        <w:spacing w:after="120"/>
        <w:ind w:firstLineChars="0"/>
        <w:textAlignment w:val="baseline"/>
        <w:rPr>
          <w:szCs w:val="24"/>
          <w:lang w:eastAsia="zh-CN"/>
        </w:rPr>
      </w:pPr>
      <w:r w:rsidRPr="00953103">
        <w:rPr>
          <w:szCs w:val="24"/>
          <w:lang w:eastAsia="zh-CN"/>
        </w:rPr>
        <w:t>TC4:TDD inter-frequency neighbour cell measurement under normal coverage in DRX in SA SA//in-band/guard-band</w:t>
      </w:r>
    </w:p>
    <w:p w:rsidR="00953103" w:rsidRPr="00953103" w:rsidRDefault="00953103" w:rsidP="00953103">
      <w:pPr>
        <w:rPr>
          <w:rFonts w:eastAsiaTheme="minorEastAsia"/>
          <w:lang w:val="en-US" w:eastAsia="zh-CN"/>
        </w:rPr>
      </w:pPr>
      <w:r w:rsidRPr="00953103">
        <w:rPr>
          <w:szCs w:val="24"/>
          <w:lang w:eastAsia="zh-CN"/>
        </w:rPr>
        <w:t xml:space="preserve">UE is only required to be tested in one operation mode </w:t>
      </w:r>
      <w:r w:rsidRPr="00953103">
        <w:rPr>
          <w:rFonts w:eastAsiaTheme="minorEastAsia"/>
          <w:lang w:val="en-US" w:eastAsia="zh-CN"/>
        </w:rPr>
        <w:t>out of SA, in-band, guard-band.</w:t>
      </w:r>
    </w:p>
    <w:p w:rsidR="00953103" w:rsidRPr="00953103" w:rsidRDefault="00953103" w:rsidP="00DC65EF">
      <w:pPr>
        <w:spacing w:afterLines="50" w:after="120"/>
        <w:rPr>
          <w:szCs w:val="24"/>
          <w:lang w:val="en-US" w:eastAsia="zh-CN"/>
        </w:rPr>
      </w:pPr>
    </w:p>
    <w:p w:rsidR="001E672E" w:rsidRDefault="001E672E" w:rsidP="001E672E">
      <w:pPr>
        <w:pStyle w:val="Heading1"/>
        <w:numPr>
          <w:ilvl w:val="0"/>
          <w:numId w:val="0"/>
        </w:numPr>
        <w:ind w:left="432" w:hanging="432"/>
        <w:rPr>
          <w:lang w:eastAsia="ja-JP"/>
        </w:rPr>
      </w:pPr>
      <w:r>
        <w:rPr>
          <w:lang w:eastAsia="ja-JP"/>
        </w:rPr>
        <w:t>Reference</w:t>
      </w:r>
    </w:p>
    <w:p w:rsidR="000A3806" w:rsidRDefault="00BA7072" w:rsidP="000A3806">
      <w:pPr>
        <w:rPr>
          <w:rFonts w:ascii="等线" w:eastAsia="等线" w:hAnsi="等线" w:cs="宋体"/>
          <w:color w:val="000000"/>
          <w:sz w:val="24"/>
          <w:szCs w:val="24"/>
          <w:lang w:val="en-US" w:eastAsia="zh-CN"/>
        </w:rPr>
      </w:pPr>
      <w:r w:rsidRPr="00BA7072">
        <w:rPr>
          <w:lang w:eastAsia="ko-KR"/>
        </w:rPr>
        <w:t>R4-2214281</w:t>
      </w:r>
      <w:bookmarkStart w:id="0" w:name="_GoBack"/>
      <w:bookmarkEnd w:id="0"/>
      <w:r w:rsidR="000A3806" w:rsidRPr="000A3806">
        <w:rPr>
          <w:lang w:eastAsia="ko-KR"/>
        </w:rPr>
        <w:tab/>
      </w:r>
      <w:r w:rsidR="00650B4A" w:rsidRPr="00650B4A">
        <w:rPr>
          <w:lang w:eastAsia="ko-KR"/>
        </w:rPr>
        <w:t>Email discussion summary for [104-e][231] NB_IOTenh4_LTE_eMTC6_RRM</w:t>
      </w:r>
    </w:p>
    <w:p w:rsidR="001E672E" w:rsidRPr="000A3806" w:rsidRDefault="001E672E" w:rsidP="00DC65EF">
      <w:pPr>
        <w:spacing w:afterLines="50" w:after="120"/>
        <w:rPr>
          <w:lang w:val="en-US" w:eastAsia="zh-CN"/>
        </w:rPr>
      </w:pPr>
    </w:p>
    <w:sectPr w:rsidR="001E672E" w:rsidRPr="000A38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308" w:rsidRPr="00A10429" w:rsidRDefault="00691308" w:rsidP="0064547A">
      <w:pPr>
        <w:spacing w:after="0"/>
        <w:rPr>
          <w:kern w:val="2"/>
          <w:lang w:eastAsia="zh-CN"/>
        </w:rPr>
      </w:pPr>
      <w:r>
        <w:separator/>
      </w:r>
    </w:p>
  </w:endnote>
  <w:endnote w:type="continuationSeparator" w:id="0">
    <w:p w:rsidR="00691308" w:rsidRPr="00A10429" w:rsidRDefault="0069130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308" w:rsidRPr="00A10429" w:rsidRDefault="00691308" w:rsidP="0064547A">
      <w:pPr>
        <w:spacing w:after="0"/>
        <w:rPr>
          <w:kern w:val="2"/>
          <w:lang w:eastAsia="zh-CN"/>
        </w:rPr>
      </w:pPr>
      <w:r>
        <w:separator/>
      </w:r>
    </w:p>
  </w:footnote>
  <w:footnote w:type="continuationSeparator" w:id="0">
    <w:p w:rsidR="00691308" w:rsidRPr="00A10429" w:rsidRDefault="0069130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9"/>
  </w:num>
  <w:num w:numId="2">
    <w:abstractNumId w:val="14"/>
  </w:num>
  <w:num w:numId="3">
    <w:abstractNumId w:val="28"/>
  </w:num>
  <w:num w:numId="4">
    <w:abstractNumId w:val="13"/>
  </w:num>
  <w:num w:numId="5">
    <w:abstractNumId w:val="6"/>
  </w:num>
  <w:num w:numId="6">
    <w:abstractNumId w:val="22"/>
  </w:num>
  <w:num w:numId="7">
    <w:abstractNumId w:val="5"/>
  </w:num>
  <w:num w:numId="8">
    <w:abstractNumId w:val="21"/>
  </w:num>
  <w:num w:numId="9">
    <w:abstractNumId w:val="29"/>
  </w:num>
  <w:num w:numId="10">
    <w:abstractNumId w:val="29"/>
  </w:num>
  <w:num w:numId="11">
    <w:abstractNumId w:val="2"/>
  </w:num>
  <w:num w:numId="12">
    <w:abstractNumId w:val="9"/>
  </w:num>
  <w:num w:numId="13">
    <w:abstractNumId w:val="8"/>
  </w:num>
  <w:num w:numId="14">
    <w:abstractNumId w:val="27"/>
  </w:num>
  <w:num w:numId="15">
    <w:abstractNumId w:val="29"/>
  </w:num>
  <w:num w:numId="16">
    <w:abstractNumId w:val="29"/>
  </w:num>
  <w:num w:numId="17">
    <w:abstractNumId w:val="20"/>
  </w:num>
  <w:num w:numId="18">
    <w:abstractNumId w:val="30"/>
  </w:num>
  <w:num w:numId="19">
    <w:abstractNumId w:val="29"/>
  </w:num>
  <w:num w:numId="20">
    <w:abstractNumId w:val="7"/>
  </w:num>
  <w:num w:numId="21">
    <w:abstractNumId w:val="29"/>
  </w:num>
  <w:num w:numId="22">
    <w:abstractNumId w:val="29"/>
  </w:num>
  <w:num w:numId="23">
    <w:abstractNumId w:val="10"/>
  </w:num>
  <w:num w:numId="24">
    <w:abstractNumId w:val="4"/>
  </w:num>
  <w:num w:numId="25">
    <w:abstractNumId w:val="1"/>
  </w:num>
  <w:num w:numId="26">
    <w:abstractNumId w:val="11"/>
  </w:num>
  <w:num w:numId="27">
    <w:abstractNumId w:val="12"/>
  </w:num>
  <w:num w:numId="28">
    <w:abstractNumId w:val="23"/>
  </w:num>
  <w:num w:numId="29">
    <w:abstractNumId w:val="25"/>
  </w:num>
  <w:num w:numId="30">
    <w:abstractNumId w:val="19"/>
  </w:num>
  <w:num w:numId="31">
    <w:abstractNumId w:val="18"/>
  </w:num>
  <w:num w:numId="32">
    <w:abstractNumId w:val="16"/>
  </w:num>
  <w:num w:numId="33">
    <w:abstractNumId w:val="29"/>
  </w:num>
  <w:num w:numId="34">
    <w:abstractNumId w:val="29"/>
  </w:num>
  <w:num w:numId="35">
    <w:abstractNumId w:val="29"/>
  </w:num>
  <w:num w:numId="36">
    <w:abstractNumId w:val="29"/>
  </w:num>
  <w:num w:numId="37">
    <w:abstractNumId w:val="24"/>
  </w:num>
  <w:num w:numId="38">
    <w:abstractNumId w:val="17"/>
  </w:num>
  <w:num w:numId="39">
    <w:abstractNumId w:val="26"/>
  </w:num>
  <w:num w:numId="40">
    <w:abstractNumId w:val="31"/>
  </w:num>
  <w:num w:numId="41">
    <w:abstractNumId w:val="0"/>
  </w:num>
  <w:num w:numId="42">
    <w:abstractNumId w:val="15"/>
  </w:num>
  <w:num w:numId="4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3806"/>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4A"/>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08"/>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103"/>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07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37"/>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F8"/>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F69"/>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76"/>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455"/>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宋体"/>
      <w:sz w:val="18"/>
      <w:szCs w:val="18"/>
    </w:rPr>
  </w:style>
  <w:style w:type="character" w:customStyle="1" w:styleId="DocumentMapChar">
    <w:name w:val="Document Map Char"/>
    <w:link w:val="DocumentMap"/>
    <w:uiPriority w:val="99"/>
    <w:semiHidden/>
    <w:rsid w:val="00A51758"/>
    <w:rPr>
      <w:rFonts w:ascii="宋体"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C6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206</Words>
  <Characters>1177</Characters>
  <Application>Microsoft Office Word</Application>
  <DocSecurity>0</DocSecurity>
  <Lines>9</Lines>
  <Paragraphs>2</Paragraphs>
  <ScaleCrop>false</ScaleCrop>
  <Company>Huawei Technologies Co.,Ltd.</Company>
  <LinksUpToDate>false</LinksUpToDate>
  <CharactersWithSpaces>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5</cp:revision>
  <dcterms:created xsi:type="dcterms:W3CDTF">2022-06-10T06:31:00Z</dcterms:created>
  <dcterms:modified xsi:type="dcterms:W3CDTF">2022-08-25T03:15:00Z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(3)NvUqdzB1YQCYRDSm6hQtX6hTodPAYvYILP/m9cg+tEJLN9sl4aeAH7AsOLWsOARwOkWDxIWY
x+MQt0XTO8QyoBgIOOK1g68c9U1I4vNwJZ1IFeVaq6db2QHtXRePmeITp94SablB+gGZyMTw
IKsGCSeUsKWuMZzwjFfdv7pjNmTcDB9fHzGr1upwuka3eXInqQ/SCxijRyRGCG371SFos/46
C9OXLDMuF/w+WRx63T</vt:lpwstr>
  </property>
  <property fmtid="{D5CDD505-2E9C-101B-9397-08002B2CF9AE}" pid="10" name="_2015_ms_pID_725343_00">
    <vt:lpwstr>_2015_ms_pID_725343</vt:lpwstr>
  </property>
  <property fmtid="{D5CDD505-2E9C-101B-9397-08002B2CF9AE}" pid="11" name="_2015_ms_pID_7253431">
    <vt:lpwstr>mCCasmxILl7pTVXzxAB9Pec9K6wgWHEF2cCLVFCtQrsl4Z9JdEZkWd
8tp3mZSZthbTqu1BtCguTFIiVQtp7zrQ9D/0GvWvsbwBhIEtSEEYC63D4zUQ8r445hAQccYc
LLLDDy87+WhYeQ8A+WYeJvrVfL2H9zDqr4+TlPR12yukuGm9L2I3bKVb6B0SkK04XRJzg4uA
8E6CP3NuMzYYDdKkU4KjspQI72PdsDa+QdQ1</vt:lpwstr>
  </property>
  <property fmtid="{D5CDD505-2E9C-101B-9397-08002B2CF9AE}" pid="12" name="_2015_ms_pID_7253431_00">
    <vt:lpwstr>_2015_ms_pID_7253431</vt:lpwstr>
  </property>
  <property fmtid="{D5CDD505-2E9C-101B-9397-08002B2CF9AE}" pid="13" name="_2015_ms_pID_7253432">
    <vt:lpwstr>sRAFUyleeM2ZReNDlkerX2A=</vt:lpwstr>
  </property>
</Properties>
</file>