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F45D71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C24F0B">
        <w:rPr>
          <w:rFonts w:cs="Arial"/>
          <w:sz w:val="24"/>
          <w:szCs w:val="24"/>
          <w:lang w:val="de-DE"/>
        </w:rPr>
        <w:t>1</w:t>
      </w:r>
      <w:r w:rsidR="00CF45C1">
        <w:rPr>
          <w:rFonts w:cs="Arial"/>
          <w:sz w:val="24"/>
          <w:szCs w:val="24"/>
          <w:lang w:val="de-DE"/>
        </w:rPr>
        <w:t>3998</w:t>
      </w:r>
    </w:p>
    <w:p w14:paraId="7C5F9A1F" w14:textId="2F774506" w:rsidR="006E440C" w:rsidRPr="00DB3907" w:rsidRDefault="00324696" w:rsidP="006E440C">
      <w:pPr>
        <w:pStyle w:val="Header"/>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15</w:t>
      </w:r>
      <w:r w:rsidR="006E440C">
        <w:rPr>
          <w:rFonts w:cs="Arial"/>
          <w:sz w:val="24"/>
          <w:szCs w:val="24"/>
          <w:vertAlign w:val="superscript"/>
        </w:rPr>
        <w:t>th</w:t>
      </w:r>
      <w:r w:rsidR="006E440C">
        <w:rPr>
          <w:rFonts w:cs="Arial"/>
          <w:sz w:val="24"/>
          <w:szCs w:val="24"/>
        </w:rPr>
        <w:t xml:space="preserve"> ‒ 2</w:t>
      </w:r>
      <w:r>
        <w:rPr>
          <w:rFonts w:cs="Arial"/>
          <w:sz w:val="24"/>
          <w:szCs w:val="24"/>
        </w:rPr>
        <w:t>6</w:t>
      </w:r>
      <w:r>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72484A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CF45C1">
        <w:rPr>
          <w:rFonts w:ascii="Arial" w:hAnsi="Arial"/>
          <w:sz w:val="24"/>
          <w:lang w:val="en-US"/>
        </w:rPr>
        <w:t>5.1.8</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E25FBF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37DDA">
        <w:rPr>
          <w:rFonts w:ascii="Arial" w:hAnsi="Arial"/>
          <w:sz w:val="24"/>
          <w:lang w:val="en-US"/>
        </w:rPr>
        <w:t>P-MPR for intra-band UL CA</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372C6C" w14:textId="1FFDDF9E" w:rsidR="00B74467" w:rsidRDefault="003C483D" w:rsidP="00354733">
      <w:pPr>
        <w:rPr>
          <w:lang w:val="en-US"/>
        </w:rPr>
      </w:pPr>
      <w:r>
        <w:rPr>
          <w:lang w:val="en-US"/>
        </w:rPr>
        <w:t xml:space="preserve">The configured output power specifications currently restrict the power management P-MPR to be common between all serving cells; i.e., </w:t>
      </w:r>
      <w:r w:rsidR="00176ACD">
        <w:t>P-MPR</w:t>
      </w:r>
      <w:r w:rsidR="00176ACD">
        <w:rPr>
          <w:vertAlign w:val="subscript"/>
        </w:rPr>
        <w:t xml:space="preserve"> </w:t>
      </w:r>
      <w:r w:rsidR="00176ACD">
        <w:rPr>
          <w:i/>
          <w:vertAlign w:val="subscript"/>
          <w:lang w:bidi="bn-IN"/>
        </w:rPr>
        <w:t>c</w:t>
      </w:r>
      <w:r w:rsidR="00176ACD">
        <w:rPr>
          <w:lang w:bidi="bn-IN"/>
        </w:rPr>
        <w:t xml:space="preserve"> = P-MPR</w:t>
      </w:r>
      <w:r w:rsidR="004A58B4">
        <w:rPr>
          <w:lang w:bidi="bn-IN"/>
        </w:rPr>
        <w:t xml:space="preserve"> for intra-band UL CA</w:t>
      </w:r>
      <w:r w:rsidR="00176ACD">
        <w:rPr>
          <w:lang w:bidi="bn-IN"/>
        </w:rPr>
        <w:t xml:space="preserve">.  However, </w:t>
      </w:r>
      <w:r w:rsidR="00FA2012">
        <w:rPr>
          <w:lang w:bidi="bn-IN"/>
        </w:rPr>
        <w:t>this restriction may require the UE to unnecessarily backoff MOP on all component carriers to the minimum for any single carrier.  It is proposed for P-MPR to be available per cell.</w:t>
      </w:r>
    </w:p>
    <w:p w14:paraId="10F6602E" w14:textId="3F5F37EC" w:rsidR="007E1E78" w:rsidRDefault="007E1E78" w:rsidP="0099327E">
      <w:pPr>
        <w:pStyle w:val="Heading1"/>
        <w:tabs>
          <w:tab w:val="clear" w:pos="432"/>
          <w:tab w:val="num" w:pos="522"/>
        </w:tabs>
        <w:ind w:left="522" w:hanging="522"/>
        <w:rPr>
          <w:lang w:val="en-US"/>
        </w:rPr>
      </w:pPr>
      <w:r>
        <w:rPr>
          <w:lang w:val="en-US"/>
        </w:rPr>
        <w:t>Discussion</w:t>
      </w:r>
    </w:p>
    <w:p w14:paraId="0CA07FA4" w14:textId="3F8C6F69" w:rsidR="00291CC8" w:rsidRDefault="008762F8" w:rsidP="00FA2012">
      <w:pPr>
        <w:rPr>
          <w:lang w:val="en-US"/>
        </w:rPr>
      </w:pPr>
      <w:r>
        <w:rPr>
          <w:lang w:val="en-US"/>
        </w:rPr>
        <w:t>Carrier aggregation with multiple uplink serving cells was introduced in Rel-10 LTE</w:t>
      </w:r>
      <w:r w:rsidR="006F40C5">
        <w:rPr>
          <w:lang w:val="en-US"/>
        </w:rPr>
        <w:t>.  At the time, the assumed reference architecture for the UE was a single Tx path for all CC’s</w:t>
      </w:r>
      <w:r w:rsidR="00C60426">
        <w:rPr>
          <w:lang w:val="en-US"/>
        </w:rPr>
        <w:t xml:space="preserve"> for intra-band UL CA and separate Tx paths for each CC for inter-band UL CA.  The justification was this could enable common FFT processing at the eNB for intra-band CA</w:t>
      </w:r>
      <w:r w:rsidR="00C84447">
        <w:rPr>
          <w:lang w:val="en-US"/>
        </w:rPr>
        <w:t xml:space="preserve"> and enable the UE to support a larger number of uplink CC’s given a </w:t>
      </w:r>
      <w:r w:rsidR="00BE7B79">
        <w:rPr>
          <w:lang w:val="en-US"/>
        </w:rPr>
        <w:t>small</w:t>
      </w:r>
      <w:r w:rsidR="00C84447">
        <w:rPr>
          <w:lang w:val="en-US"/>
        </w:rPr>
        <w:t xml:space="preserve"> set of Tx chains.  </w:t>
      </w:r>
      <w:r w:rsidR="004405DF">
        <w:rPr>
          <w:lang w:val="en-US"/>
        </w:rPr>
        <w:t>At the time, channel bandwidths were limited to 20 MHz such that 2UL CA class C would be limited to 40 MHz</w:t>
      </w:r>
      <w:r w:rsidR="00291CC8">
        <w:rPr>
          <w:lang w:val="en-US"/>
        </w:rPr>
        <w:t xml:space="preserve"> aggregated channel bandwidth</w:t>
      </w:r>
      <w:r w:rsidR="004405DF">
        <w:rPr>
          <w:lang w:val="en-US"/>
        </w:rPr>
        <w:t>.  Moreover, the bands available at the time</w:t>
      </w:r>
      <w:r w:rsidR="00F92CDA">
        <w:rPr>
          <w:lang w:val="en-US"/>
        </w:rPr>
        <w:t xml:space="preserve"> were also not as wide with Band 41 having the widest bandwidth at 19</w:t>
      </w:r>
      <w:r w:rsidR="000F4CC7">
        <w:rPr>
          <w:lang w:val="en-US"/>
        </w:rPr>
        <w:t>4</w:t>
      </w:r>
      <w:r w:rsidR="00F92CDA">
        <w:rPr>
          <w:lang w:val="en-US"/>
        </w:rPr>
        <w:t xml:space="preserve"> MHz.</w:t>
      </w:r>
      <w:r w:rsidR="00291CC8">
        <w:rPr>
          <w:lang w:val="en-US"/>
        </w:rPr>
        <w:t xml:space="preserve">  The same assumptions were carried forward to FR1 NR specifications.</w:t>
      </w:r>
    </w:p>
    <w:p w14:paraId="0DB11381" w14:textId="77777777" w:rsidR="009F0551" w:rsidRDefault="00BD7CEB" w:rsidP="00FA2012">
      <w:pPr>
        <w:rPr>
          <w:lang w:val="en-US"/>
        </w:rPr>
      </w:pPr>
      <w:r>
        <w:rPr>
          <w:lang w:val="en-US"/>
        </w:rPr>
        <w:t xml:space="preserve">The configured maximum output power specifications are impacted by this reference architecture assumption.  </w:t>
      </w:r>
      <w:r w:rsidR="006614C5">
        <w:rPr>
          <w:lang w:val="en-US"/>
        </w:rPr>
        <w:t xml:space="preserve">For intra-band contiguous and non-contiguous CA, the </w:t>
      </w:r>
      <w:r w:rsidR="00D74EE9">
        <w:rPr>
          <w:lang w:val="en-US"/>
        </w:rPr>
        <w:t>Pcmax specifications indicate</w:t>
      </w:r>
    </w:p>
    <w:p w14:paraId="3D08C80C" w14:textId="68396E61" w:rsidR="009F0551" w:rsidRPr="009F0551" w:rsidRDefault="009F0551" w:rsidP="009F0551">
      <w:pPr>
        <w:ind w:left="540" w:right="721"/>
        <w:rPr>
          <w:sz w:val="18"/>
          <w:szCs w:val="18"/>
        </w:rPr>
      </w:pPr>
      <w:r w:rsidRPr="009F0551">
        <w:rPr>
          <w:rFonts w:eastAsia="SimSun"/>
          <w:sz w:val="18"/>
          <w:szCs w:val="18"/>
          <w:lang w:eastAsia="zh-CN" w:bidi="bn-IN"/>
        </w:rPr>
        <w:t>T</w:t>
      </w:r>
      <w:r w:rsidRPr="009F0551">
        <w:rPr>
          <w:sz w:val="18"/>
          <w:szCs w:val="18"/>
          <w:lang w:bidi="bn-IN"/>
        </w:rPr>
        <w:t>he configured maximum output power P</w:t>
      </w:r>
      <w:r w:rsidRPr="009F0551">
        <w:rPr>
          <w:sz w:val="18"/>
          <w:szCs w:val="18"/>
          <w:vertAlign w:val="subscript"/>
          <w:lang w:bidi="bn-IN"/>
        </w:rPr>
        <w:t>CMAX,</w:t>
      </w:r>
      <w:r w:rsidRPr="009F0551">
        <w:rPr>
          <w:rFonts w:eastAsia="SimSun"/>
          <w:i/>
          <w:sz w:val="18"/>
          <w:szCs w:val="18"/>
          <w:vertAlign w:val="subscript"/>
          <w:lang w:eastAsia="zh-CN" w:bidi="bn-IN"/>
        </w:rPr>
        <w:t>c</w:t>
      </w:r>
      <w:r w:rsidRPr="009F0551">
        <w:rPr>
          <w:sz w:val="18"/>
          <w:szCs w:val="18"/>
          <w:vertAlign w:val="subscript"/>
          <w:lang w:bidi="bn-IN"/>
        </w:rPr>
        <w:t xml:space="preserve"> </w:t>
      </w:r>
      <w:r w:rsidRPr="009F0551">
        <w:rPr>
          <w:sz w:val="18"/>
          <w:szCs w:val="18"/>
          <w:lang w:bidi="bn-IN"/>
        </w:rPr>
        <w:t xml:space="preserve"> </w:t>
      </w:r>
      <w:r w:rsidRPr="009F0551">
        <w:rPr>
          <w:rFonts w:eastAsia="SimSun"/>
          <w:sz w:val="18"/>
          <w:szCs w:val="18"/>
          <w:lang w:eastAsia="zh-CN"/>
        </w:rPr>
        <w:t xml:space="preserve">on serving cell </w:t>
      </w:r>
      <w:r w:rsidRPr="009F0551">
        <w:rPr>
          <w:i/>
          <w:sz w:val="18"/>
          <w:szCs w:val="18"/>
          <w:lang w:bidi="bn-IN"/>
        </w:rPr>
        <w:t>c</w:t>
      </w:r>
      <w:r w:rsidRPr="009F0551">
        <w:rPr>
          <w:sz w:val="18"/>
          <w:szCs w:val="18"/>
          <w:lang w:bidi="bn-IN"/>
        </w:rPr>
        <w:t xml:space="preserve"> shall be set as specified in clause 6.2.4,</w:t>
      </w:r>
      <w:r w:rsidRPr="009F0551">
        <w:rPr>
          <w:rFonts w:cs="Vrinda"/>
          <w:sz w:val="18"/>
          <w:szCs w:val="18"/>
          <w:lang w:bidi="bn-IN"/>
        </w:rPr>
        <w:t xml:space="preserve"> but with </w:t>
      </w:r>
      <w:r w:rsidRPr="009F0551">
        <w:rPr>
          <w:sz w:val="18"/>
          <w:szCs w:val="18"/>
        </w:rPr>
        <w:t>MPR</w:t>
      </w:r>
      <w:r w:rsidRPr="009F0551">
        <w:rPr>
          <w:i/>
          <w:sz w:val="18"/>
          <w:szCs w:val="18"/>
          <w:vertAlign w:val="subscript"/>
        </w:rPr>
        <w:t>c</w:t>
      </w:r>
      <w:r w:rsidRPr="009F0551">
        <w:rPr>
          <w:sz w:val="18"/>
          <w:szCs w:val="18"/>
        </w:rPr>
        <w:t xml:space="preserve"> = MPR and A-MPR</w:t>
      </w:r>
      <w:r w:rsidRPr="009F0551">
        <w:rPr>
          <w:i/>
          <w:sz w:val="18"/>
          <w:szCs w:val="18"/>
          <w:vertAlign w:val="subscript"/>
        </w:rPr>
        <w:t>c</w:t>
      </w:r>
      <w:r w:rsidRPr="009F0551">
        <w:rPr>
          <w:sz w:val="18"/>
          <w:szCs w:val="18"/>
        </w:rPr>
        <w:t xml:space="preserve"> = A-MPR with MPR and A-MPR as determined by subclause 6.2A.2 and 6.2A.3, respectively</w:t>
      </w:r>
      <w:r w:rsidRPr="009F0551">
        <w:rPr>
          <w:sz w:val="18"/>
          <w:szCs w:val="18"/>
          <w:lang w:bidi="bn-IN"/>
        </w:rPr>
        <w:t>. For PH reporting the following exception applies: if the UE is configured with multiple uplink serving cells, the power P</w:t>
      </w:r>
      <w:r w:rsidRPr="009F0551">
        <w:rPr>
          <w:sz w:val="18"/>
          <w:szCs w:val="18"/>
          <w:vertAlign w:val="subscript"/>
          <w:lang w:bidi="bn-IN"/>
        </w:rPr>
        <w:t>CMAX,</w:t>
      </w:r>
      <w:r w:rsidRPr="009F0551">
        <w:rPr>
          <w:rFonts w:eastAsia="SimSun"/>
          <w:i/>
          <w:sz w:val="18"/>
          <w:szCs w:val="18"/>
          <w:vertAlign w:val="subscript"/>
          <w:lang w:eastAsia="zh-CN" w:bidi="bn-IN"/>
        </w:rPr>
        <w:t>c</w:t>
      </w:r>
      <w:r w:rsidRPr="009F0551">
        <w:rPr>
          <w:sz w:val="18"/>
          <w:szCs w:val="18"/>
          <w:vertAlign w:val="subscript"/>
          <w:lang w:bidi="bn-IN"/>
        </w:rPr>
        <w:t xml:space="preserve"> </w:t>
      </w:r>
      <w:r w:rsidRPr="009F0551">
        <w:rPr>
          <w:sz w:val="18"/>
          <w:szCs w:val="18"/>
          <w:lang w:bidi="bn-IN"/>
        </w:rPr>
        <w:t xml:space="preserve"> used for the purpose of PH reporting </w:t>
      </w:r>
      <w:r w:rsidRPr="009F0551">
        <w:rPr>
          <w:rFonts w:eastAsia="SimSun"/>
          <w:sz w:val="18"/>
          <w:szCs w:val="18"/>
          <w:lang w:eastAsia="zh-CN"/>
        </w:rPr>
        <w:t xml:space="preserve">on first serving cell </w:t>
      </w:r>
      <w:r w:rsidRPr="009F0551">
        <w:rPr>
          <w:rFonts w:eastAsia="SimSun"/>
          <w:i/>
          <w:iCs/>
          <w:sz w:val="18"/>
          <w:szCs w:val="18"/>
          <w:lang w:eastAsia="zh-CN"/>
        </w:rPr>
        <w:t>c</w:t>
      </w:r>
      <w:r w:rsidRPr="009F0551">
        <w:rPr>
          <w:rFonts w:eastAsia="SimSun"/>
          <w:sz w:val="18"/>
          <w:szCs w:val="18"/>
          <w:lang w:eastAsia="zh-CN"/>
        </w:rPr>
        <w:t xml:space="preserve"> = </w:t>
      </w:r>
      <w:r w:rsidRPr="009F0551">
        <w:rPr>
          <w:i/>
          <w:sz w:val="18"/>
          <w:szCs w:val="18"/>
          <w:lang w:bidi="bn-IN"/>
        </w:rPr>
        <w:t>c</w:t>
      </w:r>
      <w:r w:rsidRPr="009F0551">
        <w:rPr>
          <w:iCs/>
          <w:sz w:val="18"/>
          <w:szCs w:val="18"/>
          <w:vertAlign w:val="subscript"/>
          <w:lang w:bidi="bn-IN"/>
        </w:rPr>
        <w:t>1</w:t>
      </w:r>
      <w:r w:rsidRPr="009F0551">
        <w:rPr>
          <w:sz w:val="18"/>
          <w:szCs w:val="18"/>
          <w:lang w:bidi="bn-IN"/>
        </w:rPr>
        <w:t xml:space="preserve"> does not consider for computation of the PH report transmissions on a second </w:t>
      </w:r>
      <w:r w:rsidRPr="009F0551">
        <w:rPr>
          <w:rFonts w:eastAsia="SimSun"/>
          <w:sz w:val="18"/>
          <w:szCs w:val="18"/>
          <w:lang w:eastAsia="zh-CN"/>
        </w:rPr>
        <w:t xml:space="preserve">serving cell </w:t>
      </w:r>
      <w:r w:rsidRPr="009F0551">
        <w:rPr>
          <w:i/>
          <w:sz w:val="18"/>
          <w:szCs w:val="18"/>
          <w:lang w:bidi="bn-IN"/>
        </w:rPr>
        <w:t>c</w:t>
      </w:r>
      <w:r w:rsidRPr="009F0551">
        <w:rPr>
          <w:iCs/>
          <w:sz w:val="18"/>
          <w:szCs w:val="18"/>
          <w:vertAlign w:val="subscript"/>
          <w:lang w:bidi="bn-IN"/>
        </w:rPr>
        <w:t>2</w:t>
      </w:r>
      <w:r w:rsidRPr="009F0551">
        <w:rPr>
          <w:sz w:val="18"/>
          <w:szCs w:val="18"/>
          <w:lang w:bidi="bn-IN"/>
        </w:rPr>
        <w:t xml:space="preserve"> as exempted  in subclause 7.7.1 in [8]. There is one power management term for the UE, denoted P-MPR, and </w:t>
      </w:r>
      <w:r w:rsidRPr="009F0551">
        <w:rPr>
          <w:sz w:val="18"/>
          <w:szCs w:val="18"/>
        </w:rPr>
        <w:t>P-MPR</w:t>
      </w:r>
      <w:r w:rsidRPr="009F0551">
        <w:rPr>
          <w:sz w:val="18"/>
          <w:szCs w:val="18"/>
          <w:vertAlign w:val="subscript"/>
        </w:rPr>
        <w:t xml:space="preserve"> </w:t>
      </w:r>
      <w:r w:rsidRPr="009F0551">
        <w:rPr>
          <w:i/>
          <w:sz w:val="18"/>
          <w:szCs w:val="18"/>
          <w:vertAlign w:val="subscript"/>
          <w:lang w:bidi="bn-IN"/>
        </w:rPr>
        <w:t>c</w:t>
      </w:r>
      <w:r w:rsidRPr="009F0551">
        <w:rPr>
          <w:sz w:val="18"/>
          <w:szCs w:val="18"/>
          <w:lang w:bidi="bn-IN"/>
        </w:rPr>
        <w:t xml:space="preserve"> = P-MPR. </w:t>
      </w:r>
    </w:p>
    <w:p w14:paraId="374CE6B1" w14:textId="35DF03F9" w:rsidR="009F0551" w:rsidRDefault="00DD4EA3" w:rsidP="00FA2012">
      <w:pPr>
        <w:rPr>
          <w:lang w:val="en-US"/>
        </w:rPr>
      </w:pPr>
      <w:r>
        <w:rPr>
          <w:lang w:val="en-US"/>
        </w:rPr>
        <w:t xml:space="preserve">Hence, it can be seen that there is a common MPR, A-MPR, and P-MPR applicable to all serving cells.  </w:t>
      </w:r>
      <w:r w:rsidR="005E5AD4">
        <w:rPr>
          <w:lang w:val="en-US"/>
        </w:rPr>
        <w:t xml:space="preserve">In contrast, the </w:t>
      </w:r>
      <w:r w:rsidR="00947FD0" w:rsidRPr="009F0551">
        <w:rPr>
          <w:sz w:val="18"/>
          <w:szCs w:val="18"/>
          <w:lang w:bidi="bn-IN"/>
        </w:rPr>
        <w:t>P</w:t>
      </w:r>
      <w:r w:rsidR="00947FD0" w:rsidRPr="009F0551">
        <w:rPr>
          <w:sz w:val="18"/>
          <w:szCs w:val="18"/>
          <w:vertAlign w:val="subscript"/>
          <w:lang w:bidi="bn-IN"/>
        </w:rPr>
        <w:t>CMAX,</w:t>
      </w:r>
      <w:r w:rsidR="00947FD0" w:rsidRPr="009F0551">
        <w:rPr>
          <w:rFonts w:eastAsia="SimSun"/>
          <w:i/>
          <w:sz w:val="18"/>
          <w:szCs w:val="18"/>
          <w:vertAlign w:val="subscript"/>
          <w:lang w:eastAsia="zh-CN" w:bidi="bn-IN"/>
        </w:rPr>
        <w:t>c</w:t>
      </w:r>
      <w:r w:rsidR="005E5AD4">
        <w:rPr>
          <w:lang w:val="en-US"/>
        </w:rPr>
        <w:t xml:space="preserve"> </w:t>
      </w:r>
      <w:r w:rsidR="00E312A3">
        <w:rPr>
          <w:lang w:val="en-US"/>
        </w:rPr>
        <w:t xml:space="preserve">on serving cell </w:t>
      </w:r>
      <w:r w:rsidR="00E312A3" w:rsidRPr="00E312A3">
        <w:rPr>
          <w:i/>
          <w:iCs/>
          <w:lang w:val="en-US"/>
        </w:rPr>
        <w:t>c</w:t>
      </w:r>
      <w:r w:rsidR="00E312A3">
        <w:rPr>
          <w:lang w:val="en-US"/>
        </w:rPr>
        <w:t xml:space="preserve"> </w:t>
      </w:r>
      <w:r w:rsidR="005E5AD4">
        <w:rPr>
          <w:lang w:val="en-US"/>
        </w:rPr>
        <w:t>for inter-band CA allows for per-cell MPR</w:t>
      </w:r>
      <w:r w:rsidR="005E5AD4" w:rsidRPr="00947FD0">
        <w:rPr>
          <w:i/>
          <w:iCs/>
          <w:vertAlign w:val="subscript"/>
          <w:lang w:val="en-US"/>
        </w:rPr>
        <w:t>c</w:t>
      </w:r>
      <w:r w:rsidR="005E5AD4">
        <w:rPr>
          <w:lang w:val="en-US"/>
        </w:rPr>
        <w:t>, A-MPR</w:t>
      </w:r>
      <w:r w:rsidR="00947FD0" w:rsidRPr="00947FD0">
        <w:rPr>
          <w:i/>
          <w:iCs/>
          <w:vertAlign w:val="subscript"/>
          <w:lang w:val="en-US"/>
        </w:rPr>
        <w:t>c</w:t>
      </w:r>
      <w:r w:rsidR="005E5AD4">
        <w:rPr>
          <w:lang w:val="en-US"/>
        </w:rPr>
        <w:t>, and P-MPR</w:t>
      </w:r>
      <w:r w:rsidR="00947FD0" w:rsidRPr="00947FD0">
        <w:rPr>
          <w:i/>
          <w:iCs/>
          <w:vertAlign w:val="subscript"/>
          <w:lang w:val="en-US"/>
        </w:rPr>
        <w:t>c</w:t>
      </w:r>
      <w:r w:rsidR="00E312A3">
        <w:rPr>
          <w:lang w:val="en-US"/>
        </w:rPr>
        <w:t xml:space="preserve">.  In this way, the </w:t>
      </w:r>
      <w:r w:rsidR="003C363E">
        <w:rPr>
          <w:lang w:val="en-US"/>
        </w:rPr>
        <w:t>UE has flexibility to implement a common Tx path for all cells in a band for intra-band UL CA</w:t>
      </w:r>
      <w:r w:rsidR="00D345B1">
        <w:rPr>
          <w:lang w:val="en-US"/>
        </w:rPr>
        <w:t xml:space="preserve">, but it is not required to do so.  With the introduction of NR, much larger bandwidths are now available.  Single CC bandwidth has increased to 100 MHz </w:t>
      </w:r>
      <w:r w:rsidR="0071335C">
        <w:rPr>
          <w:lang w:val="en-US"/>
        </w:rPr>
        <w:t xml:space="preserve">for FR1 </w:t>
      </w:r>
      <w:r w:rsidR="00D345B1">
        <w:rPr>
          <w:lang w:val="en-US"/>
        </w:rPr>
        <w:t xml:space="preserve">so class C CA can extend as high as 200 MHz.  </w:t>
      </w:r>
      <w:r w:rsidR="00EB34E7">
        <w:rPr>
          <w:lang w:val="en-US"/>
        </w:rPr>
        <w:t xml:space="preserve">With the </w:t>
      </w:r>
      <w:r w:rsidR="00C562DA">
        <w:rPr>
          <w:lang w:val="en-US"/>
        </w:rPr>
        <w:t xml:space="preserve">proliferation of </w:t>
      </w:r>
      <w:r w:rsidR="00EB34E7">
        <w:rPr>
          <w:lang w:val="en-US"/>
        </w:rPr>
        <w:t>wider bandwidths, it may no longer be practical</w:t>
      </w:r>
      <w:r w:rsidR="00C562DA">
        <w:rPr>
          <w:lang w:val="en-US"/>
        </w:rPr>
        <w:t xml:space="preserve"> for the UE to support intra-band CA with a single Tx chain.  </w:t>
      </w:r>
      <w:r w:rsidR="00A75793">
        <w:rPr>
          <w:lang w:val="en-US"/>
        </w:rPr>
        <w:t xml:space="preserve">An architecture </w:t>
      </w:r>
      <w:r w:rsidR="00F06BBE">
        <w:rPr>
          <w:lang w:val="en-US"/>
        </w:rPr>
        <w:t>allocating</w:t>
      </w:r>
      <w:r w:rsidR="00A75793">
        <w:rPr>
          <w:lang w:val="en-US"/>
        </w:rPr>
        <w:t xml:space="preserve"> a Tx chain per CC</w:t>
      </w:r>
      <w:r w:rsidR="00F06BBE">
        <w:rPr>
          <w:lang w:val="en-US"/>
        </w:rPr>
        <w:t xml:space="preserve"> can be better suited</w:t>
      </w:r>
      <w:r w:rsidR="003F1D4D">
        <w:rPr>
          <w:lang w:val="en-US"/>
        </w:rPr>
        <w:t xml:space="preserve"> in NR, especially for wider bandwidths.  </w:t>
      </w:r>
      <w:r w:rsidR="00A70C3D">
        <w:rPr>
          <w:lang w:val="en-US"/>
        </w:rPr>
        <w:t xml:space="preserve">In fact, a single Tx chain per CC architecture was also contemplated during the discussion on </w:t>
      </w:r>
      <w:r w:rsidR="00C87D9B">
        <w:rPr>
          <w:lang w:val="en-US"/>
        </w:rPr>
        <w:t xml:space="preserve">high power </w:t>
      </w:r>
      <w:r w:rsidR="00A70C3D">
        <w:rPr>
          <w:lang w:val="en-US"/>
        </w:rPr>
        <w:t>intra-band UL CA with UL MIMO</w:t>
      </w:r>
      <w:r w:rsidR="00193684">
        <w:rPr>
          <w:lang w:val="en-US"/>
        </w:rPr>
        <w:t xml:space="preserve"> or TxD</w:t>
      </w:r>
      <w:r w:rsidR="00A70C3D">
        <w:rPr>
          <w:lang w:val="en-US"/>
        </w:rPr>
        <w:t>.</w:t>
      </w:r>
    </w:p>
    <w:p w14:paraId="0D63F929" w14:textId="2C4FCC38" w:rsidR="003F1D4D" w:rsidRPr="00C63AC1" w:rsidRDefault="003F1D4D" w:rsidP="00FA2012">
      <w:pPr>
        <w:rPr>
          <w:b/>
          <w:bCs/>
          <w:lang w:val="en-US"/>
        </w:rPr>
      </w:pPr>
      <w:r w:rsidRPr="00C63AC1">
        <w:rPr>
          <w:b/>
          <w:bCs/>
          <w:lang w:val="en-US"/>
        </w:rPr>
        <w:t xml:space="preserve">Observation:  </w:t>
      </w:r>
      <w:r w:rsidR="005D553F" w:rsidRPr="00C63AC1">
        <w:rPr>
          <w:b/>
          <w:bCs/>
          <w:lang w:val="en-US"/>
        </w:rPr>
        <w:t xml:space="preserve">The </w:t>
      </w:r>
      <w:r w:rsidRPr="00C63AC1">
        <w:rPr>
          <w:b/>
          <w:bCs/>
          <w:lang w:val="en-US"/>
        </w:rPr>
        <w:t xml:space="preserve">UE architecture for intra-band UL CA may </w:t>
      </w:r>
      <w:r w:rsidR="005D553F" w:rsidRPr="00C63AC1">
        <w:rPr>
          <w:b/>
          <w:bCs/>
          <w:lang w:val="en-US"/>
        </w:rPr>
        <w:t>consist of a single Tx chain for all CC’s, or separate Tx chains for each CC in NR as the bandwidths</w:t>
      </w:r>
      <w:r w:rsidR="00C63AC1" w:rsidRPr="00C63AC1">
        <w:rPr>
          <w:b/>
          <w:bCs/>
          <w:lang w:val="en-US"/>
        </w:rPr>
        <w:t xml:space="preserve"> increase</w:t>
      </w:r>
      <w:r w:rsidR="00496E1C">
        <w:rPr>
          <w:b/>
          <w:bCs/>
          <w:lang w:val="en-US"/>
        </w:rPr>
        <w:t xml:space="preserve"> and for UL MIMO </w:t>
      </w:r>
      <w:r w:rsidR="00193684">
        <w:rPr>
          <w:b/>
          <w:bCs/>
          <w:lang w:val="en-US"/>
        </w:rPr>
        <w:t xml:space="preserve">or TxD </w:t>
      </w:r>
      <w:r w:rsidR="00C031C8">
        <w:rPr>
          <w:b/>
          <w:bCs/>
          <w:lang w:val="en-US"/>
        </w:rPr>
        <w:t xml:space="preserve">high power </w:t>
      </w:r>
      <w:r w:rsidR="00496E1C">
        <w:rPr>
          <w:b/>
          <w:bCs/>
          <w:lang w:val="en-US"/>
        </w:rPr>
        <w:t>support</w:t>
      </w:r>
      <w:r w:rsidR="00C63AC1" w:rsidRPr="00C63AC1">
        <w:rPr>
          <w:b/>
          <w:bCs/>
          <w:lang w:val="en-US"/>
        </w:rPr>
        <w:t>.</w:t>
      </w:r>
    </w:p>
    <w:p w14:paraId="2B60AF0C" w14:textId="66BE932E" w:rsidR="00C63AC1" w:rsidRDefault="00C63AC1" w:rsidP="00FA2012">
      <w:pPr>
        <w:rPr>
          <w:lang w:val="en-US"/>
        </w:rPr>
      </w:pPr>
      <w:r>
        <w:rPr>
          <w:lang w:val="en-US"/>
        </w:rPr>
        <w:t xml:space="preserve">There is nothing in the specifications that preclude either of the above architectures.  However, the </w:t>
      </w:r>
      <w:r w:rsidR="009A1EA4">
        <w:rPr>
          <w:lang w:val="en-US"/>
        </w:rPr>
        <w:t xml:space="preserve">fact that there is a common P-MPR term for all CC’s may lead to degraded system performance.  For a UE that implements separate Tx chains per CC, the SAR </w:t>
      </w:r>
      <w:r w:rsidR="00E8153C">
        <w:rPr>
          <w:lang w:val="en-US"/>
        </w:rPr>
        <w:t>impact from</w:t>
      </w:r>
      <w:r w:rsidR="00C81324">
        <w:rPr>
          <w:lang w:val="en-US"/>
        </w:rPr>
        <w:t xml:space="preserve"> each chain may differ.  For example, each Tx chain may be routed to separate antennas to avoid combining losses</w:t>
      </w:r>
      <w:r w:rsidR="00A616C6">
        <w:rPr>
          <w:lang w:val="en-US"/>
        </w:rPr>
        <w:t xml:space="preserve"> and each antenna can have a different impact on the overall SAR</w:t>
      </w:r>
      <w:r w:rsidR="00792F7A">
        <w:rPr>
          <w:lang w:val="en-US"/>
        </w:rPr>
        <w:t xml:space="preserve"> from the device</w:t>
      </w:r>
      <w:r w:rsidR="00EF1C4F">
        <w:rPr>
          <w:lang w:val="en-US"/>
        </w:rPr>
        <w:t>.  Ther</w:t>
      </w:r>
      <w:r w:rsidR="00034346">
        <w:rPr>
          <w:lang w:val="en-US"/>
        </w:rPr>
        <w:t xml:space="preserve">efore, it would be beneficial to </w:t>
      </w:r>
      <w:r w:rsidR="00315865">
        <w:rPr>
          <w:lang w:val="en-US"/>
        </w:rPr>
        <w:t>allow separate P-MPR</w:t>
      </w:r>
      <w:r w:rsidR="00EC0503">
        <w:rPr>
          <w:i/>
          <w:iCs/>
          <w:vertAlign w:val="subscript"/>
          <w:lang w:val="en-US"/>
        </w:rPr>
        <w:t>c</w:t>
      </w:r>
      <w:r w:rsidR="00315865">
        <w:rPr>
          <w:lang w:val="en-US"/>
        </w:rPr>
        <w:t xml:space="preserve"> per cell.  Otherwise, the UE would be forced to apply the </w:t>
      </w:r>
      <w:r w:rsidR="00EC0503">
        <w:rPr>
          <w:lang w:val="en-US"/>
        </w:rPr>
        <w:t xml:space="preserve">P-MPR as the </w:t>
      </w:r>
      <w:r w:rsidR="00315865">
        <w:rPr>
          <w:lang w:val="en-US"/>
        </w:rPr>
        <w:t>largest P-MPR</w:t>
      </w:r>
      <w:r w:rsidR="00EC0503">
        <w:rPr>
          <w:i/>
          <w:iCs/>
          <w:vertAlign w:val="subscript"/>
          <w:lang w:val="en-US"/>
        </w:rPr>
        <w:t>c</w:t>
      </w:r>
      <w:r w:rsidR="00EC0503">
        <w:rPr>
          <w:lang w:val="en-US"/>
        </w:rPr>
        <w:t xml:space="preserve"> among all the cells</w:t>
      </w:r>
      <w:r w:rsidR="00E841F6">
        <w:rPr>
          <w:lang w:val="en-US"/>
        </w:rPr>
        <w:t xml:space="preserve"> unnecessarily reducing power on those cells</w:t>
      </w:r>
      <w:r w:rsidR="0002613C">
        <w:rPr>
          <w:lang w:val="en-US"/>
        </w:rPr>
        <w:t xml:space="preserve"> with larger SAR </w:t>
      </w:r>
      <w:r w:rsidR="00477030">
        <w:rPr>
          <w:lang w:val="en-US"/>
        </w:rPr>
        <w:t>tolerance</w:t>
      </w:r>
      <w:r w:rsidR="00820514">
        <w:rPr>
          <w:lang w:val="en-US"/>
        </w:rPr>
        <w:t xml:space="preserve">.  The MOP </w:t>
      </w:r>
      <w:r w:rsidR="00163D77">
        <w:rPr>
          <w:lang w:val="en-US"/>
        </w:rPr>
        <w:t xml:space="preserve">on all antennas </w:t>
      </w:r>
      <w:r w:rsidR="00820514">
        <w:rPr>
          <w:lang w:val="en-US"/>
        </w:rPr>
        <w:t xml:space="preserve">would be dictated by the </w:t>
      </w:r>
      <w:r w:rsidR="00163D77">
        <w:rPr>
          <w:lang w:val="en-US"/>
        </w:rPr>
        <w:t xml:space="preserve">one </w:t>
      </w:r>
      <w:r w:rsidR="00820514">
        <w:rPr>
          <w:lang w:val="en-US"/>
        </w:rPr>
        <w:t xml:space="preserve">antenna with the </w:t>
      </w:r>
      <w:r w:rsidR="00163D77">
        <w:rPr>
          <w:lang w:val="en-US"/>
        </w:rPr>
        <w:t>largest SAR impact.</w:t>
      </w:r>
    </w:p>
    <w:p w14:paraId="387643E1" w14:textId="4EF0F716" w:rsidR="0002613C" w:rsidRPr="0002613C" w:rsidRDefault="0002613C" w:rsidP="00FA2012">
      <w:pPr>
        <w:rPr>
          <w:b/>
          <w:bCs/>
          <w:lang w:val="en-US"/>
        </w:rPr>
      </w:pPr>
      <w:r w:rsidRPr="0002613C">
        <w:rPr>
          <w:b/>
          <w:bCs/>
          <w:lang w:val="en-US"/>
        </w:rPr>
        <w:lastRenderedPageBreak/>
        <w:t>Proposal:  Per-cell P-MPR</w:t>
      </w:r>
      <w:r w:rsidRPr="0002613C">
        <w:rPr>
          <w:b/>
          <w:bCs/>
          <w:i/>
          <w:iCs/>
          <w:vertAlign w:val="subscript"/>
          <w:lang w:val="en-US"/>
        </w:rPr>
        <w:t>c</w:t>
      </w:r>
      <w:r w:rsidRPr="0002613C">
        <w:rPr>
          <w:b/>
          <w:bCs/>
          <w:lang w:val="en-US"/>
        </w:rPr>
        <w:t xml:space="preserve"> is allowed for intra-band UL CA</w:t>
      </w:r>
      <w:r w:rsidR="00B33E37">
        <w:rPr>
          <w:b/>
          <w:bCs/>
          <w:lang w:val="en-US"/>
        </w:rPr>
        <w:t xml:space="preserve"> contiguous and non-contiguous</w:t>
      </w:r>
      <w:r w:rsidRPr="0002613C">
        <w:rPr>
          <w:b/>
          <w:bCs/>
          <w:lang w:val="en-US"/>
        </w:rPr>
        <w:t>.</w:t>
      </w:r>
    </w:p>
    <w:p w14:paraId="6988678B" w14:textId="77777777" w:rsidR="0002613C" w:rsidRPr="00E312A3" w:rsidRDefault="0002613C" w:rsidP="00FA2012">
      <w:pPr>
        <w:rPr>
          <w:lang w:val="en-US"/>
        </w:rPr>
      </w:pPr>
    </w:p>
    <w:p w14:paraId="42F12DDA" w14:textId="65DBAB70" w:rsidR="00FA2012" w:rsidRPr="00FA2012" w:rsidRDefault="00F92CDA" w:rsidP="00FA2012">
      <w:pPr>
        <w:rPr>
          <w:lang w:val="en-US"/>
        </w:rPr>
      </w:pPr>
      <w:r>
        <w:rPr>
          <w:lang w:val="en-US"/>
        </w:rPr>
        <w:t xml:space="preserve">  </w:t>
      </w:r>
    </w:p>
    <w:p w14:paraId="3F8BEA58" w14:textId="0FD6E497" w:rsidR="009C37D0" w:rsidRDefault="00FA01C7" w:rsidP="009C37D0">
      <w:pPr>
        <w:pStyle w:val="Heading1"/>
        <w:tabs>
          <w:tab w:val="clear" w:pos="432"/>
          <w:tab w:val="num" w:pos="522"/>
        </w:tabs>
        <w:ind w:left="522" w:hanging="522"/>
        <w:rPr>
          <w:lang w:val="en-US"/>
        </w:rPr>
      </w:pPr>
      <w:r>
        <w:rPr>
          <w:lang w:val="en-US"/>
        </w:rPr>
        <w:t>Conclusion</w:t>
      </w:r>
    </w:p>
    <w:p w14:paraId="01641616" w14:textId="29554E7E" w:rsidR="00C96AD4" w:rsidRPr="00C81424" w:rsidRDefault="00F4633B" w:rsidP="00C81424">
      <w:pPr>
        <w:rPr>
          <w:lang w:val="en-US"/>
        </w:rPr>
      </w:pPr>
      <w:r>
        <w:rPr>
          <w:lang w:val="en-US"/>
        </w:rPr>
        <w:t xml:space="preserve">This contribution discusses the </w:t>
      </w:r>
      <w:r w:rsidR="00FB180F">
        <w:rPr>
          <w:lang w:val="en-US"/>
        </w:rPr>
        <w:t>P-MPR term in the P</w:t>
      </w:r>
      <w:r w:rsidR="00FB180F" w:rsidRPr="00FB180F">
        <w:rPr>
          <w:vertAlign w:val="subscript"/>
          <w:lang w:val="en-US"/>
        </w:rPr>
        <w:t>CMAX,</w:t>
      </w:r>
      <w:r w:rsidR="00FB180F" w:rsidRPr="00FB180F">
        <w:rPr>
          <w:i/>
          <w:iCs/>
          <w:vertAlign w:val="subscript"/>
          <w:lang w:val="en-US"/>
        </w:rPr>
        <w:t>c</w:t>
      </w:r>
      <w:r w:rsidR="00FB180F">
        <w:rPr>
          <w:lang w:val="en-US"/>
        </w:rPr>
        <w:t xml:space="preserve"> equation for intra-band UL CA.  It is proposed that per-cell P-MPR</w:t>
      </w:r>
      <w:r w:rsidR="00FB180F" w:rsidRPr="00FB180F">
        <w:rPr>
          <w:i/>
          <w:iCs/>
          <w:vertAlign w:val="subscript"/>
          <w:lang w:val="en-US"/>
        </w:rPr>
        <w:t>c</w:t>
      </w:r>
      <w:r w:rsidR="00FB180F">
        <w:rPr>
          <w:lang w:val="en-US"/>
        </w:rPr>
        <w:t xml:space="preserve"> is allowed</w:t>
      </w:r>
      <w:r w:rsidR="006E4748">
        <w:rPr>
          <w:lang w:val="en-US"/>
        </w:rPr>
        <w:t xml:space="preserve"> to enable maximum transmit power on each CC for a UE implemented with separate Tx chains per CC</w:t>
      </w:r>
      <w:r w:rsidR="00C21E78">
        <w:rPr>
          <w:lang w:val="en-US"/>
        </w:rPr>
        <w:t xml:space="preserve">.  </w:t>
      </w:r>
    </w:p>
    <w:p w14:paraId="370EE77B" w14:textId="2BF30DA5" w:rsidR="0090577D" w:rsidRDefault="0090577D" w:rsidP="00505D2D">
      <w:pPr>
        <w:pStyle w:val="Heading1"/>
        <w:numPr>
          <w:ilvl w:val="0"/>
          <w:numId w:val="0"/>
        </w:numPr>
        <w:ind w:left="432" w:hanging="432"/>
        <w:rPr>
          <w:lang w:val="en-US"/>
        </w:rPr>
      </w:pPr>
      <w:r>
        <w:rPr>
          <w:lang w:val="en-US"/>
        </w:rPr>
        <w:t>Reference</w:t>
      </w:r>
    </w:p>
    <w:p w14:paraId="265F4A62" w14:textId="77777777" w:rsidR="00BA160F" w:rsidRPr="00BA160F" w:rsidRDefault="00BA160F" w:rsidP="00BA160F">
      <w:pPr>
        <w:rPr>
          <w:lang w:val="en-US"/>
        </w:rPr>
      </w:pPr>
    </w:p>
    <w:sectPr w:rsidR="00BA160F" w:rsidRPr="00BA160F" w:rsidSect="00467DF4">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5AB05" w14:textId="77777777" w:rsidR="000D3F9D" w:rsidRDefault="000D3F9D">
      <w:r>
        <w:separator/>
      </w:r>
    </w:p>
  </w:endnote>
  <w:endnote w:type="continuationSeparator" w:id="0">
    <w:p w14:paraId="1B4E66A1" w14:textId="77777777" w:rsidR="000D3F9D" w:rsidRDefault="000D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4F88" w14:textId="77777777" w:rsidR="000D3F9D" w:rsidRDefault="000D3F9D">
      <w:r>
        <w:separator/>
      </w:r>
    </w:p>
  </w:footnote>
  <w:footnote w:type="continuationSeparator" w:id="0">
    <w:p w14:paraId="297682A6" w14:textId="77777777" w:rsidR="000D3F9D" w:rsidRDefault="000D3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BE117C"/>
    <w:multiLevelType w:val="hybridMultilevel"/>
    <w:tmpl w:val="593265D4"/>
    <w:lvl w:ilvl="0" w:tplc="66A8B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5"/>
  </w:num>
  <w:num w:numId="2" w16cid:durableId="513963709">
    <w:abstractNumId w:val="28"/>
  </w:num>
  <w:num w:numId="3" w16cid:durableId="30959319">
    <w:abstractNumId w:val="32"/>
  </w:num>
  <w:num w:numId="4" w16cid:durableId="1579515455">
    <w:abstractNumId w:val="35"/>
  </w:num>
  <w:num w:numId="5" w16cid:durableId="1213884486">
    <w:abstractNumId w:val="26"/>
  </w:num>
  <w:num w:numId="6" w16cid:durableId="895549640">
    <w:abstractNumId w:val="11"/>
  </w:num>
  <w:num w:numId="7" w16cid:durableId="1494643654">
    <w:abstractNumId w:val="4"/>
  </w:num>
  <w:num w:numId="8" w16cid:durableId="1777947175">
    <w:abstractNumId w:val="31"/>
  </w:num>
  <w:num w:numId="9" w16cid:durableId="461308997">
    <w:abstractNumId w:val="12"/>
  </w:num>
  <w:num w:numId="10" w16cid:durableId="1624651259">
    <w:abstractNumId w:val="23"/>
  </w:num>
  <w:num w:numId="11" w16cid:durableId="1362783709">
    <w:abstractNumId w:val="37"/>
  </w:num>
  <w:num w:numId="12" w16cid:durableId="1425344883">
    <w:abstractNumId w:val="10"/>
  </w:num>
  <w:num w:numId="13" w16cid:durableId="2073697746">
    <w:abstractNumId w:val="20"/>
  </w:num>
  <w:num w:numId="14" w16cid:durableId="866678966">
    <w:abstractNumId w:val="6"/>
  </w:num>
  <w:num w:numId="15" w16cid:durableId="1666591006">
    <w:abstractNumId w:val="19"/>
  </w:num>
  <w:num w:numId="16" w16cid:durableId="1524439568">
    <w:abstractNumId w:val="36"/>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8"/>
  </w:num>
  <w:num w:numId="19" w16cid:durableId="2009550563">
    <w:abstractNumId w:val="17"/>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4"/>
  </w:num>
  <w:num w:numId="23" w16cid:durableId="2045934884">
    <w:abstractNumId w:val="25"/>
  </w:num>
  <w:num w:numId="24" w16cid:durableId="1658996919">
    <w:abstractNumId w:val="33"/>
  </w:num>
  <w:num w:numId="25" w16cid:durableId="1145976948">
    <w:abstractNumId w:val="34"/>
  </w:num>
  <w:num w:numId="26" w16cid:durableId="1948657783">
    <w:abstractNumId w:val="5"/>
  </w:num>
  <w:num w:numId="27" w16cid:durableId="1612282645">
    <w:abstractNumId w:val="22"/>
  </w:num>
  <w:num w:numId="28" w16cid:durableId="126902088">
    <w:abstractNumId w:val="24"/>
  </w:num>
  <w:num w:numId="29" w16cid:durableId="906383168">
    <w:abstractNumId w:val="29"/>
  </w:num>
  <w:num w:numId="30" w16cid:durableId="1341155545">
    <w:abstractNumId w:val="7"/>
  </w:num>
  <w:num w:numId="31" w16cid:durableId="674380148">
    <w:abstractNumId w:val="13"/>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6"/>
  </w:num>
  <w:num w:numId="36" w16cid:durableId="1071586423">
    <w:abstractNumId w:val="3"/>
  </w:num>
  <w:num w:numId="37" w16cid:durableId="1338195957">
    <w:abstractNumId w:val="30"/>
  </w:num>
  <w:num w:numId="38" w16cid:durableId="1058632768">
    <w:abstractNumId w:val="8"/>
  </w:num>
  <w:num w:numId="39" w16cid:durableId="1014115387">
    <w:abstractNumId w:val="21"/>
  </w:num>
  <w:num w:numId="40" w16cid:durableId="32304805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0F2"/>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BDE"/>
    <w:rsid w:val="00010EE0"/>
    <w:rsid w:val="0001181D"/>
    <w:rsid w:val="00011ADF"/>
    <w:rsid w:val="00011B0B"/>
    <w:rsid w:val="00011C44"/>
    <w:rsid w:val="0001267B"/>
    <w:rsid w:val="00012960"/>
    <w:rsid w:val="00012B14"/>
    <w:rsid w:val="00013086"/>
    <w:rsid w:val="000133E2"/>
    <w:rsid w:val="000138F3"/>
    <w:rsid w:val="00013A12"/>
    <w:rsid w:val="0001409E"/>
    <w:rsid w:val="0001465F"/>
    <w:rsid w:val="00014CF4"/>
    <w:rsid w:val="00014CFE"/>
    <w:rsid w:val="00014E0C"/>
    <w:rsid w:val="00014E61"/>
    <w:rsid w:val="00014FFF"/>
    <w:rsid w:val="00015169"/>
    <w:rsid w:val="00015A6B"/>
    <w:rsid w:val="000162FA"/>
    <w:rsid w:val="0001640E"/>
    <w:rsid w:val="000167F5"/>
    <w:rsid w:val="00016903"/>
    <w:rsid w:val="00016A3A"/>
    <w:rsid w:val="00016B1B"/>
    <w:rsid w:val="00016ED1"/>
    <w:rsid w:val="000170C8"/>
    <w:rsid w:val="00017172"/>
    <w:rsid w:val="0001723C"/>
    <w:rsid w:val="00017307"/>
    <w:rsid w:val="0001732F"/>
    <w:rsid w:val="00017A58"/>
    <w:rsid w:val="00017C4A"/>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13C"/>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346"/>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8B8"/>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688"/>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3F9D"/>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A20"/>
    <w:rsid w:val="000F0E0B"/>
    <w:rsid w:val="000F0FD2"/>
    <w:rsid w:val="000F1DA5"/>
    <w:rsid w:val="000F2C1B"/>
    <w:rsid w:val="000F323B"/>
    <w:rsid w:val="000F41E3"/>
    <w:rsid w:val="000F4CC7"/>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73"/>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2947"/>
    <w:rsid w:val="001529E9"/>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3D77"/>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6ACD"/>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684"/>
    <w:rsid w:val="00193747"/>
    <w:rsid w:val="001937B4"/>
    <w:rsid w:val="00194403"/>
    <w:rsid w:val="00194582"/>
    <w:rsid w:val="00194DEE"/>
    <w:rsid w:val="00194E91"/>
    <w:rsid w:val="00195007"/>
    <w:rsid w:val="00195150"/>
    <w:rsid w:val="00195E87"/>
    <w:rsid w:val="001968A7"/>
    <w:rsid w:val="00197D1E"/>
    <w:rsid w:val="00197D53"/>
    <w:rsid w:val="001A00B8"/>
    <w:rsid w:val="001A0786"/>
    <w:rsid w:val="001A091D"/>
    <w:rsid w:val="001A1533"/>
    <w:rsid w:val="001A1AB0"/>
    <w:rsid w:val="001A1B9D"/>
    <w:rsid w:val="001A1BED"/>
    <w:rsid w:val="001A1D6F"/>
    <w:rsid w:val="001A2143"/>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A0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362A"/>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103"/>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49B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1CC8"/>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865"/>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86"/>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4AC4"/>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1DC3"/>
    <w:rsid w:val="003A249A"/>
    <w:rsid w:val="003A3229"/>
    <w:rsid w:val="003A32A2"/>
    <w:rsid w:val="003A3E1F"/>
    <w:rsid w:val="003A4260"/>
    <w:rsid w:val="003A4689"/>
    <w:rsid w:val="003A47FD"/>
    <w:rsid w:val="003A4826"/>
    <w:rsid w:val="003A5540"/>
    <w:rsid w:val="003A5A4E"/>
    <w:rsid w:val="003A5AA8"/>
    <w:rsid w:val="003A621C"/>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020"/>
    <w:rsid w:val="003C2307"/>
    <w:rsid w:val="003C253D"/>
    <w:rsid w:val="003C2936"/>
    <w:rsid w:val="003C2C65"/>
    <w:rsid w:val="003C2F30"/>
    <w:rsid w:val="003C2F7F"/>
    <w:rsid w:val="003C363E"/>
    <w:rsid w:val="003C37C2"/>
    <w:rsid w:val="003C4226"/>
    <w:rsid w:val="003C4768"/>
    <w:rsid w:val="003C4817"/>
    <w:rsid w:val="003C483D"/>
    <w:rsid w:val="003C4A26"/>
    <w:rsid w:val="003C4F69"/>
    <w:rsid w:val="003C51B6"/>
    <w:rsid w:val="003C5435"/>
    <w:rsid w:val="003C5692"/>
    <w:rsid w:val="003C5E38"/>
    <w:rsid w:val="003C6439"/>
    <w:rsid w:val="003C65D0"/>
    <w:rsid w:val="003C675A"/>
    <w:rsid w:val="003C6971"/>
    <w:rsid w:val="003C7753"/>
    <w:rsid w:val="003C7927"/>
    <w:rsid w:val="003C7B29"/>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1D4D"/>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C1"/>
    <w:rsid w:val="00410E7A"/>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140"/>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3AF"/>
    <w:rsid w:val="00435452"/>
    <w:rsid w:val="004354A5"/>
    <w:rsid w:val="00435E1C"/>
    <w:rsid w:val="00435F2E"/>
    <w:rsid w:val="00436263"/>
    <w:rsid w:val="004372F6"/>
    <w:rsid w:val="00437606"/>
    <w:rsid w:val="004401A4"/>
    <w:rsid w:val="0044043F"/>
    <w:rsid w:val="004404BA"/>
    <w:rsid w:val="004405DF"/>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5B"/>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A91"/>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67DF4"/>
    <w:rsid w:val="00470D35"/>
    <w:rsid w:val="00470F26"/>
    <w:rsid w:val="00471138"/>
    <w:rsid w:val="0047157A"/>
    <w:rsid w:val="004716F0"/>
    <w:rsid w:val="0047181D"/>
    <w:rsid w:val="00471B2D"/>
    <w:rsid w:val="00472250"/>
    <w:rsid w:val="00472368"/>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030"/>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3FDA"/>
    <w:rsid w:val="00494C37"/>
    <w:rsid w:val="00495090"/>
    <w:rsid w:val="0049519B"/>
    <w:rsid w:val="00495637"/>
    <w:rsid w:val="0049580B"/>
    <w:rsid w:val="0049596D"/>
    <w:rsid w:val="00495E5F"/>
    <w:rsid w:val="00495E6C"/>
    <w:rsid w:val="00496D08"/>
    <w:rsid w:val="00496D59"/>
    <w:rsid w:val="00496E1C"/>
    <w:rsid w:val="00496FDE"/>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8B4"/>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DE0"/>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B98"/>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D89"/>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0F40"/>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3EFA"/>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A30"/>
    <w:rsid w:val="005C5E0C"/>
    <w:rsid w:val="005C5E4D"/>
    <w:rsid w:val="005C5F4D"/>
    <w:rsid w:val="005C6495"/>
    <w:rsid w:val="005C6EA5"/>
    <w:rsid w:val="005C7578"/>
    <w:rsid w:val="005C7902"/>
    <w:rsid w:val="005C7947"/>
    <w:rsid w:val="005D0096"/>
    <w:rsid w:val="005D044B"/>
    <w:rsid w:val="005D0F15"/>
    <w:rsid w:val="005D1264"/>
    <w:rsid w:val="005D12F9"/>
    <w:rsid w:val="005D1853"/>
    <w:rsid w:val="005D1A0F"/>
    <w:rsid w:val="005D1AF9"/>
    <w:rsid w:val="005D2320"/>
    <w:rsid w:val="005D25B9"/>
    <w:rsid w:val="005D2787"/>
    <w:rsid w:val="005D2B3E"/>
    <w:rsid w:val="005D2EFC"/>
    <w:rsid w:val="005D3511"/>
    <w:rsid w:val="005D4C3F"/>
    <w:rsid w:val="005D55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45F"/>
    <w:rsid w:val="005E4A35"/>
    <w:rsid w:val="005E534E"/>
    <w:rsid w:val="005E56ED"/>
    <w:rsid w:val="005E5729"/>
    <w:rsid w:val="005E597B"/>
    <w:rsid w:val="005E59A8"/>
    <w:rsid w:val="005E5AD4"/>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00A"/>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1E79"/>
    <w:rsid w:val="006523AD"/>
    <w:rsid w:val="006523C6"/>
    <w:rsid w:val="0065251A"/>
    <w:rsid w:val="00652940"/>
    <w:rsid w:val="006529FD"/>
    <w:rsid w:val="00652BD8"/>
    <w:rsid w:val="00652D90"/>
    <w:rsid w:val="00653166"/>
    <w:rsid w:val="006547D3"/>
    <w:rsid w:val="006549B1"/>
    <w:rsid w:val="0065508B"/>
    <w:rsid w:val="006551F3"/>
    <w:rsid w:val="00655343"/>
    <w:rsid w:val="0065554D"/>
    <w:rsid w:val="006555F3"/>
    <w:rsid w:val="00655611"/>
    <w:rsid w:val="00655AB8"/>
    <w:rsid w:val="00655E22"/>
    <w:rsid w:val="00656812"/>
    <w:rsid w:val="0065711D"/>
    <w:rsid w:val="0065744C"/>
    <w:rsid w:val="00657591"/>
    <w:rsid w:val="006601DC"/>
    <w:rsid w:val="006603D5"/>
    <w:rsid w:val="006606E2"/>
    <w:rsid w:val="006614C5"/>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818"/>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ACE"/>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4748"/>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3F35"/>
    <w:rsid w:val="006F404E"/>
    <w:rsid w:val="006F40C5"/>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07FBA"/>
    <w:rsid w:val="00710042"/>
    <w:rsid w:val="00710537"/>
    <w:rsid w:val="007108D8"/>
    <w:rsid w:val="007113BE"/>
    <w:rsid w:val="00711447"/>
    <w:rsid w:val="007114DA"/>
    <w:rsid w:val="0071157E"/>
    <w:rsid w:val="00711F11"/>
    <w:rsid w:val="00712676"/>
    <w:rsid w:val="00712B7E"/>
    <w:rsid w:val="00712CBA"/>
    <w:rsid w:val="00712F16"/>
    <w:rsid w:val="0071335C"/>
    <w:rsid w:val="00713E56"/>
    <w:rsid w:val="00713FA4"/>
    <w:rsid w:val="0071453D"/>
    <w:rsid w:val="00714561"/>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2F7A"/>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6C1"/>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E0"/>
    <w:rsid w:val="007B3DB9"/>
    <w:rsid w:val="007B402C"/>
    <w:rsid w:val="007B4575"/>
    <w:rsid w:val="007B47C3"/>
    <w:rsid w:val="007B4EF8"/>
    <w:rsid w:val="007B5195"/>
    <w:rsid w:val="007B58FA"/>
    <w:rsid w:val="007B5A9E"/>
    <w:rsid w:val="007B63B7"/>
    <w:rsid w:val="007B70BE"/>
    <w:rsid w:val="007B73F0"/>
    <w:rsid w:val="007B757A"/>
    <w:rsid w:val="007B7C1C"/>
    <w:rsid w:val="007B7E88"/>
    <w:rsid w:val="007C01B6"/>
    <w:rsid w:val="007C0551"/>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5F7A"/>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514"/>
    <w:rsid w:val="0082098A"/>
    <w:rsid w:val="008209B8"/>
    <w:rsid w:val="00821285"/>
    <w:rsid w:val="00821480"/>
    <w:rsid w:val="00821A9E"/>
    <w:rsid w:val="0082276A"/>
    <w:rsid w:val="008228F7"/>
    <w:rsid w:val="008238B8"/>
    <w:rsid w:val="00823940"/>
    <w:rsid w:val="0082472F"/>
    <w:rsid w:val="00824D2A"/>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3B3"/>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1E9"/>
    <w:rsid w:val="00874300"/>
    <w:rsid w:val="00874B5E"/>
    <w:rsid w:val="00874DFD"/>
    <w:rsid w:val="00875013"/>
    <w:rsid w:val="0087514E"/>
    <w:rsid w:val="0087541C"/>
    <w:rsid w:val="00875E39"/>
    <w:rsid w:val="00875ECC"/>
    <w:rsid w:val="008760A4"/>
    <w:rsid w:val="008762F8"/>
    <w:rsid w:val="008772BE"/>
    <w:rsid w:val="00877518"/>
    <w:rsid w:val="00877C68"/>
    <w:rsid w:val="00880925"/>
    <w:rsid w:val="00880D03"/>
    <w:rsid w:val="00880D92"/>
    <w:rsid w:val="00880F6C"/>
    <w:rsid w:val="00881166"/>
    <w:rsid w:val="008814FB"/>
    <w:rsid w:val="008815A2"/>
    <w:rsid w:val="00881AFE"/>
    <w:rsid w:val="00881D0A"/>
    <w:rsid w:val="008828EB"/>
    <w:rsid w:val="00882B97"/>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6BB5"/>
    <w:rsid w:val="00887156"/>
    <w:rsid w:val="0088723B"/>
    <w:rsid w:val="00890197"/>
    <w:rsid w:val="008906E3"/>
    <w:rsid w:val="008909EB"/>
    <w:rsid w:val="00890B68"/>
    <w:rsid w:val="00891046"/>
    <w:rsid w:val="008912C3"/>
    <w:rsid w:val="008914CF"/>
    <w:rsid w:val="00891521"/>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737"/>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0E6"/>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6DA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6F2B"/>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17E"/>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37DDA"/>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47FD0"/>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9C6"/>
    <w:rsid w:val="00970BDC"/>
    <w:rsid w:val="00970CE1"/>
    <w:rsid w:val="00970EA0"/>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096"/>
    <w:rsid w:val="00996BE5"/>
    <w:rsid w:val="00996F50"/>
    <w:rsid w:val="0099731F"/>
    <w:rsid w:val="009977BB"/>
    <w:rsid w:val="0099797E"/>
    <w:rsid w:val="00997D5F"/>
    <w:rsid w:val="009A0750"/>
    <w:rsid w:val="009A088F"/>
    <w:rsid w:val="009A136D"/>
    <w:rsid w:val="009A1894"/>
    <w:rsid w:val="009A1AD5"/>
    <w:rsid w:val="009A1EA4"/>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DF"/>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0551"/>
    <w:rsid w:val="009F11C2"/>
    <w:rsid w:val="009F1D9B"/>
    <w:rsid w:val="009F1DC3"/>
    <w:rsid w:val="009F1E72"/>
    <w:rsid w:val="009F1EB2"/>
    <w:rsid w:val="009F1F04"/>
    <w:rsid w:val="009F21BC"/>
    <w:rsid w:val="009F230A"/>
    <w:rsid w:val="009F24A0"/>
    <w:rsid w:val="009F255F"/>
    <w:rsid w:val="009F27D7"/>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37D88"/>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6C6"/>
    <w:rsid w:val="00A61769"/>
    <w:rsid w:val="00A61A7C"/>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0C3D"/>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5793"/>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583F"/>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330"/>
    <w:rsid w:val="00AA04D8"/>
    <w:rsid w:val="00AA07FC"/>
    <w:rsid w:val="00AA145D"/>
    <w:rsid w:val="00AA1A94"/>
    <w:rsid w:val="00AA1CC0"/>
    <w:rsid w:val="00AA1ED0"/>
    <w:rsid w:val="00AA258B"/>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489"/>
    <w:rsid w:val="00AF0715"/>
    <w:rsid w:val="00AF08A0"/>
    <w:rsid w:val="00AF0D0A"/>
    <w:rsid w:val="00AF0F7D"/>
    <w:rsid w:val="00AF1973"/>
    <w:rsid w:val="00AF1FB4"/>
    <w:rsid w:val="00AF2A89"/>
    <w:rsid w:val="00AF37CB"/>
    <w:rsid w:val="00AF3988"/>
    <w:rsid w:val="00AF4632"/>
    <w:rsid w:val="00AF4983"/>
    <w:rsid w:val="00AF4BB0"/>
    <w:rsid w:val="00AF4EB8"/>
    <w:rsid w:val="00AF56DB"/>
    <w:rsid w:val="00AF5718"/>
    <w:rsid w:val="00AF595A"/>
    <w:rsid w:val="00AF5B8D"/>
    <w:rsid w:val="00AF5D37"/>
    <w:rsid w:val="00AF630E"/>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22B"/>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3E37"/>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32A5"/>
    <w:rsid w:val="00B43829"/>
    <w:rsid w:val="00B43D9B"/>
    <w:rsid w:val="00B44B1D"/>
    <w:rsid w:val="00B45087"/>
    <w:rsid w:val="00B45FDD"/>
    <w:rsid w:val="00B46047"/>
    <w:rsid w:val="00B46FD8"/>
    <w:rsid w:val="00B47307"/>
    <w:rsid w:val="00B4741F"/>
    <w:rsid w:val="00B47422"/>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38E"/>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8C4"/>
    <w:rsid w:val="00B90B7A"/>
    <w:rsid w:val="00B9125A"/>
    <w:rsid w:val="00B91851"/>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60F"/>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D3"/>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EB"/>
    <w:rsid w:val="00BE02EC"/>
    <w:rsid w:val="00BE0881"/>
    <w:rsid w:val="00BE0884"/>
    <w:rsid w:val="00BE0D12"/>
    <w:rsid w:val="00BE175F"/>
    <w:rsid w:val="00BE1E0C"/>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1B1"/>
    <w:rsid w:val="00BE7900"/>
    <w:rsid w:val="00BE7A3A"/>
    <w:rsid w:val="00BE7B79"/>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1C8"/>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44"/>
    <w:rsid w:val="00C205E5"/>
    <w:rsid w:val="00C20D53"/>
    <w:rsid w:val="00C21180"/>
    <w:rsid w:val="00C213D3"/>
    <w:rsid w:val="00C21813"/>
    <w:rsid w:val="00C2185A"/>
    <w:rsid w:val="00C21A1F"/>
    <w:rsid w:val="00C21BAF"/>
    <w:rsid w:val="00C21C3A"/>
    <w:rsid w:val="00C21E78"/>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55"/>
    <w:rsid w:val="00C53F79"/>
    <w:rsid w:val="00C541D2"/>
    <w:rsid w:val="00C542DD"/>
    <w:rsid w:val="00C545CB"/>
    <w:rsid w:val="00C54616"/>
    <w:rsid w:val="00C546CB"/>
    <w:rsid w:val="00C5497A"/>
    <w:rsid w:val="00C54A27"/>
    <w:rsid w:val="00C54BE1"/>
    <w:rsid w:val="00C5555C"/>
    <w:rsid w:val="00C55E50"/>
    <w:rsid w:val="00C562DA"/>
    <w:rsid w:val="00C56370"/>
    <w:rsid w:val="00C57176"/>
    <w:rsid w:val="00C571F6"/>
    <w:rsid w:val="00C57239"/>
    <w:rsid w:val="00C5751B"/>
    <w:rsid w:val="00C60426"/>
    <w:rsid w:val="00C60AA5"/>
    <w:rsid w:val="00C60DE1"/>
    <w:rsid w:val="00C6124F"/>
    <w:rsid w:val="00C61595"/>
    <w:rsid w:val="00C615C8"/>
    <w:rsid w:val="00C61B32"/>
    <w:rsid w:val="00C61FEA"/>
    <w:rsid w:val="00C62240"/>
    <w:rsid w:val="00C6255C"/>
    <w:rsid w:val="00C63AC1"/>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24"/>
    <w:rsid w:val="00C81393"/>
    <w:rsid w:val="00C81424"/>
    <w:rsid w:val="00C818B7"/>
    <w:rsid w:val="00C82D0D"/>
    <w:rsid w:val="00C83527"/>
    <w:rsid w:val="00C839E1"/>
    <w:rsid w:val="00C83C21"/>
    <w:rsid w:val="00C83D2F"/>
    <w:rsid w:val="00C83D6C"/>
    <w:rsid w:val="00C83E08"/>
    <w:rsid w:val="00C84110"/>
    <w:rsid w:val="00C843D8"/>
    <w:rsid w:val="00C84447"/>
    <w:rsid w:val="00C8507B"/>
    <w:rsid w:val="00C85ED1"/>
    <w:rsid w:val="00C86390"/>
    <w:rsid w:val="00C8643D"/>
    <w:rsid w:val="00C86B87"/>
    <w:rsid w:val="00C86BEB"/>
    <w:rsid w:val="00C86F09"/>
    <w:rsid w:val="00C87527"/>
    <w:rsid w:val="00C8782D"/>
    <w:rsid w:val="00C87D9B"/>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6AD4"/>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228"/>
    <w:rsid w:val="00CB2910"/>
    <w:rsid w:val="00CB2AC8"/>
    <w:rsid w:val="00CB31FF"/>
    <w:rsid w:val="00CB32F7"/>
    <w:rsid w:val="00CB3579"/>
    <w:rsid w:val="00CB3C05"/>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0FA"/>
    <w:rsid w:val="00CE7474"/>
    <w:rsid w:val="00CE7554"/>
    <w:rsid w:val="00CE76F4"/>
    <w:rsid w:val="00CE7AEE"/>
    <w:rsid w:val="00CE7D4C"/>
    <w:rsid w:val="00CE7F1C"/>
    <w:rsid w:val="00CF0054"/>
    <w:rsid w:val="00CF010A"/>
    <w:rsid w:val="00CF02BE"/>
    <w:rsid w:val="00CF054D"/>
    <w:rsid w:val="00CF05B9"/>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5C1"/>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B40"/>
    <w:rsid w:val="00D32F25"/>
    <w:rsid w:val="00D33802"/>
    <w:rsid w:val="00D33AE8"/>
    <w:rsid w:val="00D342C8"/>
    <w:rsid w:val="00D34313"/>
    <w:rsid w:val="00D345B1"/>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4EE9"/>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4EA3"/>
    <w:rsid w:val="00DD50F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5B8F"/>
    <w:rsid w:val="00E26647"/>
    <w:rsid w:val="00E26A6F"/>
    <w:rsid w:val="00E26B6B"/>
    <w:rsid w:val="00E26BEC"/>
    <w:rsid w:val="00E27272"/>
    <w:rsid w:val="00E2797A"/>
    <w:rsid w:val="00E30460"/>
    <w:rsid w:val="00E30549"/>
    <w:rsid w:val="00E312A3"/>
    <w:rsid w:val="00E31E1A"/>
    <w:rsid w:val="00E31F40"/>
    <w:rsid w:val="00E32A79"/>
    <w:rsid w:val="00E32B14"/>
    <w:rsid w:val="00E32E61"/>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1A68"/>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068"/>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70"/>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53C"/>
    <w:rsid w:val="00E81602"/>
    <w:rsid w:val="00E8199E"/>
    <w:rsid w:val="00E819BA"/>
    <w:rsid w:val="00E81CCA"/>
    <w:rsid w:val="00E81DDB"/>
    <w:rsid w:val="00E82948"/>
    <w:rsid w:val="00E83311"/>
    <w:rsid w:val="00E83361"/>
    <w:rsid w:val="00E8344A"/>
    <w:rsid w:val="00E83905"/>
    <w:rsid w:val="00E83C5F"/>
    <w:rsid w:val="00E841F6"/>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97ECE"/>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4E7"/>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503"/>
    <w:rsid w:val="00EC0C2B"/>
    <w:rsid w:val="00EC0D81"/>
    <w:rsid w:val="00EC16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C4F"/>
    <w:rsid w:val="00EF1D9C"/>
    <w:rsid w:val="00EF1F71"/>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264"/>
    <w:rsid w:val="00F0445C"/>
    <w:rsid w:val="00F044B5"/>
    <w:rsid w:val="00F04846"/>
    <w:rsid w:val="00F04D2A"/>
    <w:rsid w:val="00F0573E"/>
    <w:rsid w:val="00F0574F"/>
    <w:rsid w:val="00F05D3A"/>
    <w:rsid w:val="00F05F8A"/>
    <w:rsid w:val="00F062C2"/>
    <w:rsid w:val="00F0641A"/>
    <w:rsid w:val="00F066C6"/>
    <w:rsid w:val="00F06A3F"/>
    <w:rsid w:val="00F06BBE"/>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A32"/>
    <w:rsid w:val="00F40EB4"/>
    <w:rsid w:val="00F4288E"/>
    <w:rsid w:val="00F42BC0"/>
    <w:rsid w:val="00F434D7"/>
    <w:rsid w:val="00F437E7"/>
    <w:rsid w:val="00F43ADD"/>
    <w:rsid w:val="00F44A09"/>
    <w:rsid w:val="00F453EE"/>
    <w:rsid w:val="00F45965"/>
    <w:rsid w:val="00F4633B"/>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2CDA"/>
    <w:rsid w:val="00F9332F"/>
    <w:rsid w:val="00F937D3"/>
    <w:rsid w:val="00F93D7E"/>
    <w:rsid w:val="00F94113"/>
    <w:rsid w:val="00F9451B"/>
    <w:rsid w:val="00F947C2"/>
    <w:rsid w:val="00F94B2B"/>
    <w:rsid w:val="00F94C27"/>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012"/>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80F"/>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92B"/>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6F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3485</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456</cp:revision>
  <cp:lastPrinted>2017-09-11T16:45:00Z</cp:lastPrinted>
  <dcterms:created xsi:type="dcterms:W3CDTF">2022-04-25T22:31:00Z</dcterms:created>
  <dcterms:modified xsi:type="dcterms:W3CDTF">2022-08-10T20:11:00Z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