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eastAsia="zh-CN"/>
        </w:rPr>
        <w:t>22</w:t>
      </w:r>
      <w:r>
        <w:rPr>
          <w:rFonts w:hint="eastAsia" w:ascii="Arial" w:hAnsi="Arial"/>
          <w:b/>
          <w:color w:val="auto"/>
          <w:sz w:val="24"/>
          <w:lang w:val="en-US" w:eastAsia="zh-CN"/>
        </w:rPr>
        <w:t>13876</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15</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color w:val="auto"/>
          <w:sz w:val="24"/>
          <w:highlight w:val="none"/>
          <w:lang w:val="en-US" w:eastAsia="zh-CN"/>
        </w:rPr>
      </w:pPr>
      <w:r>
        <w:rPr>
          <w:color w:val="auto"/>
          <w:sz w:val="24"/>
        </w:rPr>
        <w:t>Agenda Item:</w:t>
      </w:r>
      <w:r>
        <w:rPr>
          <w:color w:val="auto"/>
          <w:sz w:val="24"/>
        </w:rPr>
        <w:tab/>
      </w:r>
      <w:r>
        <w:rPr>
          <w:rFonts w:hint="eastAsia" w:eastAsia="宋体"/>
          <w:color w:val="auto"/>
          <w:sz w:val="24"/>
          <w:highlight w:val="none"/>
          <w:lang w:val="en-US" w:eastAsia="zh-CN"/>
        </w:rPr>
        <w:t>9.9.1.3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During 103 meeting, one WF[1] about NCSG was approved. Until</w:t>
      </w:r>
      <w:r>
        <w:rPr>
          <w:rFonts w:hint="default" w:eastAsia="宋体"/>
          <w:color w:val="auto"/>
          <w:sz w:val="21"/>
          <w:szCs w:val="21"/>
          <w:lang w:val="en-US" w:eastAsia="zh-CN"/>
        </w:rPr>
        <w:t xml:space="preserve"> </w:t>
      </w:r>
      <w:r>
        <w:rPr>
          <w:rFonts w:hint="eastAsia" w:eastAsia="宋体"/>
          <w:color w:val="auto"/>
          <w:sz w:val="21"/>
          <w:szCs w:val="21"/>
          <w:lang w:val="en-US" w:eastAsia="zh-CN"/>
        </w:rPr>
        <w:t>the end of 103 meeting, almost all issues have been identified until the end of 103 meeting for the core part. The following agreements achieved in [1]: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hanging="720"/>
              <w:jc w:val="both"/>
              <w:textAlignment w:val="auto"/>
              <w:rPr>
                <w:rFonts w:ascii="Calibri" w:hAnsi="Calibri" w:cs="Calibri"/>
                <w:bCs/>
                <w:i/>
                <w:iCs/>
              </w:rPr>
            </w:pPr>
            <w:r>
              <w:rPr>
                <w:rFonts w:ascii="Calibri" w:hAnsi="Calibri" w:cs="Calibri"/>
                <w:b/>
                <w:bCs/>
                <w:iCs/>
                <w:u w:val="single"/>
              </w:rPr>
              <w:t>Impact on inter-frequency cell identification</w:t>
            </w:r>
          </w:p>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Agreement</w:t>
            </w:r>
            <w:r>
              <w:rPr>
                <w:lang w:eastAsia="zh-CN"/>
              </w:rPr>
              <w:t xml:space="preserve">: </w:t>
            </w:r>
          </w:p>
          <w:p>
            <w:pPr>
              <w:keepNext w:val="0"/>
              <w:keepLines w:val="0"/>
              <w:pageBreakBefore w:val="0"/>
              <w:widowControl/>
              <w:numPr>
                <w:ilvl w:val="0"/>
                <w:numId w:val="5"/>
              </w:numPr>
              <w:kinsoku/>
              <w:wordWrap/>
              <w:overflowPunct/>
              <w:topLinePunct w:val="0"/>
              <w:autoSpaceDE/>
              <w:autoSpaceDN/>
              <w:bidi w:val="0"/>
              <w:adjustRightInd/>
              <w:snapToGrid/>
              <w:textAlignment w:val="auto"/>
              <w:rPr>
                <w:lang w:eastAsia="zh-CN"/>
              </w:rPr>
            </w:pPr>
            <w:r>
              <w:rPr>
                <w:lang w:eastAsia="zh-CN"/>
              </w:rPr>
              <w:t>T</w:t>
            </w:r>
            <w:r>
              <w:rPr>
                <w:vertAlign w:val="subscript"/>
                <w:lang w:eastAsia="zh-CN"/>
              </w:rPr>
              <w:t xml:space="preserve">identify_inter_without_index </w:t>
            </w:r>
            <w:r>
              <w:rPr>
                <w:lang w:eastAsia="zh-CN"/>
              </w:rPr>
              <w:t xml:space="preserve">should also apply to UE [which supports </w:t>
            </w:r>
            <w:r>
              <w:rPr>
                <w:i/>
                <w:iCs/>
                <w:lang w:eastAsia="zh-CN"/>
              </w:rPr>
              <w:t>deriveSSB-IndexFromCell-inter</w:t>
            </w:r>
            <w:r>
              <w:rPr>
                <w:lang w:eastAsia="zh-CN"/>
              </w:rPr>
              <w:t xml:space="preserve">] when </w:t>
            </w:r>
            <w:r>
              <w:rPr>
                <w:i/>
                <w:iCs/>
                <w:lang w:eastAsia="zh-CN"/>
              </w:rPr>
              <w:t>deriveSSB-IndexFromCell-inter</w:t>
            </w:r>
            <w:r>
              <w:rPr>
                <w:lang w:eastAsia="zh-CN"/>
              </w:rPr>
              <w:t xml:space="preserve"> is enabled.</w:t>
            </w:r>
          </w:p>
          <w:p>
            <w:pPr>
              <w:keepNext w:val="0"/>
              <w:keepLines w:val="0"/>
              <w:pageBreakBefore w:val="0"/>
              <w:widowControl/>
              <w:kinsoku/>
              <w:wordWrap/>
              <w:overflowPunct/>
              <w:topLinePunct w:val="0"/>
              <w:autoSpaceDE/>
              <w:autoSpaceDN/>
              <w:bidi w:val="0"/>
              <w:adjustRightInd/>
              <w:snapToGrid/>
              <w:textAlignment w:val="auto"/>
              <w:rPr>
                <w:iCs/>
                <w:lang w:eastAsia="zh-CN"/>
              </w:rPr>
            </w:pPr>
          </w:p>
          <w:p>
            <w:pPr>
              <w:keepNext w:val="0"/>
              <w:keepLines w:val="0"/>
              <w:pageBreakBefore w:val="0"/>
              <w:widowControl/>
              <w:numPr>
                <w:ilvl w:val="0"/>
                <w:numId w:val="4"/>
              </w:numPr>
              <w:kinsoku/>
              <w:wordWrap/>
              <w:overflowPunct/>
              <w:topLinePunct w:val="0"/>
              <w:autoSpaceDE/>
              <w:autoSpaceDN/>
              <w:bidi w:val="0"/>
              <w:adjustRightInd/>
              <w:snapToGrid/>
              <w:ind w:hanging="720"/>
              <w:jc w:val="both"/>
              <w:textAlignment w:val="auto"/>
              <w:rPr>
                <w:rFonts w:ascii="Calibri" w:hAnsi="Calibri" w:cs="Calibri"/>
                <w:b/>
                <w:bCs/>
                <w:iCs/>
                <w:u w:val="single"/>
              </w:rPr>
            </w:pPr>
            <w:r>
              <w:rPr>
                <w:rFonts w:ascii="Calibri" w:hAnsi="Calibri" w:cs="Calibri"/>
                <w:b/>
                <w:bCs/>
                <w:iCs/>
                <w:u w:val="single"/>
              </w:rPr>
              <w:t>Mandatory NCSG patterns</w:t>
            </w:r>
            <w:r>
              <w:rPr>
                <w:rFonts w:ascii="Calibri" w:hAnsi="Calibri" w:cs="Calibri"/>
                <w:b/>
                <w:bCs/>
                <w:iCs/>
                <w:u w:val="single"/>
              </w:rPr>
              <w:tab/>
            </w:r>
          </w:p>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Agreement</w:t>
            </w:r>
            <w:r>
              <w:rPr>
                <w:lang w:eastAsia="zh-CN"/>
              </w:rPr>
              <w:t>:</w:t>
            </w:r>
          </w:p>
          <w:p>
            <w:pPr>
              <w:keepNext w:val="0"/>
              <w:keepLines w:val="0"/>
              <w:pageBreakBefore w:val="0"/>
              <w:widowControl/>
              <w:numPr>
                <w:ilvl w:val="0"/>
                <w:numId w:val="5"/>
              </w:numPr>
              <w:kinsoku/>
              <w:wordWrap/>
              <w:overflowPunct/>
              <w:topLinePunct w:val="0"/>
              <w:autoSpaceDE/>
              <w:autoSpaceDN/>
              <w:bidi w:val="0"/>
              <w:adjustRightInd/>
              <w:snapToGrid/>
              <w:textAlignment w:val="auto"/>
              <w:rPr>
                <w:lang w:eastAsia="zh-CN"/>
              </w:rPr>
            </w:pPr>
            <w:r>
              <w:rPr>
                <w:lang w:eastAsia="zh-CN"/>
              </w:rPr>
              <w:t>NCSG pattern #13 and #14 are mandatory for UE supports per-FR MG or UE capable of FR2 standalone mode.</w:t>
            </w:r>
          </w:p>
          <w:p>
            <w:pPr>
              <w:keepNext w:val="0"/>
              <w:keepLines w:val="0"/>
              <w:pageBreakBefore w:val="0"/>
              <w:widowControl/>
              <w:kinsoku/>
              <w:wordWrap/>
              <w:overflowPunct/>
              <w:topLinePunct w:val="0"/>
              <w:autoSpaceDE/>
              <w:autoSpaceDN/>
              <w:bidi w:val="0"/>
              <w:adjustRightInd/>
              <w:snapToGrid/>
              <w:textAlignment w:val="auto"/>
              <w:rPr>
                <w:lang w:eastAsia="zh-CN"/>
              </w:rPr>
            </w:pPr>
          </w:p>
          <w:p>
            <w:pPr>
              <w:keepNext w:val="0"/>
              <w:keepLines w:val="0"/>
              <w:pageBreakBefore w:val="0"/>
              <w:widowControl/>
              <w:numPr>
                <w:ilvl w:val="0"/>
                <w:numId w:val="4"/>
              </w:numPr>
              <w:kinsoku/>
              <w:wordWrap/>
              <w:overflowPunct/>
              <w:topLinePunct w:val="0"/>
              <w:autoSpaceDE/>
              <w:autoSpaceDN/>
              <w:bidi w:val="0"/>
              <w:adjustRightInd/>
              <w:snapToGrid/>
              <w:ind w:hanging="720"/>
              <w:jc w:val="both"/>
              <w:textAlignment w:val="auto"/>
              <w:rPr>
                <w:rFonts w:ascii="Calibri" w:hAnsi="Calibri" w:cs="Calibri"/>
                <w:b/>
                <w:bCs/>
                <w:iCs/>
                <w:u w:val="single"/>
              </w:rPr>
            </w:pPr>
            <w:r>
              <w:rPr>
                <w:rFonts w:ascii="Calibri" w:hAnsi="Calibri" w:cs="Calibri"/>
                <w:b/>
                <w:bCs/>
                <w:iCs/>
                <w:u w:val="single"/>
              </w:rPr>
              <w:t>Mgta for NCSG</w:t>
            </w:r>
          </w:p>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Agreement</w:t>
            </w:r>
            <w:r>
              <w:rPr>
                <w:lang w:eastAsia="zh-CN"/>
              </w:rPr>
              <w:t xml:space="preserve">: </w:t>
            </w:r>
          </w:p>
          <w:p>
            <w:pPr>
              <w:keepNext w:val="0"/>
              <w:keepLines w:val="0"/>
              <w:pageBreakBefore w:val="0"/>
              <w:widowControl/>
              <w:numPr>
                <w:ilvl w:val="0"/>
                <w:numId w:val="5"/>
              </w:numPr>
              <w:kinsoku/>
              <w:wordWrap/>
              <w:overflowPunct/>
              <w:topLinePunct w:val="0"/>
              <w:autoSpaceDE/>
              <w:autoSpaceDN/>
              <w:bidi w:val="0"/>
              <w:adjustRightInd/>
              <w:snapToGrid/>
              <w:textAlignment w:val="auto"/>
              <w:rPr>
                <w:lang w:eastAsia="zh-CN"/>
              </w:rPr>
            </w:pPr>
            <w:r>
              <w:rPr>
                <w:iCs/>
                <w:lang w:eastAsia="zh-CN"/>
              </w:rPr>
              <w:t>Remove the interruption requirements for 0.5ms mgta for FR1 NCSG and 0.25ms mgta for FR2 NCSG in 38.133.</w:t>
            </w:r>
          </w:p>
          <w:p>
            <w:pPr>
              <w:keepNext w:val="0"/>
              <w:keepLines w:val="0"/>
              <w:pageBreakBefore w:val="0"/>
              <w:widowControl/>
              <w:kinsoku/>
              <w:wordWrap/>
              <w:overflowPunct/>
              <w:topLinePunct w:val="0"/>
              <w:autoSpaceDE/>
              <w:autoSpaceDN/>
              <w:bidi w:val="0"/>
              <w:adjustRightInd/>
              <w:snapToGrid/>
              <w:textAlignment w:val="auto"/>
              <w:rPr>
                <w:lang w:eastAsia="zh-CN"/>
              </w:rPr>
            </w:pPr>
          </w:p>
          <w:p>
            <w:pPr>
              <w:keepNext w:val="0"/>
              <w:keepLines w:val="0"/>
              <w:pageBreakBefore w:val="0"/>
              <w:widowControl/>
              <w:numPr>
                <w:ilvl w:val="0"/>
                <w:numId w:val="4"/>
              </w:numPr>
              <w:kinsoku/>
              <w:wordWrap/>
              <w:overflowPunct/>
              <w:topLinePunct w:val="0"/>
              <w:autoSpaceDE/>
              <w:autoSpaceDN/>
              <w:bidi w:val="0"/>
              <w:adjustRightInd/>
              <w:snapToGrid/>
              <w:ind w:hanging="720"/>
              <w:jc w:val="both"/>
              <w:textAlignment w:val="auto"/>
              <w:rPr>
                <w:rFonts w:ascii="Calibri" w:hAnsi="Calibri" w:cs="Calibri"/>
                <w:b/>
                <w:bCs/>
                <w:iCs/>
                <w:u w:val="single"/>
              </w:rPr>
            </w:pPr>
            <w:r>
              <w:rPr>
                <w:rFonts w:ascii="Calibri" w:hAnsi="Calibri" w:cs="Calibri"/>
                <w:b/>
                <w:bCs/>
                <w:iCs/>
                <w:u w:val="single"/>
              </w:rPr>
              <w:t>NCSG pattern applicability</w:t>
            </w:r>
          </w:p>
          <w:p>
            <w:pPr>
              <w:keepNext w:val="0"/>
              <w:keepLines w:val="0"/>
              <w:pageBreakBefore w:val="0"/>
              <w:widowControl/>
              <w:kinsoku/>
              <w:wordWrap/>
              <w:overflowPunct/>
              <w:topLinePunct w:val="0"/>
              <w:autoSpaceDE/>
              <w:autoSpaceDN/>
              <w:bidi w:val="0"/>
              <w:adjustRightInd/>
              <w:snapToGrid/>
              <w:textAlignment w:val="auto"/>
              <w:rPr>
                <w:lang w:eastAsia="zh-CN"/>
              </w:rPr>
            </w:pPr>
            <w:r>
              <w:rPr>
                <w:b/>
                <w:lang w:eastAsia="zh-CN"/>
              </w:rPr>
              <w:t>Agreement</w:t>
            </w:r>
            <w:r>
              <w:rPr>
                <w:lang w:eastAsia="zh-CN"/>
              </w:rPr>
              <w:t xml:space="preserve">: </w:t>
            </w:r>
          </w:p>
          <w:p>
            <w:pPr>
              <w:keepNext w:val="0"/>
              <w:keepLines w:val="0"/>
              <w:pageBreakBefore w:val="0"/>
              <w:widowControl/>
              <w:numPr>
                <w:ilvl w:val="0"/>
                <w:numId w:val="5"/>
              </w:numPr>
              <w:kinsoku/>
              <w:wordWrap/>
              <w:overflowPunct/>
              <w:topLinePunct w:val="0"/>
              <w:autoSpaceDE/>
              <w:autoSpaceDN/>
              <w:bidi w:val="0"/>
              <w:adjustRightInd/>
              <w:snapToGrid/>
              <w:textAlignment w:val="auto"/>
              <w:rPr>
                <w:rFonts w:hint="default" w:eastAsia="宋体"/>
                <w:color w:val="auto"/>
                <w:sz w:val="21"/>
                <w:szCs w:val="21"/>
                <w:vertAlign w:val="baseline"/>
                <w:lang w:val="en-US" w:eastAsia="zh-CN"/>
              </w:rPr>
            </w:pPr>
            <w:r>
              <w:rPr>
                <w:bCs/>
                <w:iCs/>
                <w:lang w:eastAsia="zh-CN"/>
              </w:rPr>
              <w:t>Introduce NCSG pattern applicability, and re-use the legacy MG pattern applicability in Table 9.1.2-3 for NCSG patterns. M</w:t>
            </w:r>
            <w:r>
              <w:rPr>
                <w:iCs/>
                <w:lang w:eastAsia="zh-CN"/>
              </w:rPr>
              <w:t>ake a separate applicability table for NCSG patterns.</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Based on the discussion and progress during 103 meeting, the following issues needs further discussion. We provide our view on these issues.</w:t>
      </w:r>
    </w:p>
    <w:p>
      <w:pPr>
        <w:numPr>
          <w:ilvl w:val="0"/>
          <w:numId w:val="6"/>
        </w:numPr>
        <w:bidi w:val="0"/>
        <w:rPr>
          <w:rFonts w:hint="default" w:eastAsia="宋体"/>
          <w:color w:val="auto"/>
          <w:sz w:val="21"/>
          <w:szCs w:val="21"/>
          <w:lang w:val="en-US" w:eastAsia="zh-CN"/>
        </w:rPr>
      </w:pPr>
      <w:r>
        <w:rPr>
          <w:rFonts w:hint="eastAsia" w:eastAsia="宋体"/>
          <w:color w:val="auto"/>
          <w:sz w:val="21"/>
          <w:szCs w:val="21"/>
          <w:lang w:val="en-US" w:eastAsia="zh-CN"/>
        </w:rPr>
        <w:t>Impact of</w:t>
      </w:r>
      <w:r>
        <w:rPr>
          <w:rFonts w:hint="default" w:eastAsia="宋体"/>
          <w:color w:val="auto"/>
          <w:sz w:val="21"/>
          <w:szCs w:val="21"/>
          <w:lang w:val="en-US" w:eastAsia="zh-CN"/>
        </w:rPr>
        <w:t xml:space="preserve"> </w:t>
      </w:r>
      <w:r>
        <w:rPr>
          <w:rFonts w:hint="default" w:eastAsia="宋体"/>
          <w:i/>
          <w:iCs/>
          <w:color w:val="auto"/>
          <w:sz w:val="21"/>
          <w:szCs w:val="21"/>
          <w:lang w:val="en-US" w:eastAsia="zh-CN"/>
        </w:rPr>
        <w:t>deriveSSB-IndexFromCell-inter</w:t>
      </w:r>
      <w:r>
        <w:rPr>
          <w:rFonts w:hint="default" w:eastAsia="宋体"/>
          <w:color w:val="auto"/>
          <w:sz w:val="21"/>
          <w:szCs w:val="21"/>
          <w:lang w:val="en-US" w:eastAsia="zh-CN"/>
        </w:rPr>
        <w:t xml:space="preserve"> </w:t>
      </w:r>
      <w:r>
        <w:rPr>
          <w:rFonts w:hint="eastAsia" w:eastAsia="宋体"/>
          <w:color w:val="auto"/>
          <w:sz w:val="21"/>
          <w:szCs w:val="21"/>
          <w:lang w:val="en-US" w:eastAsia="zh-CN"/>
        </w:rPr>
        <w:t>on inter-frequency cell identification</w:t>
      </w:r>
    </w:p>
    <w:p>
      <w:pPr>
        <w:numPr>
          <w:ilvl w:val="0"/>
          <w:numId w:val="6"/>
        </w:numPr>
        <w:bidi w:val="0"/>
        <w:rPr>
          <w:rFonts w:hint="default" w:eastAsia="宋体"/>
          <w:color w:val="auto"/>
          <w:sz w:val="21"/>
          <w:szCs w:val="21"/>
          <w:lang w:val="en-US" w:eastAsia="zh-CN"/>
        </w:rPr>
      </w:pPr>
      <w:r>
        <w:rPr>
          <w:rFonts w:hint="eastAsia" w:eastAsia="宋体"/>
          <w:color w:val="auto"/>
          <w:sz w:val="21"/>
          <w:szCs w:val="21"/>
          <w:lang w:val="en-US" w:eastAsia="zh-CN"/>
        </w:rPr>
        <w:t xml:space="preserve">Whether it is allowed to decouple </w:t>
      </w:r>
      <w:r>
        <w:rPr>
          <w:rFonts w:hint="eastAsia" w:eastAsia="宋体"/>
          <w:i/>
          <w:iCs/>
          <w:color w:val="auto"/>
          <w:sz w:val="21"/>
          <w:szCs w:val="21"/>
          <w:lang w:val="en-US" w:eastAsia="zh-CN"/>
        </w:rPr>
        <w:t>NeedForNCSG-InfoNR</w:t>
      </w:r>
      <w:r>
        <w:rPr>
          <w:rFonts w:hint="eastAsia" w:eastAsia="宋体"/>
          <w:color w:val="auto"/>
          <w:sz w:val="21"/>
          <w:szCs w:val="21"/>
          <w:lang w:val="en-US" w:eastAsia="zh-CN"/>
        </w:rPr>
        <w:t xml:space="preserve"> and NCSG capability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numPr>
          <w:ilvl w:val="0"/>
          <w:numId w:val="0"/>
        </w:numPr>
        <w:bidi w:val="0"/>
        <w:ind w:leftChars="0"/>
        <w:rPr>
          <w:rFonts w:hint="default" w:eastAsia="宋体"/>
          <w:color w:val="auto"/>
          <w:sz w:val="21"/>
          <w:szCs w:val="21"/>
          <w:u w:val="single"/>
          <w:lang w:val="en-US" w:eastAsia="zh-CN"/>
        </w:rPr>
      </w:pPr>
      <w:r>
        <w:rPr>
          <w:rFonts w:hint="default" w:eastAsia="宋体"/>
          <w:color w:val="auto"/>
          <w:sz w:val="21"/>
          <w:szCs w:val="21"/>
          <w:u w:val="single"/>
          <w:lang w:val="en-US" w:eastAsia="zh-CN"/>
        </w:rPr>
        <w:t xml:space="preserve">Impact of </w:t>
      </w:r>
      <w:r>
        <w:rPr>
          <w:rFonts w:hint="default" w:eastAsia="宋体"/>
          <w:i/>
          <w:iCs/>
          <w:color w:val="auto"/>
          <w:sz w:val="21"/>
          <w:szCs w:val="21"/>
          <w:u w:val="single"/>
          <w:lang w:val="en-US" w:eastAsia="zh-CN"/>
        </w:rPr>
        <w:t>deriveSSB-IndexFromCell-inter</w:t>
      </w:r>
      <w:r>
        <w:rPr>
          <w:rFonts w:hint="default" w:eastAsia="宋体"/>
          <w:color w:val="auto"/>
          <w:sz w:val="21"/>
          <w:szCs w:val="21"/>
          <w:u w:val="single"/>
          <w:lang w:val="en-US" w:eastAsia="zh-CN"/>
        </w:rPr>
        <w:t xml:space="preserve"> on inter-frequency cell identification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An useful indicator </w:t>
      </w:r>
      <w:r>
        <w:rPr>
          <w:rFonts w:hint="default" w:eastAsia="宋体"/>
          <w:i/>
          <w:iCs/>
          <w:color w:val="auto"/>
          <w:sz w:val="21"/>
          <w:szCs w:val="21"/>
          <w:lang w:val="en-US" w:eastAsia="zh-CN"/>
        </w:rPr>
        <w:t>deriveSSB-IndexFromCell-inter</w:t>
      </w:r>
      <w:r>
        <w:rPr>
          <w:rFonts w:hint="eastAsia" w:eastAsia="宋体"/>
          <w:color w:val="auto"/>
          <w:sz w:val="21"/>
          <w:szCs w:val="21"/>
          <w:lang w:val="en-US" w:eastAsia="zh-CN"/>
        </w:rPr>
        <w:t xml:space="preserve"> was introduced in NCSG topic so as to inform UE whether SSB index can be derived from inter-frequency serving cell when UE performs RRM measurement based on NCSG. Even though such indicator was introduced aim to the applicability of scheduling restriction cased by NCSG, however since applying such indicator for inter-frequency cell identification is natural, it has been approved that </w:t>
      </w:r>
      <w:r>
        <w:rPr>
          <w:rFonts w:eastAsia="宋体" w:asciiTheme="minorHAnsi" w:hAnsiTheme="minorHAnsi" w:cstheme="minorHAnsi"/>
          <w:iCs/>
          <w:color w:val="auto"/>
          <w:lang w:val="en-GB"/>
        </w:rPr>
        <w:t>T</w:t>
      </w:r>
      <w:r>
        <w:rPr>
          <w:rFonts w:eastAsia="宋体" w:asciiTheme="minorHAnsi" w:hAnsiTheme="minorHAnsi" w:cstheme="minorHAnsi"/>
          <w:iCs/>
          <w:color w:val="auto"/>
          <w:vertAlign w:val="subscript"/>
          <w:lang w:val="en-GB"/>
        </w:rPr>
        <w:t>identify_inter_without_index</w:t>
      </w:r>
      <w:r>
        <w:rPr>
          <w:rFonts w:hint="eastAsia" w:eastAsia="宋体"/>
          <w:color w:val="auto"/>
          <w:sz w:val="21"/>
          <w:szCs w:val="21"/>
          <w:lang w:val="en-US" w:eastAsia="zh-CN"/>
        </w:rPr>
        <w:t xml:space="preserve"> should also apply to UE [which supports deriveSSB-IndexFromCell-inter] when </w:t>
      </w:r>
      <w:r>
        <w:rPr>
          <w:rFonts w:hint="default" w:eastAsia="宋体"/>
          <w:i/>
          <w:iCs/>
          <w:color w:val="auto"/>
          <w:sz w:val="21"/>
          <w:szCs w:val="21"/>
          <w:lang w:val="en-US" w:eastAsia="zh-CN"/>
        </w:rPr>
        <w:t>deriveSSB-IndexFromCell-inter</w:t>
      </w:r>
      <w:r>
        <w:rPr>
          <w:rFonts w:hint="eastAsia" w:eastAsia="宋体"/>
          <w:color w:val="auto"/>
          <w:sz w:val="21"/>
          <w:szCs w:val="21"/>
          <w:lang w:val="en-US" w:eastAsia="zh-CN"/>
        </w:rPr>
        <w:t xml:space="preserve"> is enabled. Around this initial agreement, in fact some related aspects need further identified:</w:t>
      </w:r>
    </w:p>
    <w:p>
      <w:pPr>
        <w:numPr>
          <w:ilvl w:val="0"/>
          <w:numId w:val="7"/>
        </w:numPr>
        <w:bidi w:val="0"/>
        <w:jc w:val="both"/>
        <w:rPr>
          <w:rFonts w:hint="default" w:eastAsia="宋体"/>
          <w:color w:val="auto"/>
          <w:sz w:val="21"/>
          <w:szCs w:val="21"/>
          <w:lang w:val="en-US" w:eastAsia="zh-CN"/>
        </w:rPr>
      </w:pPr>
      <w:r>
        <w:rPr>
          <w:rFonts w:hint="eastAsia" w:eastAsia="宋体"/>
          <w:color w:val="auto"/>
          <w:sz w:val="21"/>
          <w:szCs w:val="21"/>
          <w:lang w:val="en-US" w:eastAsia="zh-CN"/>
        </w:rPr>
        <w:t xml:space="preserve">Aspect 1: For the UE capable of NCSG and NCSG is applicable, whether additional UE capability indicating support of </w:t>
      </w:r>
      <w:r>
        <w:rPr>
          <w:rFonts w:hint="default" w:eastAsia="宋体"/>
          <w:i/>
          <w:iCs/>
          <w:color w:val="auto"/>
          <w:sz w:val="21"/>
          <w:szCs w:val="21"/>
          <w:lang w:val="en-US" w:eastAsia="zh-CN"/>
        </w:rPr>
        <w:t>deriveSSB-IndexFromCell-inter</w:t>
      </w:r>
      <w:r>
        <w:rPr>
          <w:rFonts w:hint="eastAsia" w:eastAsia="宋体"/>
          <w:i/>
          <w:iCs/>
          <w:color w:val="auto"/>
          <w:sz w:val="21"/>
          <w:szCs w:val="21"/>
          <w:lang w:val="en-US" w:eastAsia="zh-CN"/>
        </w:rPr>
        <w:t xml:space="preserve"> </w:t>
      </w:r>
      <w:r>
        <w:rPr>
          <w:rFonts w:hint="eastAsia" w:eastAsia="宋体"/>
          <w:color w:val="auto"/>
          <w:sz w:val="21"/>
          <w:szCs w:val="21"/>
          <w:lang w:val="en-US" w:eastAsia="zh-CN"/>
        </w:rPr>
        <w:t>is necessary</w:t>
      </w:r>
    </w:p>
    <w:p>
      <w:pPr>
        <w:numPr>
          <w:ilvl w:val="0"/>
          <w:numId w:val="7"/>
        </w:numPr>
        <w:bidi w:val="0"/>
        <w:jc w:val="both"/>
        <w:rPr>
          <w:rFonts w:hint="default" w:eastAsia="宋体"/>
          <w:color w:val="auto"/>
          <w:sz w:val="21"/>
          <w:szCs w:val="21"/>
          <w:lang w:val="en-US" w:eastAsia="zh-CN"/>
        </w:rPr>
      </w:pPr>
      <w:r>
        <w:rPr>
          <w:rFonts w:hint="eastAsia" w:eastAsia="宋体"/>
          <w:color w:val="auto"/>
          <w:sz w:val="21"/>
          <w:szCs w:val="21"/>
          <w:lang w:val="en-US" w:eastAsia="zh-CN"/>
        </w:rPr>
        <w:t xml:space="preserve">Aspect 2: For the UE not capable of NCSG or NCSG is disabled, whether </w:t>
      </w:r>
      <w:r>
        <w:rPr>
          <w:rFonts w:hint="default" w:eastAsia="宋体"/>
          <w:i/>
          <w:iCs/>
          <w:color w:val="auto"/>
          <w:sz w:val="21"/>
          <w:szCs w:val="21"/>
          <w:lang w:val="en-US" w:eastAsia="zh-CN"/>
        </w:rPr>
        <w:t>deriveSSB-IndexFromCell-inter</w:t>
      </w:r>
      <w:r>
        <w:rPr>
          <w:rFonts w:hint="eastAsia" w:eastAsia="宋体"/>
          <w:color w:val="auto"/>
          <w:sz w:val="21"/>
          <w:szCs w:val="21"/>
          <w:lang w:val="en-US" w:eastAsia="zh-CN"/>
        </w:rPr>
        <w:t xml:space="preserve"> is applicable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Aspect 1, the following options proposed during 103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overflowPunct w:val="0"/>
              <w:autoSpaceDE w:val="0"/>
              <w:autoSpaceDN w:val="0"/>
              <w:adjustRightInd w:val="0"/>
              <w:spacing w:after="120"/>
              <w:ind w:left="360" w:leftChars="0" w:hanging="360" w:firstLineChars="0"/>
              <w:jc w:val="both"/>
              <w:textAlignment w:val="baseline"/>
              <w:rPr>
                <w:rFonts w:hint="default" w:eastAsia="宋体"/>
                <w:b w:val="0"/>
                <w:bCs w:val="0"/>
                <w:color w:val="auto"/>
                <w:u w:val="none"/>
                <w:lang w:val="en-US" w:eastAsia="zh-CN"/>
              </w:rPr>
            </w:pPr>
            <w:r>
              <w:rPr>
                <w:rFonts w:eastAsia="宋体" w:asciiTheme="minorHAnsi" w:hAnsiTheme="minorHAnsi" w:cstheme="minorHAnsi"/>
                <w:bCs/>
                <w:iCs/>
                <w:color w:val="auto"/>
              </w:rPr>
              <w:t xml:space="preserve">Option 1: introduce a new optional UE capability (independent of NCSG support) indicating support of </w:t>
            </w:r>
            <w:r>
              <w:rPr>
                <w:rFonts w:eastAsia="宋体" w:asciiTheme="minorHAnsi" w:hAnsiTheme="minorHAnsi" w:cstheme="minorHAnsi"/>
                <w:i/>
                <w:iCs/>
                <w:color w:val="auto"/>
                <w:lang w:val="en-GB"/>
              </w:rPr>
              <w:t>deriveSSB-IndexFromCell-inter</w:t>
            </w:r>
            <w:r>
              <w:rPr>
                <w:rFonts w:eastAsia="宋体" w:asciiTheme="minorHAnsi" w:hAnsiTheme="minorHAnsi" w:cstheme="minorHAnsi"/>
                <w:bCs/>
                <w:iCs/>
                <w:color w:val="auto"/>
              </w:rPr>
              <w:t>.</w:t>
            </w:r>
          </w:p>
          <w:p>
            <w:pPr>
              <w:numPr>
                <w:ilvl w:val="0"/>
                <w:numId w:val="8"/>
              </w:numPr>
              <w:overflowPunct w:val="0"/>
              <w:autoSpaceDE w:val="0"/>
              <w:autoSpaceDN w:val="0"/>
              <w:adjustRightInd w:val="0"/>
              <w:spacing w:after="120"/>
              <w:ind w:left="360" w:leftChars="0" w:hanging="360" w:firstLineChars="0"/>
              <w:jc w:val="both"/>
              <w:textAlignment w:val="baseline"/>
              <w:rPr>
                <w:rFonts w:hint="default" w:eastAsia="宋体"/>
                <w:color w:val="auto"/>
                <w:sz w:val="21"/>
                <w:szCs w:val="21"/>
                <w:vertAlign w:val="baseline"/>
                <w:lang w:val="en-US" w:eastAsia="zh-CN"/>
              </w:rPr>
            </w:pPr>
            <w:r>
              <w:rPr>
                <w:rFonts w:eastAsia="宋体" w:asciiTheme="minorHAnsi" w:hAnsiTheme="minorHAnsi" w:cstheme="minorHAnsi"/>
                <w:bCs/>
                <w:iCs/>
                <w:color w:val="auto"/>
              </w:rPr>
              <w:t xml:space="preserve">Option 2: no new UE capability. </w:t>
            </w:r>
            <w:r>
              <w:rPr>
                <w:rFonts w:eastAsia="宋体" w:asciiTheme="minorHAnsi" w:hAnsiTheme="minorHAnsi" w:cstheme="minorHAnsi"/>
                <w:i/>
                <w:iCs/>
                <w:color w:val="auto"/>
                <w:lang w:val="en-GB"/>
              </w:rPr>
              <w:t>deriveSSB-IndexFromCell-inter</w:t>
            </w:r>
            <w:r>
              <w:rPr>
                <w:rFonts w:eastAsia="宋体" w:asciiTheme="minorHAnsi" w:hAnsiTheme="minorHAnsi" w:cstheme="minorHAnsi"/>
                <w:bCs/>
                <w:iCs/>
                <w:color w:val="auto"/>
              </w:rPr>
              <w:t xml:space="preserve"> only applies to NCSG capable UE.</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We do not see the necessity of introduce a new UE capability indicating support of </w:t>
      </w:r>
      <w:r>
        <w:rPr>
          <w:rFonts w:hint="default" w:eastAsia="宋体"/>
          <w:i/>
          <w:iCs/>
          <w:color w:val="auto"/>
          <w:sz w:val="21"/>
          <w:szCs w:val="21"/>
          <w:lang w:val="en-US" w:eastAsia="zh-CN"/>
        </w:rPr>
        <w:t>deriveSSB-IndexFromCell-inter</w:t>
      </w:r>
      <w:r>
        <w:rPr>
          <w:rFonts w:hint="eastAsia" w:eastAsia="宋体"/>
          <w:i/>
          <w:iCs/>
          <w:color w:val="auto"/>
          <w:sz w:val="21"/>
          <w:szCs w:val="21"/>
          <w:lang w:val="en-US" w:eastAsia="zh-CN"/>
        </w:rPr>
        <w:t xml:space="preserve">. </w:t>
      </w:r>
      <w:r>
        <w:rPr>
          <w:rFonts w:hint="eastAsia" w:eastAsia="宋体"/>
          <w:color w:val="auto"/>
          <w:sz w:val="21"/>
          <w:szCs w:val="21"/>
          <w:lang w:val="en-US" w:eastAsia="zh-CN"/>
        </w:rPr>
        <w:t xml:space="preserve">It should be noted that we do not have any UE capability for </w:t>
      </w:r>
      <w:r>
        <w:rPr>
          <w:rFonts w:hint="eastAsia" w:eastAsia="宋体"/>
          <w:i/>
          <w:iCs/>
          <w:color w:val="auto"/>
          <w:sz w:val="21"/>
          <w:szCs w:val="21"/>
          <w:lang w:val="en-US" w:eastAsia="zh-CN"/>
        </w:rPr>
        <w:t>deriveSSB-IndexFromCell</w:t>
      </w:r>
      <w:r>
        <w:rPr>
          <w:rFonts w:hint="eastAsia" w:eastAsia="宋体"/>
          <w:color w:val="auto"/>
          <w:sz w:val="21"/>
          <w:szCs w:val="21"/>
          <w:lang w:val="en-US" w:eastAsia="zh-CN"/>
        </w:rPr>
        <w:t xml:space="preserve"> in Rel-15/16. For intra-frequency case, UE only have one RF chain to meet both RRM measurement in target cell and DL/UL transmission in serving cell. But for NCSG, UE has two RF chains respectively for RRM measurement and DL/UL transmission. So in fact the case in Rel-15/16 is more challenging than here we discuss. So we do not agree with Option 1.</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But for Option 2, we do not agree with the restriction of </w:t>
      </w:r>
      <w:r>
        <w:rPr>
          <w:rFonts w:hint="default" w:eastAsia="宋体"/>
          <w:color w:val="auto"/>
          <w:sz w:val="21"/>
          <w:szCs w:val="21"/>
          <w:lang w:val="en-US" w:eastAsia="zh-CN"/>
        </w:rPr>
        <w:t>“</w:t>
      </w:r>
      <w:r>
        <w:rPr>
          <w:rFonts w:hint="eastAsia" w:eastAsia="宋体"/>
          <w:color w:val="auto"/>
          <w:sz w:val="21"/>
          <w:szCs w:val="21"/>
          <w:lang w:val="en-US" w:eastAsia="zh-CN"/>
        </w:rPr>
        <w:t>only applies to NCSG capable UE</w:t>
      </w:r>
      <w:r>
        <w:rPr>
          <w:rFonts w:hint="default" w:eastAsia="宋体"/>
          <w:color w:val="auto"/>
          <w:sz w:val="21"/>
          <w:szCs w:val="21"/>
          <w:lang w:val="en-US" w:eastAsia="zh-CN"/>
        </w:rPr>
        <w:t>”</w:t>
      </w:r>
      <w:r>
        <w:rPr>
          <w:rFonts w:hint="eastAsia" w:eastAsia="宋体"/>
          <w:color w:val="auto"/>
          <w:sz w:val="21"/>
          <w:szCs w:val="21"/>
          <w:lang w:val="en-US" w:eastAsia="zh-CN"/>
        </w:rPr>
        <w:t>. It will be analyzed in Aspect 2.</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Therefore for Aspect 1, we prefer that For the UE capable of NCSG and NCSG is applicable, not any additional UE capability indicating support of </w:t>
      </w:r>
      <w:r>
        <w:rPr>
          <w:rFonts w:hint="default" w:eastAsia="宋体"/>
          <w:i/>
          <w:iCs/>
          <w:color w:val="auto"/>
          <w:sz w:val="21"/>
          <w:szCs w:val="21"/>
          <w:lang w:val="en-US" w:eastAsia="zh-CN"/>
        </w:rPr>
        <w:t>deriveSSB-IndexFromCell-inter</w:t>
      </w:r>
      <w:r>
        <w:rPr>
          <w:rFonts w:hint="eastAsia" w:eastAsia="宋体"/>
          <w:i/>
          <w:iCs/>
          <w:color w:val="auto"/>
          <w:sz w:val="21"/>
          <w:szCs w:val="21"/>
          <w:lang w:val="en-US" w:eastAsia="zh-CN"/>
        </w:rPr>
        <w:t xml:space="preserve"> </w:t>
      </w:r>
      <w:r>
        <w:rPr>
          <w:rFonts w:hint="eastAsia" w:eastAsia="宋体"/>
          <w:color w:val="auto"/>
          <w:sz w:val="21"/>
          <w:szCs w:val="21"/>
          <w:lang w:val="en-US" w:eastAsia="zh-CN"/>
        </w:rPr>
        <w:t xml:space="preserve">is necessary when applying the indicator </w:t>
      </w:r>
      <w:r>
        <w:rPr>
          <w:rFonts w:hint="default" w:eastAsia="宋体"/>
          <w:i/>
          <w:iCs/>
          <w:color w:val="auto"/>
          <w:sz w:val="21"/>
          <w:szCs w:val="21"/>
          <w:lang w:val="en-US" w:eastAsia="zh-CN"/>
        </w:rPr>
        <w:t>deriveSSB-IndexFromCell-inter</w:t>
      </w:r>
      <w:r>
        <w:rPr>
          <w:rFonts w:hint="eastAsia" w:eastAsia="宋体"/>
          <w:i w:val="0"/>
          <w:iCs w:val="0"/>
          <w:color w:val="auto"/>
          <w:sz w:val="21"/>
          <w:szCs w:val="21"/>
          <w:lang w:val="en-US" w:eastAsia="zh-CN"/>
        </w:rPr>
        <w:t xml:space="preserve"> into inter-frequency cell identification.</w:t>
      </w:r>
    </w:p>
    <w:p>
      <w:pPr>
        <w:jc w:val="both"/>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 xml:space="preserve">Proposal 1: For the UE capable of NCSG and NCSG is applicable, not any additional UE capability indicating support of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is necessary when applying the indicator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into inter-frequency cell identification.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Referring to Aspect 2, it relates with the decoupling between </w:t>
      </w:r>
      <w:r>
        <w:rPr>
          <w:rFonts w:hint="default" w:eastAsia="宋体"/>
          <w:i/>
          <w:iCs/>
          <w:color w:val="auto"/>
          <w:sz w:val="21"/>
          <w:szCs w:val="21"/>
          <w:lang w:val="en-US" w:eastAsia="zh-CN"/>
        </w:rPr>
        <w:t>deriveSSB-IndexFromCell-inter</w:t>
      </w:r>
      <w:r>
        <w:rPr>
          <w:rFonts w:hint="eastAsia" w:eastAsia="宋体"/>
          <w:i/>
          <w:iCs/>
          <w:color w:val="auto"/>
          <w:sz w:val="21"/>
          <w:szCs w:val="21"/>
          <w:lang w:val="en-US" w:eastAsia="zh-CN"/>
        </w:rPr>
        <w:t xml:space="preserve"> </w:t>
      </w:r>
      <w:r>
        <w:rPr>
          <w:rFonts w:hint="eastAsia" w:eastAsia="宋体"/>
          <w:color w:val="auto"/>
          <w:sz w:val="21"/>
          <w:szCs w:val="21"/>
          <w:lang w:val="en-US" w:eastAsia="zh-CN"/>
        </w:rPr>
        <w:t xml:space="preserve">and NCSG capability. If such decoupling allowed, which mean for the UE not capable of NCSG or NCSG is disabled, UE still can apply the indicator </w:t>
      </w:r>
      <w:r>
        <w:rPr>
          <w:rFonts w:hint="default" w:eastAsia="宋体"/>
          <w:i/>
          <w:iCs/>
          <w:color w:val="auto"/>
          <w:sz w:val="21"/>
          <w:szCs w:val="21"/>
          <w:lang w:val="en-US" w:eastAsia="zh-CN"/>
        </w:rPr>
        <w:t>deriveSSB-IndexFromCell-inter</w:t>
      </w:r>
      <w:r>
        <w:rPr>
          <w:rFonts w:hint="eastAsia" w:eastAsia="宋体"/>
          <w:i/>
          <w:iCs/>
          <w:color w:val="auto"/>
          <w:sz w:val="21"/>
          <w:szCs w:val="21"/>
          <w:lang w:val="en-US" w:eastAsia="zh-CN"/>
        </w:rPr>
        <w:t xml:space="preserve"> </w:t>
      </w:r>
      <w:r>
        <w:rPr>
          <w:rFonts w:hint="eastAsia" w:eastAsia="宋体"/>
          <w:color w:val="auto"/>
          <w:sz w:val="21"/>
          <w:szCs w:val="21"/>
          <w:lang w:val="en-US" w:eastAsia="zh-CN"/>
        </w:rPr>
        <w:t>into inter-frequency cell identification.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the UE not capable of NCSG or NCSG is disabled, it is possible that not an idle RF chain can be dedicated to RRM measurement, so UE can only perform RRM measurement within MG if the SSB is out of the active BWP. In this case, introducing an additional optional UE capability seems reasonable.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2: For the UE not capable of NCSG or NCSG is disabled, an additional UE capability indicating support of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is necessary when applying the indicator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into inter-frequency cell identification. </w:t>
      </w:r>
    </w:p>
    <w:p>
      <w:pPr>
        <w:pStyle w:val="7"/>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olor w:val="auto"/>
          <w:sz w:val="21"/>
          <w:szCs w:val="21"/>
          <w:lang w:val="en-US" w:eastAsia="zh-CN"/>
        </w:rPr>
        <w:t xml:space="preserve">However considering for RAN 2 schedule, maybe it is too late to introduce new UE capability. So we can further decide Aspect 2 in later version after Rel-17.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3: Considering for RAN 2 scheduling, maybe it is too late to introduce new UE capability. So we can further decide Aspect 2 in later version after Rel-17. </w:t>
      </w:r>
    </w:p>
    <w:p>
      <w:pPr>
        <w:numPr>
          <w:ilvl w:val="0"/>
          <w:numId w:val="0"/>
        </w:numPr>
        <w:bidi w:val="0"/>
        <w:ind w:leftChars="0"/>
        <w:rPr>
          <w:rFonts w:hint="default" w:eastAsia="宋体"/>
          <w:color w:val="auto"/>
          <w:sz w:val="21"/>
          <w:szCs w:val="21"/>
          <w:u w:val="single"/>
          <w:lang w:val="en-US" w:eastAsia="zh-CN"/>
        </w:rPr>
      </w:pPr>
      <w:r>
        <w:rPr>
          <w:rFonts w:hint="eastAsia" w:eastAsia="宋体"/>
          <w:color w:val="auto"/>
          <w:sz w:val="21"/>
          <w:szCs w:val="21"/>
          <w:u w:val="single"/>
          <w:lang w:val="en-US" w:eastAsia="zh-CN"/>
        </w:rPr>
        <w:t>Whether it is allowed to decouple NeedForNCSG-InfoNR and NCSG capability</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Even RAN 4 does not achieve any conclusion, but RAN 2 has approved such decoupling. So not need further discussion in RAN4.</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 Even RAN 4 does not achieve any conclusion, but RAN 2 has approved such decoupling. So not need further discussion in RAN4.</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w:t>
      </w:r>
      <w:r>
        <w:rPr>
          <w:rFonts w:eastAsia="宋体"/>
          <w:bCs/>
          <w:color w:val="auto"/>
          <w:sz w:val="21"/>
          <w:szCs w:val="21"/>
          <w:lang w:val="en-GB" w:eastAsia="zh-CN"/>
        </w:rPr>
        <w:t>:</w:t>
      </w:r>
    </w:p>
    <w:p>
      <w:pPr>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For the UE capable of NCSG and NCSG is applicable, not any additional UE capability indicating support of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is necessary when applying the indicator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into inter-frequency cell identification.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2: For the UE not capable of NCSG or NCSG is disabled, an additional UE capability indicating support of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is necessary when applying the indicator </w:t>
      </w:r>
      <w:r>
        <w:rPr>
          <w:rFonts w:hint="eastAsia" w:eastAsia="宋体" w:cs="Times New Roman"/>
          <w:b/>
          <w:bCs/>
          <w:i/>
          <w:iCs/>
          <w:color w:val="auto"/>
          <w:sz w:val="21"/>
          <w:szCs w:val="21"/>
          <w:highlight w:val="none"/>
          <w:lang w:val="en-US" w:eastAsia="zh-CN" w:bidi="ar-SA"/>
        </w:rPr>
        <w:t>deriveSSB-IndexFromCell-inter</w:t>
      </w:r>
      <w:r>
        <w:rPr>
          <w:rFonts w:hint="eastAsia" w:eastAsia="宋体" w:cs="Times New Roman"/>
          <w:b/>
          <w:bCs/>
          <w:color w:val="auto"/>
          <w:sz w:val="21"/>
          <w:szCs w:val="21"/>
          <w:highlight w:val="none"/>
          <w:lang w:val="en-US" w:eastAsia="zh-CN" w:bidi="ar-SA"/>
        </w:rPr>
        <w:t xml:space="preserve"> into inter-frequency cell identification. </w:t>
      </w:r>
    </w:p>
    <w:p>
      <w:pPr>
        <w:pStyle w:val="7"/>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3: Considering for RAN 2 scheduling, maybe it is too late to introduce new UE capability. So we can further decide Aspect 2 in later version after Rel-17. </w:t>
      </w:r>
    </w:p>
    <w:p>
      <w:pPr>
        <w:pStyle w:val="7"/>
        <w:tabs>
          <w:tab w:val="left" w:pos="226"/>
          <w:tab w:val="left" w:pos="284"/>
          <w:tab w:val="left" w:pos="5103"/>
        </w:tabs>
        <w:snapToGrid w:val="0"/>
        <w:spacing w:before="156" w:beforeLines="50"/>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4: Even RAN 4 does not achieve any conclusion, but RAN 2 has approved such decoupling. So not need further discussion in RAN4.</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bookmarkStart w:id="1" w:name="OLE_LINK2"/>
      <w:r>
        <w:rPr>
          <w:rFonts w:hint="eastAsia"/>
          <w:color w:val="auto"/>
          <w:lang w:val="en-US" w:eastAsia="zh-CN"/>
        </w:rPr>
        <w:t xml:space="preserve">R4-2210588, </w:t>
      </w:r>
      <w:r>
        <w:rPr>
          <w:rFonts w:hint="default"/>
          <w:color w:val="auto"/>
          <w:lang w:val="en-US" w:eastAsia="zh-CN"/>
        </w:rPr>
        <w:t>“</w:t>
      </w:r>
      <w:r>
        <w:rPr>
          <w:rFonts w:hint="eastAsia"/>
          <w:color w:val="auto"/>
          <w:lang w:val="en-US" w:eastAsia="zh-CN"/>
        </w:rPr>
        <w:t>WF on NCSG</w:t>
      </w:r>
      <w:r>
        <w:rPr>
          <w:rFonts w:hint="default"/>
          <w:color w:val="auto"/>
          <w:lang w:val="en-US" w:eastAsia="zh-CN"/>
        </w:rPr>
        <w:t>”</w:t>
      </w:r>
      <w:r>
        <w:rPr>
          <w:rFonts w:hint="eastAsia"/>
          <w:color w:val="auto"/>
          <w:lang w:val="en-US" w:eastAsia="zh-CN"/>
        </w:rPr>
        <w:t xml:space="preserve">, Apple. </w:t>
      </w:r>
    </w:p>
    <w:bookmarkEnd w:id="1"/>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8D4798C"/>
    <w:multiLevelType w:val="singleLevel"/>
    <w:tmpl w:val="18D4798C"/>
    <w:lvl w:ilvl="0" w:tentative="0">
      <w:start w:val="1"/>
      <w:numFmt w:val="bullet"/>
      <w:lvlText w:val=""/>
      <w:lvlJc w:val="left"/>
      <w:pPr>
        <w:ind w:left="420" w:hanging="420"/>
      </w:pPr>
      <w:rPr>
        <w:rFonts w:hint="default" w:ascii="Wingdings" w:hAnsi="Wingdings"/>
      </w:rPr>
    </w:lvl>
  </w:abstractNum>
  <w:abstractNum w:abstractNumId="2">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0FF1347"/>
    <w:multiLevelType w:val="singleLevel"/>
    <w:tmpl w:val="60FF1347"/>
    <w:lvl w:ilvl="0" w:tentative="0">
      <w:start w:val="1"/>
      <w:numFmt w:val="bullet"/>
      <w:lvlText w:val=""/>
      <w:lvlJc w:val="left"/>
      <w:pPr>
        <w:ind w:left="420" w:hanging="42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7DD29CF"/>
    <w:multiLevelType w:val="multilevel"/>
    <w:tmpl w:val="77DD29CF"/>
    <w:lvl w:ilvl="0" w:tentative="0">
      <w:start w:val="1"/>
      <w:numFmt w:val="decimal"/>
      <w:lvlText w:val="1.%1"/>
      <w:lvlJc w:val="left"/>
      <w:pPr>
        <w:ind w:left="720" w:hanging="360"/>
      </w:pPr>
      <w:rPr>
        <w:rFonts w:hint="default"/>
        <w:b/>
        <w:bCs w:val="0"/>
        <w:i w:val="0"/>
        <w:i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3"/>
  </w:num>
  <w:num w:numId="3">
    <w:abstractNumId w:val="0"/>
  </w:num>
  <w:num w:numId="4">
    <w:abstractNumId w:val="7"/>
  </w:num>
  <w:num w:numId="5">
    <w:abstractNumId w:val="2"/>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563B7"/>
    <w:rsid w:val="03B300A3"/>
    <w:rsid w:val="03E676E0"/>
    <w:rsid w:val="043F3874"/>
    <w:rsid w:val="04903711"/>
    <w:rsid w:val="05847CFD"/>
    <w:rsid w:val="05C42923"/>
    <w:rsid w:val="0652333F"/>
    <w:rsid w:val="06ED5018"/>
    <w:rsid w:val="07CD3CDD"/>
    <w:rsid w:val="08044E83"/>
    <w:rsid w:val="0855671D"/>
    <w:rsid w:val="09716BCA"/>
    <w:rsid w:val="097F2D72"/>
    <w:rsid w:val="09E644B8"/>
    <w:rsid w:val="0A685857"/>
    <w:rsid w:val="0B5A119A"/>
    <w:rsid w:val="0BB0429A"/>
    <w:rsid w:val="0D206748"/>
    <w:rsid w:val="0E0973F7"/>
    <w:rsid w:val="11C13E7B"/>
    <w:rsid w:val="12911329"/>
    <w:rsid w:val="148F5721"/>
    <w:rsid w:val="15705D92"/>
    <w:rsid w:val="164657AD"/>
    <w:rsid w:val="16CA6482"/>
    <w:rsid w:val="170F06AA"/>
    <w:rsid w:val="180A6E32"/>
    <w:rsid w:val="183F2CD2"/>
    <w:rsid w:val="18CD0507"/>
    <w:rsid w:val="1AC3447D"/>
    <w:rsid w:val="1AD01A1B"/>
    <w:rsid w:val="1C177B08"/>
    <w:rsid w:val="1C9001C6"/>
    <w:rsid w:val="1CBA2101"/>
    <w:rsid w:val="1D223E0B"/>
    <w:rsid w:val="1E853F6F"/>
    <w:rsid w:val="1ECC1E3C"/>
    <w:rsid w:val="1F7D7CA8"/>
    <w:rsid w:val="1FC333DE"/>
    <w:rsid w:val="20911BDA"/>
    <w:rsid w:val="21244EB1"/>
    <w:rsid w:val="21C177D7"/>
    <w:rsid w:val="21F13629"/>
    <w:rsid w:val="24122135"/>
    <w:rsid w:val="24743B23"/>
    <w:rsid w:val="252319E3"/>
    <w:rsid w:val="266A3947"/>
    <w:rsid w:val="26BB1419"/>
    <w:rsid w:val="290F5973"/>
    <w:rsid w:val="2A7E505C"/>
    <w:rsid w:val="2A957896"/>
    <w:rsid w:val="2AC536C8"/>
    <w:rsid w:val="2BC05B2C"/>
    <w:rsid w:val="2BD617C5"/>
    <w:rsid w:val="2C112837"/>
    <w:rsid w:val="2F2F0FC8"/>
    <w:rsid w:val="2F4C6F2C"/>
    <w:rsid w:val="30336E16"/>
    <w:rsid w:val="30EA720B"/>
    <w:rsid w:val="31B14C9E"/>
    <w:rsid w:val="3212027E"/>
    <w:rsid w:val="34616D94"/>
    <w:rsid w:val="34646CFF"/>
    <w:rsid w:val="35B06C6A"/>
    <w:rsid w:val="36974990"/>
    <w:rsid w:val="36D37423"/>
    <w:rsid w:val="37396B27"/>
    <w:rsid w:val="3805464D"/>
    <w:rsid w:val="39893439"/>
    <w:rsid w:val="39C33F0D"/>
    <w:rsid w:val="3A185287"/>
    <w:rsid w:val="3A692CD0"/>
    <w:rsid w:val="3B1931E2"/>
    <w:rsid w:val="3B673620"/>
    <w:rsid w:val="3B9A1F29"/>
    <w:rsid w:val="3CE4646B"/>
    <w:rsid w:val="3D5E7AA8"/>
    <w:rsid w:val="3D6F2596"/>
    <w:rsid w:val="3D8C74DB"/>
    <w:rsid w:val="3E2D152D"/>
    <w:rsid w:val="405F175E"/>
    <w:rsid w:val="40C765F3"/>
    <w:rsid w:val="42F242B1"/>
    <w:rsid w:val="42F869D2"/>
    <w:rsid w:val="433366CA"/>
    <w:rsid w:val="43553536"/>
    <w:rsid w:val="43677F1C"/>
    <w:rsid w:val="448C3718"/>
    <w:rsid w:val="451632B9"/>
    <w:rsid w:val="454402A0"/>
    <w:rsid w:val="4551397F"/>
    <w:rsid w:val="45F60A50"/>
    <w:rsid w:val="46B036BF"/>
    <w:rsid w:val="46E71A66"/>
    <w:rsid w:val="4718026A"/>
    <w:rsid w:val="47282363"/>
    <w:rsid w:val="476C03BB"/>
    <w:rsid w:val="484F0C2F"/>
    <w:rsid w:val="49E55BC5"/>
    <w:rsid w:val="4A102C0D"/>
    <w:rsid w:val="4AFB221E"/>
    <w:rsid w:val="4BC553A2"/>
    <w:rsid w:val="4C1C63D6"/>
    <w:rsid w:val="4DCA1D22"/>
    <w:rsid w:val="4E4A2325"/>
    <w:rsid w:val="501A6C55"/>
    <w:rsid w:val="50A01AF8"/>
    <w:rsid w:val="51661825"/>
    <w:rsid w:val="51B14BED"/>
    <w:rsid w:val="525C1CEF"/>
    <w:rsid w:val="53712097"/>
    <w:rsid w:val="53930AB8"/>
    <w:rsid w:val="53C64B93"/>
    <w:rsid w:val="55B1164D"/>
    <w:rsid w:val="55B4735E"/>
    <w:rsid w:val="5612655C"/>
    <w:rsid w:val="56371459"/>
    <w:rsid w:val="57607CBC"/>
    <w:rsid w:val="59257BD9"/>
    <w:rsid w:val="59DA647E"/>
    <w:rsid w:val="5A3015A3"/>
    <w:rsid w:val="5B7D7FE8"/>
    <w:rsid w:val="5B8362FE"/>
    <w:rsid w:val="5BA32946"/>
    <w:rsid w:val="5E287677"/>
    <w:rsid w:val="5EB44FC0"/>
    <w:rsid w:val="5FBA395F"/>
    <w:rsid w:val="605D316B"/>
    <w:rsid w:val="60914C38"/>
    <w:rsid w:val="635902CD"/>
    <w:rsid w:val="63B54C58"/>
    <w:rsid w:val="63C71618"/>
    <w:rsid w:val="63D02159"/>
    <w:rsid w:val="6438512E"/>
    <w:rsid w:val="64706BBE"/>
    <w:rsid w:val="64F2095B"/>
    <w:rsid w:val="66790DA1"/>
    <w:rsid w:val="67A858DB"/>
    <w:rsid w:val="684A253E"/>
    <w:rsid w:val="692D0998"/>
    <w:rsid w:val="69A833BD"/>
    <w:rsid w:val="69F32637"/>
    <w:rsid w:val="69F9360F"/>
    <w:rsid w:val="6B200619"/>
    <w:rsid w:val="6BAB5351"/>
    <w:rsid w:val="6DDE3DAF"/>
    <w:rsid w:val="70B326CC"/>
    <w:rsid w:val="715F4C2D"/>
    <w:rsid w:val="72137194"/>
    <w:rsid w:val="725D0EA3"/>
    <w:rsid w:val="72BF60CA"/>
    <w:rsid w:val="73CC642D"/>
    <w:rsid w:val="7499217B"/>
    <w:rsid w:val="753811DE"/>
    <w:rsid w:val="75C759C1"/>
    <w:rsid w:val="762D64F3"/>
    <w:rsid w:val="76916AA8"/>
    <w:rsid w:val="76FD2C61"/>
    <w:rsid w:val="77173999"/>
    <w:rsid w:val="775B4604"/>
    <w:rsid w:val="77C067C3"/>
    <w:rsid w:val="78911E31"/>
    <w:rsid w:val="78BF4564"/>
    <w:rsid w:val="79B130CA"/>
    <w:rsid w:val="79B5214C"/>
    <w:rsid w:val="7A9367CB"/>
    <w:rsid w:val="7A947426"/>
    <w:rsid w:val="7AF22571"/>
    <w:rsid w:val="7BA412DA"/>
    <w:rsid w:val="7C1C35A7"/>
    <w:rsid w:val="7C45431D"/>
    <w:rsid w:val="7CA64370"/>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0">
    <w:name w:val="TAN"/>
    <w:basedOn w:val="33"/>
    <w:qFormat/>
    <w:uiPriority w:val="0"/>
    <w:pPr>
      <w:overflowPunct/>
      <w:autoSpaceDE/>
      <w:autoSpaceDN/>
      <w:adjustRightInd/>
      <w:spacing w:after="0" w:line="240" w:lineRule="auto"/>
      <w:ind w:left="851" w:hanging="851"/>
      <w:textAlignment w:val="auto"/>
    </w:pPr>
    <w:rPr>
      <w:rFonts w:eastAsia="宋体"/>
      <w:kern w:val="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2022-08-10T16:38:01Z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