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213873</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22</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Unified TCI for DL and UL</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highlight w:val="none"/>
        </w:rPr>
        <w:tab/>
      </w:r>
      <w:r>
        <w:rPr>
          <w:rFonts w:hint="eastAsia" w:eastAsia="宋体"/>
          <w:color w:val="auto"/>
          <w:sz w:val="24"/>
          <w:highlight w:val="none"/>
          <w:lang w:val="en-US" w:eastAsia="zh-CN"/>
        </w:rPr>
        <w:t>9.17.2.1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kern w:val="2"/>
          <w:sz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a way forward on RRM impact for unified TCI in FeMIMO was approved in [1]. Based on the conclusion in 103 e-meeting, for both joint TCI mode and separate TCI mode, some remaining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MAC CE based TCI state Switching delay requirements</w:t>
      </w:r>
    </w:p>
    <w:p>
      <w:pPr>
        <w:pStyle w:val="28"/>
        <w:keepNext w:val="0"/>
        <w:keepLines w:val="0"/>
        <w:pageBreakBefore w:val="0"/>
        <w:widowControl w:val="0"/>
        <w:numPr>
          <w:ilvl w:val="1"/>
          <w:numId w:val="5"/>
        </w:numPr>
        <w:kinsoku/>
        <w:wordWrap/>
        <w:topLinePunct w:val="0"/>
        <w:bidi w:val="0"/>
        <w:snapToGrid/>
        <w:ind w:hanging="363"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Active TCI state for UL</w:t>
      </w:r>
    </w:p>
    <w:p>
      <w:pPr>
        <w:pStyle w:val="28"/>
        <w:keepNext w:val="0"/>
        <w:keepLines w:val="0"/>
        <w:pageBreakBefore w:val="0"/>
        <w:widowControl w:val="0"/>
        <w:numPr>
          <w:ilvl w:val="1"/>
          <w:numId w:val="5"/>
        </w:numPr>
        <w:kinsoku/>
        <w:wordWrap/>
        <w:topLinePunct w:val="0"/>
        <w:bidi w:val="0"/>
        <w:snapToGrid/>
        <w:ind w:left="816" w:leftChars="0" w:hanging="360"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Joint TCI state switching requirement</w:t>
      </w:r>
    </w:p>
    <w:p>
      <w:pPr>
        <w:pStyle w:val="28"/>
        <w:keepNext w:val="0"/>
        <w:keepLines w:val="0"/>
        <w:pageBreakBefore w:val="0"/>
        <w:widowControl w:val="0"/>
        <w:numPr>
          <w:ilvl w:val="1"/>
          <w:numId w:val="5"/>
        </w:numPr>
        <w:kinsoku/>
        <w:wordWrap/>
        <w:topLinePunct w:val="0"/>
        <w:bidi w:val="0"/>
        <w:snapToGrid/>
        <w:ind w:left="816" w:leftChars="0" w:hanging="360" w:firstLineChars="0"/>
        <w:rPr>
          <w:rFonts w:hint="eastAsia" w:ascii="Times New Roman" w:hAnsi="Times New Roman" w:eastAsia="宋体" w:cs="Times New Roman"/>
          <w:strike w:val="0"/>
          <w:dstrike w:val="0"/>
          <w:color w:val="auto"/>
          <w:kern w:val="0"/>
          <w:sz w:val="20"/>
          <w:szCs w:val="20"/>
          <w:lang w:val="en-US" w:eastAsia="zh-CN" w:bidi="ar-SA"/>
        </w:rPr>
      </w:pPr>
      <w:r>
        <w:rPr>
          <w:rFonts w:hint="eastAsia" w:ascii="Times New Roman" w:hAnsi="Times New Roman" w:eastAsia="宋体" w:cs="Times New Roman"/>
          <w:strike w:val="0"/>
          <w:dstrike w:val="0"/>
          <w:color w:val="auto"/>
          <w:kern w:val="0"/>
          <w:sz w:val="20"/>
          <w:szCs w:val="20"/>
          <w:lang w:val="en-US" w:eastAsia="zh-CN" w:bidi="ar-SA"/>
        </w:rPr>
        <w:t>UL TCI state switching delay when SSB is indicated as PL-RS in UL TCI state for FR2</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Common TCI state switching in CA case</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bookmarkStart w:id="0" w:name="OLE_LINK1"/>
      <w:r>
        <w:rPr>
          <w:rFonts w:hint="eastAsia" w:ascii="Times New Roman" w:hAnsi="Times New Roman" w:cs="Times New Roman"/>
          <w:strike w:val="0"/>
          <w:dstrike w:val="0"/>
          <w:color w:val="auto"/>
          <w:sz w:val="20"/>
          <w:szCs w:val="20"/>
          <w:lang w:val="en-US" w:eastAsia="zh-CN" w:bidi="ar-SA"/>
        </w:rPr>
        <w:t>Known condition on shared RS</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Known condition on different RS</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Common TCI state switching delay requirement for shared RS</w:t>
      </w:r>
      <w:r>
        <w:rPr>
          <w:rFonts w:hint="eastAsia" w:ascii="Times New Roman" w:hAnsi="Times New Roman" w:cs="Times New Roman"/>
          <w:strike w:val="0"/>
          <w:dstrike w:val="0"/>
          <w:color w:val="auto"/>
          <w:sz w:val="20"/>
          <w:szCs w:val="20"/>
          <w:lang w:val="en-US" w:eastAsia="zh-CN" w:bidi="ar-SA"/>
        </w:rPr>
        <w:t xml:space="preserve"> scheme</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TCI state list update delay</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to consider unknown TCI state in the TCI state list</w:t>
      </w:r>
    </w:p>
    <w:p>
      <w:pPr>
        <w:pStyle w:val="28"/>
        <w:keepNext w:val="0"/>
        <w:keepLines w:val="0"/>
        <w:pageBreakBefore w:val="0"/>
        <w:widowControl w:val="0"/>
        <w:numPr>
          <w:ilvl w:val="1"/>
          <w:numId w:val="5"/>
        </w:numPr>
        <w:kinsoku/>
        <w:wordWrap/>
        <w:topLinePunct w:val="0"/>
        <w:bidi w:val="0"/>
        <w:snapToGrid/>
        <w:ind w:hanging="363" w:firstLineChars="0"/>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 CE based TCI state list update delay for unknown TCI state</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MAC CE based TCI state Switching delay requirements</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Active TCI state for UL</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Even though the requirements of MAC-CE based UL TCI state switching delay in separate mode has been identified, given that the UE operations during DL TCI state switching and UL TCI state switching is somehow different, so focus on UL TCI state switching and UL TCI state list, still some clarification is expected. Around UL TCI state and the active UL TCI state list, the following WF achieved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1"/>
                <w:numId w:val="6"/>
              </w:numPr>
              <w:kinsoku/>
              <w:wordWrap/>
              <w:overflowPunct/>
              <w:topLinePunct w:val="0"/>
              <w:autoSpaceDE/>
              <w:autoSpaceDN/>
              <w:bidi w:val="0"/>
              <w:adjustRightInd/>
              <w:snapToGrid/>
              <w:ind w:hanging="363"/>
              <w:textAlignment w:val="auto"/>
              <w:rPr>
                <w:lang w:eastAsia="zh-CN"/>
              </w:rPr>
            </w:pPr>
            <w:r>
              <w:rPr>
                <w:lang w:eastAsia="zh-CN"/>
              </w:rPr>
              <w:t>Further discuss whether LS is needed for clarifying ‘active UL TCI state’ the following issues:</w:t>
            </w:r>
          </w:p>
          <w:p>
            <w:pPr>
              <w:pStyle w:val="28"/>
              <w:keepNext w:val="0"/>
              <w:keepLines w:val="0"/>
              <w:pageBreakBefore w:val="0"/>
              <w:widowControl w:val="0"/>
              <w:numPr>
                <w:ilvl w:val="2"/>
                <w:numId w:val="7"/>
              </w:numPr>
              <w:kinsoku/>
              <w:wordWrap/>
              <w:overflowPunct/>
              <w:topLinePunct w:val="0"/>
              <w:autoSpaceDE/>
              <w:autoSpaceDN/>
              <w:bidi w:val="0"/>
              <w:adjustRightInd/>
              <w:snapToGrid/>
              <w:ind w:hanging="363" w:firstLine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i: If the UL (or joint) TCI state is activated, should a UE track UL TCI state timing and/or frequency derived from DL-RS associated with UL TCI state (or joint) TCI as a UE does for active DL-TCI?</w:t>
            </w:r>
            <w:r>
              <w:rPr>
                <w:rFonts w:hint="eastAsia" w:ascii="Times New Roman" w:hAnsi="Times New Roman" w:eastAsia="Times New Roman" w:cs="Times New Roman"/>
                <w:kern w:val="0"/>
                <w:sz w:val="20"/>
                <w:szCs w:val="24"/>
                <w:lang w:val="en-US" w:eastAsia="zh-CN" w:bidi="ar-SA"/>
              </w:rPr>
              <w:t xml:space="preserve"> </w:t>
            </w:r>
          </w:p>
          <w:p>
            <w:pPr>
              <w:pStyle w:val="28"/>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 xml:space="preserve">i-1: What DL-RS can be used to track timing and/or frequency for active UL TCI for non-serving cell? Specifically, how can a UE track timing and/or frequency, if SRS is indicated as source RS in the active UL TCI? </w:t>
            </w:r>
          </w:p>
          <w:p>
            <w:pPr>
              <w:pStyle w:val="28"/>
              <w:keepNext w:val="0"/>
              <w:keepLines w:val="0"/>
              <w:pageBreakBefore w:val="0"/>
              <w:widowControl w:val="0"/>
              <w:numPr>
                <w:ilvl w:val="2"/>
                <w:numId w:val="7"/>
              </w:numPr>
              <w:kinsoku/>
              <w:wordWrap/>
              <w:overflowPunct/>
              <w:topLinePunct w:val="0"/>
              <w:autoSpaceDE/>
              <w:autoSpaceDN/>
              <w:bidi w:val="0"/>
              <w:adjustRightInd/>
              <w:snapToGrid/>
              <w:ind w:hanging="363" w:firstLine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 xml:space="preserve">ii: If a UE maintains the PL-RS of the activated UL TCI state (or joint) TCI state by the RAN1 agreement, the UE should maintain all of PL-RSs in the activated UL TCI (or joint) TCIs to support inter-cell or mTRP scenarios? </w:t>
            </w:r>
          </w:p>
          <w:p>
            <w:pPr>
              <w:pStyle w:val="28"/>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hint="eastAsia"/>
                <w:color w:val="auto"/>
                <w:highlight w:val="none"/>
                <w:vertAlign w:val="baseline"/>
                <w:lang w:val="en-US" w:eastAsia="zh-CN"/>
              </w:rPr>
            </w:pPr>
            <w:r>
              <w:rPr>
                <w:rFonts w:ascii="Times New Roman" w:hAnsi="Times New Roman" w:eastAsia="Times New Roman" w:cs="Times New Roman"/>
                <w:kern w:val="0"/>
                <w:sz w:val="20"/>
                <w:szCs w:val="24"/>
                <w:lang w:val="en-US" w:eastAsia="zh-CN" w:bidi="ar-SA"/>
              </w:rPr>
              <w:t>ii-1: What is a UE capability to measure pathloss to support the active UL TCI list in inter-cell and mTRP?</w:t>
            </w:r>
            <w:r>
              <w:rPr>
                <w:rFonts w:ascii="Times New Roman" w:hAnsi="Times New Roman" w:eastAsia="Times New Roman" w:cs="Times New Roman"/>
                <w:kern w:val="0"/>
                <w:sz w:val="20"/>
                <w:szCs w:val="24"/>
                <w:lang w:val="en-US" w:eastAsia="zh-CN" w:bidi="ar-SA"/>
              </w:rPr>
              <w:br w:type="textWrapping"/>
            </w:r>
            <w:r>
              <w:rPr>
                <w:rFonts w:ascii="Times New Roman" w:hAnsi="Times New Roman" w:eastAsia="Times New Roman" w:cs="Times New Roman"/>
                <w:kern w:val="0"/>
                <w:sz w:val="20"/>
                <w:szCs w:val="24"/>
                <w:lang w:val="en-US" w:eastAsia="zh-CN" w:bidi="ar-SA"/>
              </w:rPr>
              <w:t>(Note : there is no UE capability indication on pathloss measurement in TS38.306 capability spec )</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order to achieve better logic sorting and based on the guidance during 103 meeting, the following three aspects can be discussed one by one:</w:t>
      </w:r>
    </w:p>
    <w:p>
      <w:pPr>
        <w:pStyle w:val="3"/>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Aspect 1: Whether UE needs to perform time/frequency tracking for UL TCI state</w:t>
      </w:r>
    </w:p>
    <w:p>
      <w:pPr>
        <w:pStyle w:val="3"/>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Aspect 2: The relation of active UL TCI state list and maintained PL-RS</w:t>
      </w:r>
    </w:p>
    <w:p>
      <w:pPr>
        <w:pStyle w:val="3"/>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Aspect 3: How to interpret active UL TCI state list, the relation with active DL TCI state list</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For Aspect 1, we believe it is a basic question, but the opinions around it was still diverse during 103 meeting. The two point of views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Next w:val="0"/>
              <w:keepLines w:val="0"/>
              <w:pageBreakBefore w:val="0"/>
              <w:widowControl/>
              <w:numPr>
                <w:ilvl w:val="0"/>
                <w:numId w:val="0"/>
              </w:numPr>
              <w:kinsoku/>
              <w:wordWrap/>
              <w:overflowPunct/>
              <w:topLinePunct w:val="0"/>
              <w:autoSpaceDE/>
              <w:autoSpaceDN/>
              <w:bidi w:val="0"/>
              <w:adjustRightInd/>
              <w:snapToGrid/>
              <w:textAlignment w:val="auto"/>
              <w:rPr>
                <w:rFonts w:hint="eastAsia"/>
                <w:vertAlign w:val="baseline"/>
                <w:lang w:val="en-US" w:eastAsia="zh-CN"/>
              </w:rPr>
            </w:pPr>
            <w:r>
              <w:rPr>
                <w:rFonts w:hint="eastAsia"/>
                <w:vertAlign w:val="baseline"/>
                <w:lang w:val="en-US" w:eastAsia="zh-CN"/>
              </w:rPr>
              <w:t>Option 1: UL timing is derived from current DL timing</w:t>
            </w:r>
          </w:p>
          <w:p>
            <w:pPr>
              <w:pStyle w:val="3"/>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 xml:space="preserve">Option 2: UL TCI state timing is derived from the RS of the UL TCI state. </w:t>
            </w:r>
          </w:p>
        </w:tc>
      </w:tr>
    </w:tbl>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 xml:space="preserve">We believe Option 1 is common understanding in general. In fact, there is difference between DL TCI state switching and UL TCI state switching from the perspective of requirements. For DL TCI state, UE needs to guarantee time/frequency tracking for all active TCI state in the list. But for UL TCI state, not the component of first SSB/TRS latency(used for time/frequency tracking) is involved in neither legacy requirement nor the enhanced requirement(MAC CE based). </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b/>
          <w:bCs/>
          <w:lang w:val="en-US" w:eastAsia="zh-CN"/>
        </w:rPr>
      </w:pPr>
      <w:r>
        <w:rPr>
          <w:rFonts w:hint="eastAsia"/>
          <w:lang w:val="en-US" w:eastAsia="zh-CN"/>
        </w:rPr>
        <w:t>However referring to the multi-TRP scenario, Option 2 is reasonable since different TRPs for DL and UL is possible. So for UL TCI, if not any DL timing can be referenced, UE needs to perform time/frequency tracking for the UL TCI state based on the source RS. So UE needs to perform time/frequency tracking for the target UL TCI state. Whether additional latency component used for time/frequency tracking for target UL TCI state should be added into the latency requirement, it should be determined.</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b/>
          <w:bCs/>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Option 1 is common understanding in general.</w:t>
      </w:r>
      <w:r>
        <w:rPr>
          <w:rFonts w:hint="eastAsia" w:eastAsia="宋体" w:cs="Times New Roman"/>
          <w:b/>
          <w:bCs/>
          <w:color w:val="auto"/>
          <w:sz w:val="21"/>
          <w:szCs w:val="21"/>
          <w:highlight w:val="none"/>
          <w:lang w:val="en-US" w:eastAsia="zh-CN" w:bidi="ar-SA"/>
        </w:rPr>
        <w:t xml:space="preserve"> However referring to the multi-TRP scenario, Option 2 is reasonable since different TRPs for DL and UL is possible. For the case that not any DL timing can be referenced, UE needs to perform time/frequency tracking for target UL TCI state.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Aspect 2, first it should be noted that RAN 1 has approved the following agreement: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Agreement: (RAN 1)</w:t>
            </w:r>
          </w:p>
          <w:p>
            <w:pPr>
              <w:pStyle w:val="3"/>
              <w:keepNext w:val="0"/>
              <w:keepLines w:val="0"/>
              <w:pageBreakBefore w:val="0"/>
              <w:widowControl/>
              <w:kinsoku/>
              <w:wordWrap/>
              <w:overflowPunct/>
              <w:topLinePunct w:val="0"/>
              <w:autoSpaceDE/>
              <w:autoSpaceDN/>
              <w:bidi w:val="0"/>
              <w:adjustRightInd/>
              <w:snapToGrid/>
              <w:textAlignment w:val="auto"/>
              <w:rPr>
                <w:rFonts w:hint="default"/>
                <w:vertAlign w:val="baseline"/>
                <w:lang w:val="en-US" w:eastAsia="zh-CN"/>
              </w:rPr>
            </w:pPr>
            <w:r>
              <w:rPr>
                <w:rFonts w:hint="eastAsia"/>
                <w:lang w:val="en-US" w:eastAsia="zh-CN"/>
              </w:rPr>
              <w:t>The UE maintains the PL-RS of the activated UL TCI state or (if applicable) joint TCI state</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During the discussion in 103 meeting, some company concerned that the number of active TCI state is up to 8, while the number of maintained PL-RS is up to 4, such two upper bounds are not aligned. It is possible that UE can only maintain part of PL-RS of the active TCI states in the list, not all. So it is possible that UE does not maintain the corresponding PL-RS. In such case, 5 samples measurement for the PL-RS is necessary and can not be reduced.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w:t>
      </w:r>
      <w:r>
        <w:rPr>
          <w:rFonts w:hint="eastAsia" w:ascii="Times New Roman" w:hAnsi="Times New Roman" w:cs="Times New Roman"/>
          <w:b/>
          <w:bCs/>
          <w:color w:val="auto"/>
          <w:sz w:val="21"/>
          <w:szCs w:val="21"/>
          <w:highlight w:val="none"/>
          <w:lang w:val="en-US" w:eastAsia="zh-CN" w:bidi="ar-SA"/>
        </w:rPr>
        <w:t xml:space="preserve">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 xml:space="preserve">Considering the upper bounds of active TCI state and maintained PL-RS is different, it is possible that UE can only maintain part of PL-RS of the active TCI states in the list. In such case, 5 samples measurement for the PL-RS is necessary and can not be reduced.  </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Aspect 3, whether some dependency existence between active DL TCI state list and active UL TCI state list, which can be further clarified. In our opinion, the two lists are independent, one for DL TCI state maintenance and other for UL TCI state maintenance, they are used for the DL and UL TCI state management respectively. So when we discuss active UL TCI state list, it should not be impacted by active DL TCI state list.</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3: The active DL TCI state list and active UL TCI state list are independent. Active UL TCI state list should not be impacted by active DL TCI state list.</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宋体" w:cs="Times New Roman"/>
          <w:b/>
          <w:bCs/>
          <w:color w:val="auto"/>
          <w:sz w:val="21"/>
          <w:szCs w:val="21"/>
          <w:highlight w:val="non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Joint TCI state switching requirement</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Around this issue, we have had the following agreements in previous RAN 4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6"/>
              </w:numPr>
              <w:spacing w:after="156" w:afterLines="50"/>
              <w:rPr>
                <w:lang w:eastAsia="zh-CN"/>
              </w:rPr>
            </w:pPr>
            <w:r>
              <w:rPr>
                <w:rFonts w:hint="eastAsia"/>
                <w:lang w:eastAsia="zh-CN"/>
              </w:rPr>
              <w:t xml:space="preserve">RAN4 </w:t>
            </w:r>
            <w:r>
              <w:rPr>
                <w:rFonts w:hint="eastAsia"/>
                <w:highlight w:val="green"/>
                <w:lang w:eastAsia="zh-CN"/>
              </w:rPr>
              <w:t>#101bis GTW Agreements</w:t>
            </w:r>
          </w:p>
          <w:p>
            <w:pPr>
              <w:pStyle w:val="28"/>
              <w:numPr>
                <w:ilvl w:val="1"/>
                <w:numId w:val="10"/>
              </w:numPr>
              <w:overflowPunct/>
              <w:autoSpaceDE/>
              <w:adjustRightInd/>
              <w:spacing w:after="120" w:line="252" w:lineRule="auto"/>
              <w:ind w:firstLineChars="0"/>
              <w:textAlignment w:val="auto"/>
              <w:rPr>
                <w:rFonts w:hint="eastAsia" w:ascii="Times New Roman" w:hAnsi="Times New Roman" w:eastAsia="Times New Roman" w:cs="Times New Roman"/>
                <w:kern w:val="0"/>
                <w:sz w:val="20"/>
                <w:szCs w:val="24"/>
                <w:lang w:val="en-US" w:eastAsia="ja-JP" w:bidi="ar-SA"/>
              </w:rPr>
            </w:pPr>
            <w:r>
              <w:rPr>
                <w:rFonts w:hint="eastAsia" w:ascii="Times New Roman" w:hAnsi="Times New Roman" w:eastAsia="Times New Roman" w:cs="Times New Roman"/>
                <w:kern w:val="0"/>
                <w:sz w:val="20"/>
                <w:szCs w:val="24"/>
                <w:lang w:val="sv-SE" w:eastAsia="zh-CN" w:bidi="ar-SA"/>
              </w:rPr>
              <w:t xml:space="preserve">No extra requirement needed for </w:t>
            </w:r>
            <w:r>
              <w:rPr>
                <w:rFonts w:hint="eastAsia" w:ascii="Times New Roman" w:hAnsi="Times New Roman" w:eastAsia="Times New Roman" w:cs="Times New Roman"/>
                <w:kern w:val="0"/>
                <w:sz w:val="20"/>
                <w:szCs w:val="24"/>
                <w:lang w:val="en-US" w:eastAsia="zh-CN" w:bidi="ar-SA"/>
              </w:rPr>
              <w:t>Joint TCI mode, DL and UL requirements can be applicable independently</w:t>
            </w:r>
          </w:p>
          <w:p>
            <w:pPr>
              <w:bidi w:val="0"/>
              <w:ind w:leftChars="500"/>
              <w:rPr>
                <w:rFonts w:hint="default"/>
                <w:vertAlign w:val="baseline"/>
                <w:lang w:val="en-US" w:eastAsia="zh-CN"/>
              </w:rPr>
            </w:pPr>
            <w:r>
              <w:rPr>
                <w:rFonts w:hint="eastAsia"/>
                <w:lang w:eastAsia="zh-CN"/>
              </w:rPr>
              <w:t>Note: it is not expected that UE will be required to make DL reception or UL transmission before UE completes the DL or UL TCI state switching, respectively</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But unfortunately companies have diverse understanding referring to the above agreement during 103 meeting.</w:t>
      </w:r>
    </w:p>
    <w:tbl>
      <w:tblPr>
        <w:tblStyle w:val="18"/>
        <w:tblW w:w="9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4" w:type="dxa"/>
          </w:tcPr>
          <w:p>
            <w:pPr>
              <w:numPr>
                <w:ilvl w:val="1"/>
                <w:numId w:val="6"/>
              </w:numPr>
              <w:spacing w:after="156" w:afterLines="50"/>
              <w:rPr>
                <w:lang w:eastAsia="zh-CN"/>
              </w:rPr>
            </w:pPr>
            <w:r>
              <w:rPr>
                <w:lang w:eastAsia="zh-CN"/>
              </w:rPr>
              <w:t>Joint TCI switching delay requirement</w:t>
            </w:r>
          </w:p>
          <w:p>
            <w:pPr>
              <w:pStyle w:val="28"/>
              <w:numPr>
                <w:ilvl w:val="2"/>
                <w:numId w:val="7"/>
              </w:numPr>
              <w:overflowPunct/>
              <w:autoSpaceDE/>
              <w:autoSpaceDN/>
              <w:adjustRightInd/>
              <w:spacing w:after="120"/>
              <w:ind w:firstLineChars="0"/>
              <w:textAlignment w:val="auto"/>
            </w:pPr>
            <w:r>
              <w:rPr>
                <w:rFonts w:ascii="Times New Roman" w:hAnsi="Times New Roman" w:eastAsia="Times New Roman" w:cs="Times New Roman"/>
                <w:kern w:val="0"/>
                <w:sz w:val="20"/>
                <w:szCs w:val="24"/>
                <w:lang w:val="en-US" w:eastAsia="zh-CN" w:bidi="ar-SA"/>
              </w:rPr>
              <w:t>Option 1: In case of joint TCI state switch, UE is not expected to receive on DL before UE completes the DL and UL TCI state switch</w:t>
            </w:r>
            <w:r>
              <w:rPr>
                <w:rFonts w:hint="eastAsia" w:ascii="Times New Roman" w:hAnsi="Times New Roman" w:eastAsia="Times New Roman" w:cs="Times New Roman"/>
                <w:kern w:val="0"/>
                <w:sz w:val="20"/>
                <w:szCs w:val="24"/>
                <w:lang w:val="en-US" w:eastAsia="zh-CN" w:bidi="ar-SA"/>
              </w:rPr>
              <w:t xml:space="preserve"> </w:t>
            </w:r>
            <w:r>
              <w:rPr>
                <w:rFonts w:hint="eastAsia" w:eastAsia="宋体"/>
                <w:lang w:val="en-US" w:eastAsia="zh-CN"/>
              </w:rPr>
              <w:t xml:space="preserve"> </w:t>
            </w:r>
          </w:p>
          <w:p>
            <w:pPr>
              <w:pStyle w:val="28"/>
              <w:numPr>
                <w:ilvl w:val="2"/>
                <w:numId w:val="7"/>
              </w:numPr>
              <w:overflowPunct/>
              <w:autoSpaceDE/>
              <w:autoSpaceDN/>
              <w:adjustRightInd/>
              <w:spacing w:after="120"/>
              <w:ind w:firstLineChars="0"/>
              <w:textAlignment w:val="auto"/>
            </w:pPr>
            <w:r>
              <w:rPr>
                <w:rFonts w:ascii="Times New Roman" w:hAnsi="Times New Roman" w:eastAsia="Times New Roman" w:cs="Times New Roman"/>
                <w:kern w:val="0"/>
                <w:sz w:val="20"/>
                <w:szCs w:val="24"/>
                <w:lang w:val="en-US" w:eastAsia="zh-CN" w:bidi="ar-SA"/>
              </w:rPr>
              <w:t>Option 2: Joint TCI switching delay is regarded as same as a pair of separate DL/UL TCI switching.</w:t>
            </w:r>
            <w:r>
              <w:rPr>
                <w:rFonts w:hint="eastAsia" w:eastAsia="宋体"/>
                <w:lang w:val="en-US" w:eastAsia="zh-CN"/>
              </w:rPr>
              <w:t xml:space="preserve">      </w:t>
            </w:r>
            <w:r>
              <w:rPr>
                <w:rFonts w:hint="eastAsia" w:eastAsia="宋体"/>
                <w:color w:val="0000FF"/>
                <w:lang w:val="en-US" w:eastAsia="zh-CN"/>
              </w:rPr>
              <w:t xml:space="preserve"> </w:t>
            </w:r>
          </w:p>
          <w:p>
            <w:pPr>
              <w:pStyle w:val="28"/>
              <w:numPr>
                <w:ilvl w:val="2"/>
                <w:numId w:val="8"/>
              </w:numPr>
              <w:overflowPunct/>
              <w:autoSpaceDE/>
              <w:autoSpaceDN/>
              <w:adjustRightInd/>
              <w:spacing w:after="120"/>
              <w:ind w:firstLine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In case of joint TCI state switch, UE is expected to receive on DL, when UE completes the DL state switch.</w:t>
            </w:r>
          </w:p>
          <w:p>
            <w:pPr>
              <w:pStyle w:val="28"/>
              <w:numPr>
                <w:ilvl w:val="2"/>
                <w:numId w:val="8"/>
              </w:numPr>
              <w:overflowPunct/>
              <w:autoSpaceDE/>
              <w:autoSpaceDN/>
              <w:adjustRightInd/>
              <w:spacing w:after="120"/>
              <w:ind w:firstLineChars="0"/>
              <w:textAlignment w:val="auto"/>
              <w:rPr>
                <w:rFonts w:hint="default"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In case of joint TCI state switch, UE is expected to transmit on UL, when UE completes the UL state switch.</w:t>
            </w:r>
          </w:p>
          <w:p>
            <w:pPr>
              <w:pStyle w:val="28"/>
              <w:numPr>
                <w:ilvl w:val="2"/>
                <w:numId w:val="8"/>
              </w:numPr>
              <w:overflowPunct/>
              <w:autoSpaceDE/>
              <w:autoSpaceDN/>
              <w:adjustRightInd/>
              <w:spacing w:after="120"/>
              <w:ind w:firstLineChars="0"/>
              <w:textAlignment w:val="auto"/>
              <w:rPr>
                <w:rFonts w:hint="default"/>
                <w:vertAlign w:val="baseline"/>
                <w:lang w:val="en-US" w:eastAsia="zh-CN"/>
              </w:rPr>
            </w:pPr>
            <w:r>
              <w:rPr>
                <w:rFonts w:ascii="Times New Roman" w:hAnsi="Times New Roman" w:eastAsia="Times New Roman" w:cs="Times New Roman"/>
                <w:kern w:val="0"/>
                <w:sz w:val="20"/>
                <w:szCs w:val="24"/>
                <w:lang w:val="en-US" w:eastAsia="zh-CN" w:bidi="ar-SA"/>
              </w:rPr>
              <w:t>Other options are not precluded.</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our opinion, Option 1 means dependence, however Option 2 means independence. The motivation of the above agreements to identify the independence between the requirements of DL TCI state and UL TCI state under joint mode, but the wording can be revised. So of course we prefer Option 2, which is aligned with the motivation of 101bis GTW Agreements.</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 xml:space="preserve">For the joint TCI state switching delay, not any dependency exists between DL and UL. UE applies the requirements of DL TCI state switch and UL TCI state switch respectively. </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1"/>
          <w:szCs w:val="21"/>
          <w:highlight w:val="non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UL TCI state switching delay when SSB is indicated as PL-RS in UL TCI state for FR2</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During 103 meeting, this issue was discussed enthusiastically. Even though not any conclusion achieve, but the candidate options were concentrated into two options from original multiple options: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2"/>
                <w:numId w:val="7"/>
              </w:numPr>
              <w:overflowPunct/>
              <w:autoSpaceDE/>
              <w:autoSpaceDN/>
              <w:adjustRightInd/>
              <w:spacing w:after="120"/>
              <w:ind w:firstLineChars="0"/>
              <w:textAlignment w:val="auto"/>
              <w:rPr>
                <w:bCs/>
              </w:rPr>
            </w:pPr>
            <w:r>
              <w:rPr>
                <w:lang w:eastAsia="zh-CN"/>
              </w:rPr>
              <w:t xml:space="preserve">Option-1 : </w:t>
            </w:r>
            <w:r>
              <w:rPr>
                <w:bCs/>
              </w:rPr>
              <w:t>Longer delay is expected when SSB is indicated as PL-RS in UL TCI state for FR2</w:t>
            </w:r>
          </w:p>
          <w:p>
            <w:pPr>
              <w:pStyle w:val="28"/>
              <w:numPr>
                <w:ilvl w:val="2"/>
                <w:numId w:val="7"/>
              </w:numPr>
              <w:overflowPunct/>
              <w:autoSpaceDE/>
              <w:autoSpaceDN/>
              <w:adjustRightInd/>
              <w:spacing w:after="120"/>
              <w:ind w:firstLineChars="0"/>
              <w:textAlignment w:val="auto"/>
              <w:rPr>
                <w:rFonts w:hint="default"/>
                <w:highlight w:val="none"/>
                <w:vertAlign w:val="baseline"/>
                <w:lang w:val="en-US" w:eastAsia="zh-CN"/>
              </w:rPr>
            </w:pPr>
            <w:r>
              <w:rPr>
                <w:bCs/>
              </w:rPr>
              <w:t xml:space="preserve">Option-2 : If a UE has measured and reported L1-RSRP within [Y] msec on the SSB indicated as PL-RS in UL TCI state, the PL-RS is regarded to be maintained. (i.e. a filtered L1-RSRP measurement process is equivalent to PL measurement process based on </w:t>
            </w:r>
            <w:r>
              <w:rPr>
                <w:i/>
                <w:iCs/>
                <w:position w:val="-12"/>
              </w:rPr>
              <w:object>
                <v:shape id="_x0000_i1025" o:spt="75" type="#_x0000_t75" style="height:15.5pt;width:4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i/>
                <w:iCs/>
              </w:rPr>
              <w:t>= referenceSignalPower – higher layer filtered RSRP</w:t>
            </w:r>
            <w:r>
              <w:rPr>
                <w:bCs/>
              </w:rPr>
              <w:t xml:space="preserve"> in TS38.213)</w:t>
            </w:r>
            <w:r>
              <w:rPr>
                <w:rFonts w:hint="eastAsia" w:eastAsia="宋体"/>
                <w:bCs/>
                <w:lang w:val="en-US" w:eastAsia="zh-CN"/>
              </w:rPr>
              <w:t xml:space="preserve"> </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pPr>
        <w:pStyle w:val="28"/>
        <w:widowControl w:val="0"/>
        <w:numPr>
          <w:ilvl w:val="1"/>
          <w:numId w:val="5"/>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8"/>
        <w:widowControl w:val="0"/>
        <w:numPr>
          <w:ilvl w:val="1"/>
          <w:numId w:val="5"/>
        </w:numPr>
        <w:overflowPunct/>
        <w:autoSpaceDE/>
        <w:autoSpaceDN/>
        <w:adjustRightInd/>
        <w:ind w:firstLineChars="0"/>
        <w:textAlignment w:val="auto"/>
        <w:rPr>
          <w:lang w:eastAsia="ja-JP"/>
        </w:rPr>
      </w:pPr>
      <w:r>
        <w:rPr>
          <w:lang w:eastAsia="ja-JP"/>
        </w:rPr>
        <w:t>NM is equal to 1 if PL-RS is not maintained, and equal to 0 otherwise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For unknown case, UE needs to perform L1-RSRP to acquire suitable RX beam and the L1-RSRP, then with the assumed RX beam to measure PL-RS RSRP. So for PL-RS RSRP measurement, not need RX beam sweeping any more. </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So we prefer Option 2.</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Common TCI state switching in CA case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Known condition on shared RS</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During 103 meeting, around this issue, the following agreements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rFonts w:eastAsiaTheme="minorEastAsia"/>
                <w:bCs/>
                <w:lang w:eastAsia="zh-CN"/>
              </w:rPr>
            </w:pPr>
            <w:r>
              <w:rPr>
                <w:rFonts w:eastAsiaTheme="minorEastAsia"/>
                <w:bCs/>
                <w:lang w:eastAsia="zh-CN"/>
              </w:rPr>
              <w:t>Agreement:</w:t>
            </w:r>
          </w:p>
          <w:p>
            <w:pPr>
              <w:pStyle w:val="28"/>
              <w:numPr>
                <w:ilvl w:val="0"/>
                <w:numId w:val="5"/>
              </w:numPr>
              <w:overflowPunct/>
              <w:autoSpaceDE/>
              <w:autoSpaceDN/>
              <w:adjustRightInd/>
              <w:spacing w:after="120"/>
              <w:ind w:left="740" w:firstLineChars="0"/>
              <w:textAlignment w:val="auto"/>
              <w:rPr>
                <w:rFonts w:hint="default" w:ascii="Times New Roman" w:hAnsi="Times New Roman" w:cs="Times New Roman" w:eastAsiaTheme="minorEastAsia"/>
                <w:bCs/>
                <w:kern w:val="0"/>
                <w:sz w:val="20"/>
                <w:szCs w:val="24"/>
                <w:lang w:val="en-US" w:eastAsia="zh-CN" w:bidi="ar-SA"/>
              </w:rPr>
            </w:pPr>
            <w:r>
              <w:rPr>
                <w:rFonts w:ascii="Times New Roman" w:hAnsi="Times New Roman" w:cs="Times New Roman" w:eastAsiaTheme="minorEastAsia"/>
                <w:bCs/>
                <w:kern w:val="0"/>
                <w:sz w:val="20"/>
                <w:szCs w:val="24"/>
                <w:lang w:val="en-US" w:eastAsia="zh-CN" w:bidi="ar-SA"/>
              </w:rPr>
              <w:t>Reuse the existing known condition. If the associated RS in common TCI state provides QCL-TypeD, the known condition can only consider whether the associated RS in the reference CC is known or not.</w:t>
            </w:r>
          </w:p>
          <w:p>
            <w:pPr>
              <w:pStyle w:val="28"/>
              <w:numPr>
                <w:ilvl w:val="0"/>
                <w:numId w:val="5"/>
              </w:numPr>
              <w:overflowPunct/>
              <w:autoSpaceDE/>
              <w:autoSpaceDN/>
              <w:adjustRightInd/>
              <w:spacing w:after="120"/>
              <w:ind w:left="740" w:firstLineChars="0"/>
              <w:textAlignment w:val="auto"/>
              <w:rPr>
                <w:rFonts w:hint="default"/>
                <w:vertAlign w:val="baseline"/>
                <w:lang w:val="en-US" w:eastAsia="zh-CN"/>
              </w:rPr>
            </w:pPr>
            <w:r>
              <w:rPr>
                <w:rFonts w:ascii="Times New Roman" w:hAnsi="Times New Roman" w:cs="Times New Roman" w:eastAsiaTheme="minorEastAsia"/>
                <w:bCs/>
                <w:kern w:val="0"/>
                <w:sz w:val="20"/>
                <w:szCs w:val="24"/>
                <w:lang w:val="en-US" w:eastAsia="zh-CN" w:bidi="ar-SA"/>
              </w:rPr>
              <w:t>FFS: the associated RS in common TCI state provides QCL-Type C</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Focus on the FFS, after further check the corresponding RRC signaling and illustration, from the perspective of signalling, QCL-Type C and QCL-Type D can be both cross carrier indicated. So for the case of shared RS in CA, the above agreement is also applicable to QCL-Type C.</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Reuse the existing known condition. If the associated RS in common TCI state provides QCL-TypeD</w:t>
      </w:r>
      <w:r>
        <w:rPr>
          <w:rFonts w:hint="eastAsia" w:eastAsia="宋体" w:cs="Times New Roman"/>
          <w:b/>
          <w:bCs/>
          <w:color w:val="auto"/>
          <w:sz w:val="21"/>
          <w:szCs w:val="21"/>
          <w:highlight w:val="none"/>
          <w:lang w:val="en-US" w:eastAsia="zh-CN" w:bidi="ar-SA"/>
        </w:rPr>
        <w:t xml:space="preserve"> or </w:t>
      </w:r>
      <w:r>
        <w:rPr>
          <w:rFonts w:hint="eastAsia" w:ascii="Times New Roman" w:hAnsi="Times New Roman" w:eastAsia="宋体" w:cs="Times New Roman"/>
          <w:b/>
          <w:bCs/>
          <w:color w:val="auto"/>
          <w:sz w:val="21"/>
          <w:szCs w:val="21"/>
          <w:highlight w:val="none"/>
          <w:lang w:val="en-US" w:eastAsia="zh-CN" w:bidi="ar-SA"/>
        </w:rPr>
        <w:t>QCL-Type</w:t>
      </w:r>
      <w:r>
        <w:rPr>
          <w:rFonts w:hint="eastAsia" w:eastAsia="宋体" w:cs="Times New Roman"/>
          <w:b/>
          <w:bCs/>
          <w:color w:val="auto"/>
          <w:sz w:val="21"/>
          <w:szCs w:val="21"/>
          <w:highlight w:val="none"/>
          <w:lang w:val="en-US" w:eastAsia="zh-CN" w:bidi="ar-SA"/>
        </w:rPr>
        <w:t>C</w:t>
      </w:r>
      <w:r>
        <w:rPr>
          <w:rFonts w:hint="eastAsia" w:ascii="Times New Roman" w:hAnsi="Times New Roman" w:eastAsia="宋体" w:cs="Times New Roman"/>
          <w:b/>
          <w:bCs/>
          <w:color w:val="auto"/>
          <w:sz w:val="21"/>
          <w:szCs w:val="21"/>
          <w:highlight w:val="none"/>
          <w:lang w:val="en-US" w:eastAsia="zh-CN" w:bidi="ar-SA"/>
        </w:rPr>
        <w:t>, the known condition can only consider whether the associated RS in the reference CC is known or not.</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Known condition on different RS</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During 103 meeting, around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1"/>
                <w:numId w:val="6"/>
              </w:numPr>
              <w:spacing w:after="156" w:afterLines="50"/>
              <w:rPr>
                <w:rFonts w:eastAsiaTheme="minorEastAsia"/>
                <w:lang w:val="sv-SE" w:eastAsia="zh-CN"/>
              </w:rPr>
            </w:pPr>
            <w:r>
              <w:rPr>
                <w:rFonts w:eastAsiaTheme="minorEastAsia"/>
                <w:lang w:val="sv-SE" w:eastAsia="zh-CN"/>
              </w:rPr>
              <w:t>Option 1:</w:t>
            </w:r>
          </w:p>
          <w:p>
            <w:pPr>
              <w:pStyle w:val="28"/>
              <w:numPr>
                <w:ilvl w:val="2"/>
                <w:numId w:val="7"/>
              </w:numPr>
              <w:overflowPunct/>
              <w:autoSpaceDE/>
              <w:autoSpaceDN/>
              <w:adjustRightInd/>
              <w:spacing w:after="120"/>
              <w:ind w:firstLineChars="0"/>
              <w:textAlignment w:val="auto"/>
            </w:pPr>
            <w:r>
              <w:t>Reuse the existing known condition. If the source RS is configured per CC, then the known condition is per CC.</w:t>
            </w:r>
          </w:p>
          <w:p>
            <w:pPr>
              <w:numPr>
                <w:ilvl w:val="1"/>
                <w:numId w:val="6"/>
              </w:numPr>
              <w:spacing w:after="156" w:afterLines="50"/>
              <w:rPr>
                <w:rFonts w:eastAsiaTheme="minorEastAsia"/>
                <w:lang w:val="sv-SE" w:eastAsia="zh-CN"/>
              </w:rPr>
            </w:pPr>
            <w:r>
              <w:rPr>
                <w:rFonts w:eastAsiaTheme="minorEastAsia"/>
                <w:lang w:val="sv-SE" w:eastAsia="zh-CN"/>
              </w:rPr>
              <w:t>Option 1a:</w:t>
            </w:r>
          </w:p>
          <w:p>
            <w:pPr>
              <w:pStyle w:val="28"/>
              <w:numPr>
                <w:ilvl w:val="2"/>
                <w:numId w:val="7"/>
              </w:numPr>
              <w:overflowPunct/>
              <w:autoSpaceDE/>
              <w:autoSpaceDN/>
              <w:adjustRightInd/>
              <w:spacing w:after="120"/>
              <w:ind w:firstLineChars="0"/>
              <w:textAlignment w:val="auto"/>
              <w:rPr>
                <w:rFonts w:hint="default"/>
                <w:highlight w:val="none"/>
                <w:vertAlign w:val="baseline"/>
                <w:lang w:val="en-US" w:eastAsia="zh-CN"/>
              </w:rPr>
            </w:pPr>
            <w:r>
              <w:t>For QCL-Type A/B/C/D, reuse the existing known condition. If the source RS is configured per CC, then the known condition is per CC.</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fact, Option 1 is the common understanding. In order to make it more clear, Option 1a was proposed. Since based on legacy, only QCL-Type C/D can be indicated cross CCs, here the case is not cross CCs case, so of course QCL-Type A/B/C/D are fine. So both Option 1 and Option 1a are fine to us. To be more clear compared with share RS mode, Option 1a is preferred.</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B</w:t>
      </w:r>
      <w:r>
        <w:rPr>
          <w:rFonts w:hint="eastAsia" w:ascii="Times New Roman" w:hAnsi="Times New Roman" w:eastAsia="宋体" w:cs="Times New Roman"/>
          <w:b/>
          <w:bCs/>
          <w:color w:val="auto"/>
          <w:sz w:val="21"/>
          <w:szCs w:val="21"/>
          <w:highlight w:val="none"/>
          <w:lang w:val="en-US" w:eastAsia="zh-CN" w:bidi="ar-SA"/>
        </w:rPr>
        <w:t>oth Option 1 and Option 1a are fine to us. To be more clear compared with share RS mode, Option 1a is preferred.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default" w:ascii="Times New Roman" w:hAnsi="Times New Roman" w:cs="Times New Roman"/>
          <w:b/>
          <w:bCs/>
          <w:color w:val="auto"/>
          <w:sz w:val="20"/>
          <w:szCs w:val="20"/>
          <w:u w:val="single"/>
          <w:lang w:val="en-US" w:eastAsia="zh-CN" w:bidi="ar-SA"/>
        </w:rPr>
        <w:t>Common TCI state switching delay requirement for shared RS</w:t>
      </w:r>
      <w:r>
        <w:rPr>
          <w:rFonts w:hint="eastAsia" w:ascii="Times New Roman" w:hAnsi="Times New Roman" w:cs="Times New Roman"/>
          <w:b/>
          <w:bCs/>
          <w:color w:val="auto"/>
          <w:sz w:val="20"/>
          <w:szCs w:val="20"/>
          <w:u w:val="single"/>
          <w:lang w:val="en-US" w:eastAsia="zh-CN" w:bidi="ar-SA"/>
        </w:rPr>
        <w:t xml:space="preserve"> scheme</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After some discussion during 103 meeting, the following WF was achieved around this issue.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6"/>
              </w:numPr>
              <w:spacing w:after="156" w:afterLines="50"/>
              <w:rPr>
                <w:rFonts w:eastAsiaTheme="minorEastAsia"/>
                <w:lang w:val="sv-SE" w:eastAsia="zh-CN"/>
              </w:rPr>
            </w:pPr>
            <w:r>
              <w:rPr>
                <w:rFonts w:eastAsiaTheme="minorEastAsia"/>
                <w:lang w:val="sv-SE" w:eastAsia="zh-CN"/>
              </w:rPr>
              <w:t>FFS:</w:t>
            </w:r>
          </w:p>
          <w:p>
            <w:pPr>
              <w:pStyle w:val="28"/>
              <w:numPr>
                <w:ilvl w:val="2"/>
                <w:numId w:val="7"/>
              </w:numPr>
              <w:overflowPunct/>
              <w:autoSpaceDE/>
              <w:autoSpaceDN/>
              <w:adjustRightInd/>
              <w:spacing w:after="120"/>
              <w:ind w:firstLineChars="0"/>
              <w:textAlignment w:val="auto"/>
              <w:rPr>
                <w:rFonts w:hint="default" w:ascii="Times New Roman" w:hAnsi="Times New Roman" w:cs="Times New Roman" w:eastAsiaTheme="minorEastAsia"/>
                <w:kern w:val="0"/>
                <w:sz w:val="20"/>
                <w:szCs w:val="24"/>
                <w:lang w:val="en-US" w:eastAsia="zh-CN" w:bidi="ar-SA"/>
              </w:rPr>
            </w:pPr>
            <w:r>
              <w:rPr>
                <w:rFonts w:ascii="Times New Roman" w:hAnsi="Times New Roman" w:cs="Times New Roman" w:eastAsiaTheme="minorEastAsia"/>
                <w:kern w:val="0"/>
                <w:sz w:val="20"/>
                <w:szCs w:val="24"/>
                <w:lang w:val="sv-SE" w:eastAsia="zh-CN" w:bidi="ar-SA"/>
              </w:rPr>
              <w:t>The delay requirement is defined per CC for the common TCI indicated by simultaneousU-TCI-UpdateList1/2/3/4-r17</w:t>
            </w:r>
          </w:p>
          <w:p>
            <w:pPr>
              <w:pStyle w:val="28"/>
              <w:numPr>
                <w:ilvl w:val="2"/>
                <w:numId w:val="7"/>
              </w:numPr>
              <w:overflowPunct/>
              <w:autoSpaceDE/>
              <w:autoSpaceDN/>
              <w:adjustRightInd/>
              <w:spacing w:after="120"/>
              <w:ind w:firstLineChars="0"/>
              <w:textAlignment w:val="auto"/>
              <w:rPr>
                <w:rFonts w:hint="default"/>
                <w:vertAlign w:val="baseline"/>
                <w:lang w:val="en-US" w:eastAsia="zh-CN"/>
              </w:rPr>
            </w:pPr>
            <w:r>
              <w:rPr>
                <w:rFonts w:ascii="Times New Roman" w:hAnsi="Times New Roman" w:cs="Times New Roman" w:eastAsiaTheme="minorEastAsia"/>
                <w:kern w:val="0"/>
                <w:sz w:val="20"/>
                <w:szCs w:val="24"/>
                <w:lang w:val="sv-SE" w:eastAsia="zh-CN" w:bidi="ar-SA"/>
              </w:rPr>
              <w:t>The delay requirement is defined for multiple CCs for the common TCI indicated by RefUnifiedTCIStateList-r17</w:t>
            </w:r>
          </w:p>
        </w:tc>
      </w:tr>
    </w:tbl>
    <w:p>
      <w:pPr>
        <w:widowControl w:val="0"/>
        <w:numPr>
          <w:ilvl w:val="0"/>
          <w:numId w:val="0"/>
        </w:numPr>
        <w:jc w:val="both"/>
        <w:rPr>
          <w:rFonts w:hint="eastAsia" w:eastAsia="宋体"/>
          <w:kern w:val="2"/>
          <w:sz w:val="21"/>
          <w:highlight w:val="none"/>
          <w:lang w:val="en-US" w:eastAsia="zh-CN"/>
        </w:rPr>
      </w:pPr>
      <w:r>
        <w:rPr>
          <w:rFonts w:hint="eastAsia"/>
          <w:lang w:val="en-US" w:eastAsia="zh-CN"/>
        </w:rPr>
        <w:t xml:space="preserve">We are fine with the motivation of above two sub-bullets. </w:t>
      </w:r>
      <w:r>
        <w:rPr>
          <w:rFonts w:hint="eastAsia" w:eastAsia="宋体"/>
          <w:kern w:val="2"/>
          <w:sz w:val="21"/>
          <w:highlight w:val="none"/>
          <w:lang w:val="en-US" w:eastAsia="zh-CN"/>
        </w:rPr>
        <w:t>In legacy, one CG can be divided into at most 2 CC group. For each CC group, corresponding to one TCI state list, so at most 2 TCI state lists. In R17, the number of 2 was extended to 4. The 1</w:t>
      </w:r>
      <w:r>
        <w:rPr>
          <w:rFonts w:hint="eastAsia" w:eastAsia="宋体"/>
          <w:kern w:val="2"/>
          <w:sz w:val="21"/>
          <w:highlight w:val="none"/>
          <w:vertAlign w:val="superscript"/>
          <w:lang w:val="en-US" w:eastAsia="zh-CN"/>
        </w:rPr>
        <w:t>st</w:t>
      </w:r>
      <w:r>
        <w:rPr>
          <w:rFonts w:hint="eastAsia" w:eastAsia="宋体"/>
          <w:kern w:val="2"/>
          <w:sz w:val="21"/>
          <w:highlight w:val="none"/>
          <w:lang w:val="en-US" w:eastAsia="zh-CN"/>
        </w:rPr>
        <w:t xml:space="preserve"> sub-bullet refers to different RS scheme, and the 2</w:t>
      </w:r>
      <w:r>
        <w:rPr>
          <w:rFonts w:hint="eastAsia" w:eastAsia="宋体"/>
          <w:kern w:val="2"/>
          <w:sz w:val="21"/>
          <w:highlight w:val="none"/>
          <w:vertAlign w:val="superscript"/>
          <w:lang w:val="en-US" w:eastAsia="zh-CN"/>
        </w:rPr>
        <w:t>nd</w:t>
      </w:r>
      <w:r>
        <w:rPr>
          <w:rFonts w:hint="eastAsia" w:eastAsia="宋体"/>
          <w:kern w:val="2"/>
          <w:sz w:val="21"/>
          <w:highlight w:val="none"/>
          <w:lang w:val="en-US" w:eastAsia="zh-CN"/>
        </w:rPr>
        <w:t xml:space="preserve"> sub-bullet refers to shared RS scheme. But referring to the exact signaling, as we known, RAN2 has revised sometimes during Rel-17, so we can use the final determined signalling here.</w:t>
      </w:r>
    </w:p>
    <w:p>
      <w:pPr>
        <w:widowControl w:val="0"/>
        <w:numPr>
          <w:ilvl w:val="0"/>
          <w:numId w:val="0"/>
        </w:numPr>
        <w:jc w:val="both"/>
        <w:rPr>
          <w:rFonts w:hint="eastAsia"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 We are fine with the motivation of above two sub-bullets. The 1st sub-bullet refers to different RS scheme, and the 2nd sub-bullet refers to shared RS scheme.</w:t>
      </w:r>
      <w:r>
        <w:rPr>
          <w:rFonts w:hint="eastAsia" w:eastAsia="宋体" w:cs="Times New Roman"/>
          <w:b/>
          <w:bCs/>
          <w:color w:val="auto"/>
          <w:sz w:val="21"/>
          <w:szCs w:val="21"/>
          <w:highlight w:val="none"/>
          <w:lang w:val="en-US" w:eastAsia="zh-CN" w:bidi="ar-SA"/>
        </w:rPr>
        <w:t xml:space="preserve"> But referring to the exact signaling, as we known, RAN2 has revised sometimes during Rel-17, so we can use the final determined signalling here.</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2.3 TCI state list update delay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default" w:ascii="Times New Roman" w:hAnsi="Times New Roman" w:cs="Times New Roman"/>
          <w:b/>
          <w:bCs/>
          <w:color w:val="auto"/>
          <w:sz w:val="20"/>
          <w:szCs w:val="20"/>
          <w:u w:val="single"/>
          <w:lang w:val="en-US" w:eastAsia="zh-CN" w:bidi="ar-SA"/>
        </w:rPr>
        <w:t>Whether to consider unknown TCI state in the TCI state list</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During 103 meeting, around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6"/>
              </w:numPr>
              <w:spacing w:after="156" w:afterLines="50"/>
              <w:rPr>
                <w:rFonts w:eastAsiaTheme="minorEastAsia"/>
                <w:lang w:val="sv-SE" w:eastAsia="zh-CN"/>
              </w:rPr>
            </w:pPr>
            <w:r>
              <w:rPr>
                <w:rFonts w:eastAsiaTheme="minorEastAsia"/>
                <w:lang w:val="sv-SE" w:eastAsia="zh-CN"/>
              </w:rPr>
              <w:t xml:space="preserve">Option 1: </w:t>
            </w:r>
          </w:p>
          <w:p>
            <w:pPr>
              <w:pStyle w:val="28"/>
              <w:numPr>
                <w:ilvl w:val="2"/>
                <w:numId w:val="7"/>
              </w:numPr>
              <w:overflowPunct/>
              <w:autoSpaceDE/>
              <w:autoSpaceDN/>
              <w:adjustRightInd/>
              <w:spacing w:after="120"/>
              <w:ind w:firstLineChars="0"/>
              <w:textAlignment w:val="auto"/>
              <w:rPr>
                <w:rFonts w:ascii="Times New Roman" w:hAnsi="Times New Roman" w:cs="Times New Roman" w:eastAsiaTheme="minorEastAsia"/>
                <w:kern w:val="0"/>
                <w:sz w:val="20"/>
                <w:szCs w:val="24"/>
                <w:lang w:val="sv-SE" w:eastAsia="zh-CN" w:bidi="ar-SA"/>
              </w:rPr>
            </w:pPr>
            <w:r>
              <w:rPr>
                <w:rFonts w:ascii="Times New Roman" w:hAnsi="Times New Roman" w:cs="Times New Roman" w:eastAsiaTheme="minorEastAsia"/>
                <w:kern w:val="0"/>
                <w:sz w:val="20"/>
                <w:szCs w:val="24"/>
                <w:lang w:val="sv-SE" w:eastAsia="zh-CN" w:bidi="ar-SA"/>
              </w:rPr>
              <w:t>Yes</w:t>
            </w:r>
          </w:p>
          <w:p>
            <w:pPr>
              <w:numPr>
                <w:ilvl w:val="1"/>
                <w:numId w:val="6"/>
              </w:numPr>
              <w:spacing w:after="156" w:afterLines="50"/>
              <w:rPr>
                <w:rFonts w:eastAsiaTheme="minorEastAsia"/>
                <w:lang w:val="sv-SE" w:eastAsia="zh-CN"/>
              </w:rPr>
            </w:pPr>
            <w:r>
              <w:rPr>
                <w:rFonts w:eastAsiaTheme="minorEastAsia"/>
                <w:lang w:val="sv-SE" w:eastAsia="zh-CN"/>
              </w:rPr>
              <w:t>Option 1a:</w:t>
            </w:r>
          </w:p>
          <w:p>
            <w:pPr>
              <w:pStyle w:val="28"/>
              <w:numPr>
                <w:ilvl w:val="2"/>
                <w:numId w:val="7"/>
              </w:numPr>
              <w:overflowPunct/>
              <w:autoSpaceDE/>
              <w:autoSpaceDN/>
              <w:adjustRightInd/>
              <w:spacing w:after="120"/>
              <w:ind w:firstLineChars="0"/>
              <w:textAlignment w:val="auto"/>
              <w:rPr>
                <w:rFonts w:ascii="Times New Roman" w:hAnsi="Times New Roman" w:cs="Times New Roman" w:eastAsiaTheme="minorEastAsia"/>
                <w:kern w:val="0"/>
                <w:sz w:val="20"/>
                <w:szCs w:val="24"/>
                <w:lang w:val="sv-SE" w:eastAsia="zh-CN" w:bidi="ar-SA"/>
              </w:rPr>
            </w:pPr>
            <w:r>
              <w:rPr>
                <w:rFonts w:ascii="Times New Roman" w:hAnsi="Times New Roman" w:cs="Times New Roman" w:eastAsiaTheme="minorEastAsia"/>
                <w:kern w:val="0"/>
                <w:sz w:val="20"/>
                <w:szCs w:val="24"/>
                <w:lang w:val="sv-SE" w:eastAsia="ja-JP" w:bidi="ar-SA"/>
              </w:rPr>
              <w:t>Longer delay would apply if any of the TCI states are unknown</w:t>
            </w:r>
          </w:p>
          <w:p>
            <w:pPr>
              <w:numPr>
                <w:ilvl w:val="1"/>
                <w:numId w:val="6"/>
              </w:numPr>
              <w:spacing w:after="156" w:afterLines="50"/>
              <w:rPr>
                <w:rFonts w:eastAsiaTheme="minorEastAsia"/>
                <w:lang w:val="sv-SE" w:eastAsia="zh-CN"/>
              </w:rPr>
            </w:pPr>
            <w:r>
              <w:rPr>
                <w:rFonts w:eastAsiaTheme="minorEastAsia"/>
                <w:lang w:val="sv-SE" w:eastAsia="zh-CN"/>
              </w:rPr>
              <w:t>Option 2:</w:t>
            </w:r>
          </w:p>
          <w:p>
            <w:pPr>
              <w:pStyle w:val="28"/>
              <w:numPr>
                <w:ilvl w:val="2"/>
                <w:numId w:val="7"/>
              </w:numPr>
              <w:overflowPunct/>
              <w:autoSpaceDE/>
              <w:autoSpaceDN/>
              <w:adjustRightInd/>
              <w:spacing w:after="120"/>
              <w:ind w:firstLineChars="0"/>
              <w:textAlignment w:val="auto"/>
              <w:rPr>
                <w:rFonts w:hint="default" w:ascii="Times New Roman" w:hAnsi="Times New Roman" w:cs="Times New Roman"/>
                <w:b/>
                <w:bCs/>
                <w:color w:val="auto"/>
                <w:sz w:val="20"/>
                <w:szCs w:val="20"/>
                <w:u w:val="single"/>
                <w:vertAlign w:val="baseline"/>
                <w:lang w:val="en-US" w:eastAsia="zh-CN" w:bidi="ar-SA"/>
              </w:rPr>
            </w:pPr>
            <w:r>
              <w:rPr>
                <w:rFonts w:ascii="Times New Roman" w:hAnsi="Times New Roman" w:cs="Times New Roman" w:eastAsiaTheme="minorEastAsia"/>
                <w:kern w:val="0"/>
                <w:sz w:val="20"/>
                <w:szCs w:val="24"/>
                <w:lang w:val="sv-SE" w:eastAsia="zh-CN" w:bidi="ar-SA"/>
              </w:rPr>
              <w:t>No</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fact Option 2 is aligned with legacy. In legacy, the MAC CE based TCI state list update(for PDSCH) only provides known case requirement(same as MAC CE based TCI state update for PDCCH), not any requirement for unknown case. The proponents of Option 2 believe reusing legacy is fine, since the requirement of the TCI state list update is to enable the DCI based switch. And the intention of DCI based switch is to quickly switch the TCI state.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But it is possible that UE may have measured the beam but due to limitation on number of L1-RSRP UE can report, UE may not have reported the L1-RSRP. From the perspective of NW, NW may know the rough position of the UE based on UL transmission before L1-RSRP report, so NW may activate a list of TCI but some TCI in the list do not fulfill known condition. So we prefer Option 1.</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2 is aligned with legacy. But considering it is possible that some of TCI states in the list do not fulfill known condition, so Option 1 is suggested by us.</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default" w:ascii="Times New Roman" w:hAnsi="Times New Roman" w:cs="Times New Roman"/>
          <w:b/>
          <w:bCs/>
          <w:color w:val="auto"/>
          <w:sz w:val="20"/>
          <w:szCs w:val="20"/>
          <w:u w:val="single"/>
          <w:lang w:val="en-US" w:eastAsia="zh-CN" w:bidi="ar-SA"/>
        </w:rPr>
        <w:t>MAC CE based TCI state list update delay for unknown TCI state</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Referring to the exact requirement of TCI state list update delay for unknown TCI state,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1"/>
                <w:numId w:val="6"/>
              </w:numPr>
              <w:spacing w:after="156" w:afterLines="50"/>
              <w:rPr>
                <w:rFonts w:eastAsiaTheme="minorEastAsia"/>
                <w:lang w:val="sv-SE" w:eastAsia="zh-CN"/>
              </w:rPr>
            </w:pPr>
            <w:r>
              <w:rPr>
                <w:rFonts w:eastAsiaTheme="minorEastAsia"/>
                <w:lang w:val="sv-SE" w:eastAsia="zh-CN"/>
              </w:rPr>
              <w:t>Option 1:</w:t>
            </w:r>
          </w:p>
          <w:p>
            <w:pPr>
              <w:pStyle w:val="28"/>
              <w:numPr>
                <w:ilvl w:val="2"/>
                <w:numId w:val="7"/>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numPr>
                <w:ilvl w:val="1"/>
                <w:numId w:val="6"/>
              </w:numPr>
              <w:spacing w:after="156" w:afterLines="50"/>
              <w:rPr>
                <w:rFonts w:eastAsiaTheme="minorEastAsia"/>
                <w:lang w:val="sv-SE" w:eastAsia="zh-CN"/>
              </w:rPr>
            </w:pPr>
            <w:r>
              <w:rPr>
                <w:rFonts w:eastAsiaTheme="minorEastAsia"/>
                <w:lang w:val="sv-SE" w:eastAsia="zh-CN"/>
              </w:rPr>
              <w:t>Option 2:</w:t>
            </w:r>
          </w:p>
          <w:p>
            <w:pPr>
              <w:pStyle w:val="28"/>
              <w:numPr>
                <w:ilvl w:val="2"/>
                <w:numId w:val="7"/>
              </w:numPr>
              <w:overflowPunct/>
              <w:autoSpaceDE/>
              <w:autoSpaceDN/>
              <w:adjustRightInd/>
              <w:spacing w:after="120"/>
              <w:ind w:firstLineChars="0"/>
              <w:textAlignment w:val="auto"/>
              <w:rPr>
                <w:rFonts w:hint="default"/>
                <w:highlight w:val="none"/>
                <w:vertAlign w:val="baseline"/>
                <w:lang w:val="en-US" w:eastAsia="zh-CN"/>
              </w:rPr>
            </w:pPr>
            <w:r>
              <w:rPr>
                <w:rFonts w:eastAsia="Malgun Gothic"/>
                <w:lang w:val="en-US" w:eastAsia="zh-CN"/>
              </w:rPr>
              <w:t>No requirement for unknown TCI state update in the TCI state list</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Since the case is possible, of course the delay requirement is needed. Option 1 is preferred by us.</w:t>
      </w:r>
    </w:p>
    <w:p>
      <w:pPr>
        <w:pStyle w:val="3"/>
        <w:keepNext w:val="0"/>
        <w:keepLines w:val="0"/>
        <w:pageBreakBefore w:val="0"/>
        <w:widowControl/>
        <w:kinsoku/>
        <w:wordWrap/>
        <w:overflowPunct/>
        <w:topLinePunct w:val="0"/>
        <w:autoSpaceDE/>
        <w:autoSpaceDN/>
        <w:bidi w:val="0"/>
        <w:adjustRightInd/>
        <w:snapToGrid/>
        <w:textAlignment w:val="auto"/>
        <w:rPr>
          <w:lang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10</w:t>
      </w:r>
      <w:r>
        <w:rPr>
          <w:rFonts w:hint="eastAsia" w:ascii="Times New Roman" w:hAnsi="Times New Roman" w:eastAsia="宋体" w:cs="Times New Roman"/>
          <w:b/>
          <w:bCs/>
          <w:color w:val="auto"/>
          <w:sz w:val="21"/>
          <w:szCs w:val="21"/>
          <w:highlight w:val="none"/>
          <w:lang w:val="en-US" w:eastAsia="zh-CN" w:bidi="ar-SA"/>
        </w:rPr>
        <w:t>: Since the case is possible, of course the delay requirement is needed. Option 1 is preferred by us.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unified TCI state</w:t>
      </w:r>
      <w:r>
        <w:rPr>
          <w:rFonts w:eastAsia="宋体"/>
          <w:bCs/>
          <w:color w:val="auto"/>
          <w:sz w:val="21"/>
          <w:szCs w:val="21"/>
          <w:lang w:val="en-GB" w:eastAsia="zh-CN"/>
        </w:rPr>
        <w:t>:</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b/>
          <w:bCs/>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Option 1 is common understanding in general.</w:t>
      </w:r>
      <w:r>
        <w:rPr>
          <w:rFonts w:hint="eastAsia" w:eastAsia="宋体" w:cs="Times New Roman"/>
          <w:b/>
          <w:bCs/>
          <w:color w:val="auto"/>
          <w:sz w:val="21"/>
          <w:szCs w:val="21"/>
          <w:highlight w:val="none"/>
          <w:lang w:val="en-US" w:eastAsia="zh-CN" w:bidi="ar-SA"/>
        </w:rPr>
        <w:t xml:space="preserve"> However referring to the multi-TRP scenario, Option 2 is reasonable since different TRPs for DL and UL is possible. For the case that not any DL timing can be referenced, UE needs to perform time/frequency tracking for target UL TCI state.</w:t>
      </w:r>
    </w:p>
    <w:p>
      <w:pPr>
        <w:pStyle w:val="3"/>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w:t>
      </w:r>
      <w:r>
        <w:rPr>
          <w:rFonts w:hint="eastAsia" w:ascii="Times New Roman" w:hAnsi="Times New Roman" w:cs="Times New Roman"/>
          <w:b/>
          <w:bCs/>
          <w:color w:val="auto"/>
          <w:sz w:val="21"/>
          <w:szCs w:val="21"/>
          <w:highlight w:val="none"/>
          <w:lang w:val="en-US" w:eastAsia="zh-CN" w:bidi="ar-SA"/>
        </w:rPr>
        <w:t xml:space="preserve">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 xml:space="preserve">Considering the upper bounds of active TCI state and maintained PL-RS is different, it is possible that UE can only maintain part of PL-RS of the active TCI states in the list. In such case, 5 samples measurement for the PL-RS is necessary and can not be reduced. </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3: The active DL TCI state list and active UL TCI state list are independent. Active UL TCI state list should not be impacted by active DL TCI state list.</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 xml:space="preserve">For the joint TCI state switching delay, not any dependency exists between DL and UL. UE applies the requirements of DL TCI state switch and UL TCI state switch respectively. </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Reuse the existing known condition. If the associated RS in common TCI state provides QCL-TypeD</w:t>
      </w:r>
      <w:r>
        <w:rPr>
          <w:rFonts w:hint="eastAsia" w:eastAsia="宋体" w:cs="Times New Roman"/>
          <w:b/>
          <w:bCs/>
          <w:color w:val="auto"/>
          <w:sz w:val="21"/>
          <w:szCs w:val="21"/>
          <w:highlight w:val="none"/>
          <w:lang w:val="en-US" w:eastAsia="zh-CN" w:bidi="ar-SA"/>
        </w:rPr>
        <w:t xml:space="preserve"> or </w:t>
      </w:r>
      <w:r>
        <w:rPr>
          <w:rFonts w:hint="eastAsia" w:ascii="Times New Roman" w:hAnsi="Times New Roman" w:eastAsia="宋体" w:cs="Times New Roman"/>
          <w:b/>
          <w:bCs/>
          <w:color w:val="auto"/>
          <w:sz w:val="21"/>
          <w:szCs w:val="21"/>
          <w:highlight w:val="none"/>
          <w:lang w:val="en-US" w:eastAsia="zh-CN" w:bidi="ar-SA"/>
        </w:rPr>
        <w:t>QCL-Type</w:t>
      </w:r>
      <w:r>
        <w:rPr>
          <w:rFonts w:hint="eastAsia" w:eastAsia="宋体" w:cs="Times New Roman"/>
          <w:b/>
          <w:bCs/>
          <w:color w:val="auto"/>
          <w:sz w:val="21"/>
          <w:szCs w:val="21"/>
          <w:highlight w:val="none"/>
          <w:lang w:val="en-US" w:eastAsia="zh-CN" w:bidi="ar-SA"/>
        </w:rPr>
        <w:t>C</w:t>
      </w:r>
      <w:r>
        <w:rPr>
          <w:rFonts w:hint="eastAsia" w:ascii="Times New Roman" w:hAnsi="Times New Roman" w:eastAsia="宋体" w:cs="Times New Roman"/>
          <w:b/>
          <w:bCs/>
          <w:color w:val="auto"/>
          <w:sz w:val="21"/>
          <w:szCs w:val="21"/>
          <w:highlight w:val="none"/>
          <w:lang w:val="en-US" w:eastAsia="zh-CN" w:bidi="ar-SA"/>
        </w:rPr>
        <w:t>, the known condition can only consider whether the associated RS in the reference CC is known or not.</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B</w:t>
      </w:r>
      <w:r>
        <w:rPr>
          <w:rFonts w:hint="eastAsia" w:ascii="Times New Roman" w:hAnsi="Times New Roman" w:eastAsia="宋体" w:cs="Times New Roman"/>
          <w:b/>
          <w:bCs/>
          <w:color w:val="auto"/>
          <w:sz w:val="21"/>
          <w:szCs w:val="21"/>
          <w:highlight w:val="none"/>
          <w:lang w:val="en-US" w:eastAsia="zh-CN" w:bidi="ar-SA"/>
        </w:rPr>
        <w:t>oth Option 1 and Option 1a are fine to us. To be more clear compared with share RS mode, Option 1a is preferred.</w:t>
      </w:r>
    </w:p>
    <w:p>
      <w:pPr>
        <w:widowControl w:val="0"/>
        <w:numPr>
          <w:ilvl w:val="0"/>
          <w:numId w:val="0"/>
        </w:numPr>
        <w:jc w:val="both"/>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 We are fine with the motivation of above two sub-bullets. The 1st sub-bullet refers to different RS scheme, and the 2nd sub-bullet refers to shared RS scheme.</w:t>
      </w:r>
      <w:r>
        <w:rPr>
          <w:rFonts w:hint="eastAsia" w:eastAsia="宋体" w:cs="Times New Roman"/>
          <w:b/>
          <w:bCs/>
          <w:color w:val="auto"/>
          <w:sz w:val="21"/>
          <w:szCs w:val="21"/>
          <w:highlight w:val="none"/>
          <w:lang w:val="en-US" w:eastAsia="zh-CN" w:bidi="ar-SA"/>
        </w:rPr>
        <w:t xml:space="preserve"> But referring to the exact signaling, as we known, RAN2 has revised sometimes during Rel-17, so we can use the final determined signalling here.</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2 is aligned with legacy. But considering it is possible that some of TCI states in the list do not fulfill known condition, so Option 1 is suggested by us.</w:t>
      </w:r>
    </w:p>
    <w:p>
      <w:pPr>
        <w:pStyle w:val="3"/>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10</w:t>
      </w:r>
      <w:r>
        <w:rPr>
          <w:rFonts w:hint="eastAsia" w:ascii="Times New Roman" w:hAnsi="Times New Roman" w:eastAsia="宋体" w:cs="Times New Roman"/>
          <w:b/>
          <w:bCs/>
          <w:color w:val="auto"/>
          <w:sz w:val="21"/>
          <w:szCs w:val="21"/>
          <w:highlight w:val="none"/>
          <w:lang w:val="en-US" w:eastAsia="zh-CN" w:bidi="ar-SA"/>
        </w:rPr>
        <w:t>: Since the case is possible, of course the delay requirement is needed. Option 1 is preferred by us.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rPr>
          <w:rFonts w:hint="default" w:eastAsia="宋体"/>
          <w:color w:val="auto"/>
          <w:highlight w:val="none"/>
          <w:lang w:val="en-US" w:eastAsia="zh-CN"/>
        </w:rPr>
      </w:pPr>
      <w:r>
        <w:rPr>
          <w:rFonts w:hint="eastAsia"/>
          <w:color w:val="auto"/>
          <w:highlight w:val="none"/>
          <w:lang w:val="en-US" w:eastAsia="zh-CN"/>
        </w:rPr>
        <w:t xml:space="preserve">R4-2211203, </w:t>
      </w:r>
      <w:r>
        <w:rPr>
          <w:rFonts w:hint="default"/>
          <w:color w:val="auto"/>
          <w:highlight w:val="none"/>
          <w:lang w:val="en-US" w:eastAsia="zh-CN"/>
        </w:rPr>
        <w:t>“</w:t>
      </w:r>
      <w:r>
        <w:rPr>
          <w:rFonts w:hint="eastAsia"/>
          <w:color w:val="auto"/>
          <w:highlight w:val="none"/>
          <w:lang w:val="en-US" w:eastAsia="zh-CN"/>
        </w:rPr>
        <w:t>WF on FeMIMO RRM impact for unified TCI state</w:t>
      </w:r>
      <w:r>
        <w:rPr>
          <w:rFonts w:hint="default"/>
          <w:color w:val="auto"/>
          <w:highlight w:val="none"/>
          <w:lang w:val="en-US" w:eastAsia="zh-CN"/>
        </w:rPr>
        <w:t>”</w:t>
      </w:r>
      <w:r>
        <w:rPr>
          <w:rFonts w:hint="eastAsia"/>
          <w:color w:val="auto"/>
          <w:highlight w:val="none"/>
          <w:lang w:val="en-US" w:eastAsia="zh-CN"/>
        </w:rPr>
        <w:t xml:space="preserve">, Intel.   </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0C820B"/>
    <w:multiLevelType w:val="singleLevel"/>
    <w:tmpl w:val="E60C820B"/>
    <w:lvl w:ilvl="0" w:tentative="0">
      <w:start w:val="1"/>
      <w:numFmt w:val="bullet"/>
      <w:lvlText w:val=""/>
      <w:lvlJc w:val="left"/>
      <w:pPr>
        <w:ind w:left="420" w:hanging="420"/>
      </w:pPr>
      <w:rPr>
        <w:rFonts w:hint="default" w:ascii="Wingdings" w:hAnsi="Wingdings"/>
      </w:rPr>
    </w:lvl>
  </w:abstractNum>
  <w:abstractNum w:abstractNumId="1">
    <w:nsid w:val="012805F6"/>
    <w:multiLevelType w:val="multilevel"/>
    <w:tmpl w:val="012805F6"/>
    <w:lvl w:ilvl="0" w:tentative="0">
      <w:start w:val="1"/>
      <w:numFmt w:val="bullet"/>
      <w:lvlText w:val=""/>
      <w:lvlJc w:val="left"/>
      <w:pPr>
        <w:ind w:left="860" w:hanging="360"/>
      </w:pPr>
      <w:rPr>
        <w:rFonts w:hint="default" w:ascii="Symbol" w:hAnsi="Symbol"/>
      </w:rPr>
    </w:lvl>
    <w:lvl w:ilvl="1" w:tentative="0">
      <w:start w:val="1"/>
      <w:numFmt w:val="bullet"/>
      <w:lvlText w:val=""/>
      <w:lvlJc w:val="left"/>
      <w:pPr>
        <w:ind w:left="1580" w:hanging="360"/>
      </w:pPr>
      <w:rPr>
        <w:rFonts w:hint="default" w:ascii="Symbol" w:hAnsi="Symbol"/>
      </w:rPr>
    </w:lvl>
    <w:lvl w:ilvl="2" w:tentative="0">
      <w:start w:val="129"/>
      <w:numFmt w:val="bullet"/>
      <w:lvlText w:val="-"/>
      <w:lvlJc w:val="left"/>
      <w:pPr>
        <w:ind w:left="810" w:hanging="360"/>
      </w:pPr>
      <w:rPr>
        <w:rFonts w:hint="default" w:ascii="Calibri" w:hAnsi="Calibri" w:eastAsia="Calibri" w:cs="Times New Roman"/>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117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abstractNum w:abstractNumId="2">
    <w:nsid w:val="0FA856B9"/>
    <w:multiLevelType w:val="multilevel"/>
    <w:tmpl w:val="0FA856B9"/>
    <w:lvl w:ilvl="0" w:tentative="0">
      <w:start w:val="1"/>
      <w:numFmt w:val="bullet"/>
      <w:lvlText w:val=""/>
      <w:lvlJc w:val="left"/>
      <w:pPr>
        <w:ind w:left="860" w:hanging="360"/>
      </w:pPr>
      <w:rPr>
        <w:rFonts w:hint="default" w:ascii="Symbol" w:hAnsi="Symbol"/>
      </w:rPr>
    </w:lvl>
    <w:lvl w:ilvl="1" w:tentative="0">
      <w:start w:val="1"/>
      <w:numFmt w:val="bullet"/>
      <w:lvlText w:val=""/>
      <w:lvlJc w:val="left"/>
      <w:pPr>
        <w:ind w:left="450" w:hanging="360"/>
      </w:pPr>
      <w:rPr>
        <w:rFonts w:hint="default" w:ascii="Wingdings" w:hAnsi="Wingdings"/>
      </w:rPr>
    </w:lvl>
    <w:lvl w:ilvl="2" w:tentative="0">
      <w:start w:val="1"/>
      <w:numFmt w:val="bullet"/>
      <w:lvlText w:val=""/>
      <w:lvlJc w:val="left"/>
      <w:pPr>
        <w:ind w:left="2300" w:hanging="360"/>
      </w:pPr>
      <w:rPr>
        <w:rFonts w:hint="default" w:ascii="Wingdings" w:hAnsi="Wingdings"/>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374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BB26800"/>
    <w:multiLevelType w:val="multilevel"/>
    <w:tmpl w:val="6BB26800"/>
    <w:lvl w:ilvl="0" w:tentative="0">
      <w:start w:val="1"/>
      <w:numFmt w:val="bullet"/>
      <w:lvlText w:val=""/>
      <w:lvlJc w:val="left"/>
      <w:pPr>
        <w:ind w:left="860" w:hanging="360"/>
      </w:pPr>
      <w:rPr>
        <w:rFonts w:hint="default" w:ascii="Symbol" w:hAnsi="Symbol"/>
      </w:rPr>
    </w:lvl>
    <w:lvl w:ilvl="1" w:tentative="0">
      <w:start w:val="1"/>
      <w:numFmt w:val="bullet"/>
      <w:lvlText w:val="o"/>
      <w:lvlJc w:val="left"/>
      <w:pPr>
        <w:ind w:left="1580" w:hanging="360"/>
      </w:pPr>
      <w:rPr>
        <w:rFonts w:hint="default" w:ascii="Courier New" w:hAnsi="Courier New" w:cs="Courier New"/>
      </w:rPr>
    </w:lvl>
    <w:lvl w:ilvl="2" w:tentative="0">
      <w:start w:val="25"/>
      <w:numFmt w:val="bullet"/>
      <w:lvlText w:val="-"/>
      <w:lvlJc w:val="left"/>
      <w:pPr>
        <w:ind w:left="1170" w:hanging="360"/>
      </w:pPr>
      <w:rPr>
        <w:rFonts w:hint="default" w:ascii="Times New Roman" w:hAnsi="Times New Roman" w:cs="Times New Roman" w:eastAsiaTheme="minorEastAsia"/>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374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num w:numId="1">
    <w:abstractNumId w:val="8"/>
  </w:num>
  <w:num w:numId="2">
    <w:abstractNumId w:val="5"/>
  </w:num>
  <w:num w:numId="3">
    <w:abstractNumId w:val="3"/>
  </w:num>
  <w:num w:numId="4">
    <w:abstractNumId w:val="4"/>
  </w:num>
  <w:num w:numId="5">
    <w:abstractNumId w:val="6"/>
  </w:num>
  <w:num w:numId="6">
    <w:abstractNumId w:val="2"/>
  </w:num>
  <w:num w:numId="7">
    <w:abstractNumId w:val="1"/>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5A6"/>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1CE0363"/>
    <w:rsid w:val="028B6A1D"/>
    <w:rsid w:val="028F1C3E"/>
    <w:rsid w:val="0297438F"/>
    <w:rsid w:val="03110BA5"/>
    <w:rsid w:val="04F447C1"/>
    <w:rsid w:val="05123449"/>
    <w:rsid w:val="05C42923"/>
    <w:rsid w:val="05E724AA"/>
    <w:rsid w:val="0626382A"/>
    <w:rsid w:val="07CD3CDD"/>
    <w:rsid w:val="0855671D"/>
    <w:rsid w:val="09716BCA"/>
    <w:rsid w:val="09AD4F9D"/>
    <w:rsid w:val="09E644B8"/>
    <w:rsid w:val="0ADF7600"/>
    <w:rsid w:val="0B3F439E"/>
    <w:rsid w:val="0BB0429A"/>
    <w:rsid w:val="0CB97ACD"/>
    <w:rsid w:val="0CD014B3"/>
    <w:rsid w:val="0DBB01ED"/>
    <w:rsid w:val="0E8A2AC7"/>
    <w:rsid w:val="0EA20233"/>
    <w:rsid w:val="0EC815B9"/>
    <w:rsid w:val="0F446A2E"/>
    <w:rsid w:val="0F5F76E0"/>
    <w:rsid w:val="0F644A12"/>
    <w:rsid w:val="0F7F19AF"/>
    <w:rsid w:val="112A64E5"/>
    <w:rsid w:val="14773990"/>
    <w:rsid w:val="1481754F"/>
    <w:rsid w:val="148A67E1"/>
    <w:rsid w:val="148F5721"/>
    <w:rsid w:val="14AC57CD"/>
    <w:rsid w:val="1540792E"/>
    <w:rsid w:val="160C27CA"/>
    <w:rsid w:val="164514BE"/>
    <w:rsid w:val="16AC70F1"/>
    <w:rsid w:val="170F06AA"/>
    <w:rsid w:val="17911D0C"/>
    <w:rsid w:val="180A6E32"/>
    <w:rsid w:val="183F2CD2"/>
    <w:rsid w:val="18CD0507"/>
    <w:rsid w:val="18D95881"/>
    <w:rsid w:val="1980062A"/>
    <w:rsid w:val="1A4A72F0"/>
    <w:rsid w:val="1ABD48FA"/>
    <w:rsid w:val="1AD01A1B"/>
    <w:rsid w:val="1B2E6DFA"/>
    <w:rsid w:val="1B7B4E35"/>
    <w:rsid w:val="1C177B08"/>
    <w:rsid w:val="1C4E28F6"/>
    <w:rsid w:val="1C9001C6"/>
    <w:rsid w:val="1CBA2101"/>
    <w:rsid w:val="1D0573D7"/>
    <w:rsid w:val="1D0B674C"/>
    <w:rsid w:val="1D153DC4"/>
    <w:rsid w:val="1D223E0B"/>
    <w:rsid w:val="1D2B14A2"/>
    <w:rsid w:val="1E6211AB"/>
    <w:rsid w:val="1E853F6F"/>
    <w:rsid w:val="1E8F45A9"/>
    <w:rsid w:val="1EB32AA2"/>
    <w:rsid w:val="1ECC1E3C"/>
    <w:rsid w:val="1FDA0E82"/>
    <w:rsid w:val="20371001"/>
    <w:rsid w:val="21244EB1"/>
    <w:rsid w:val="21ED18E9"/>
    <w:rsid w:val="21F13629"/>
    <w:rsid w:val="22FB1CE4"/>
    <w:rsid w:val="24122135"/>
    <w:rsid w:val="24F57919"/>
    <w:rsid w:val="25685F00"/>
    <w:rsid w:val="258F4033"/>
    <w:rsid w:val="25932BF9"/>
    <w:rsid w:val="25AA2F33"/>
    <w:rsid w:val="25EB365D"/>
    <w:rsid w:val="265B50B5"/>
    <w:rsid w:val="26AE2CCC"/>
    <w:rsid w:val="26BB1419"/>
    <w:rsid w:val="281C12F4"/>
    <w:rsid w:val="29553F3A"/>
    <w:rsid w:val="29A05E8C"/>
    <w:rsid w:val="2A13772C"/>
    <w:rsid w:val="2A3916E1"/>
    <w:rsid w:val="2A7E505C"/>
    <w:rsid w:val="2B471816"/>
    <w:rsid w:val="2B954C89"/>
    <w:rsid w:val="2BA1692B"/>
    <w:rsid w:val="2BC05B2C"/>
    <w:rsid w:val="2BD617C5"/>
    <w:rsid w:val="2C112837"/>
    <w:rsid w:val="2CC146D3"/>
    <w:rsid w:val="2D9B7E13"/>
    <w:rsid w:val="2DAD329F"/>
    <w:rsid w:val="2F2F0FC8"/>
    <w:rsid w:val="300A5D96"/>
    <w:rsid w:val="301C6BB6"/>
    <w:rsid w:val="30714CAF"/>
    <w:rsid w:val="30A73605"/>
    <w:rsid w:val="31437A9E"/>
    <w:rsid w:val="31B14C9E"/>
    <w:rsid w:val="34471EEA"/>
    <w:rsid w:val="34F80A7B"/>
    <w:rsid w:val="35B06C6A"/>
    <w:rsid w:val="36D37423"/>
    <w:rsid w:val="38726558"/>
    <w:rsid w:val="3A185287"/>
    <w:rsid w:val="3A692CD0"/>
    <w:rsid w:val="3B3B2DF3"/>
    <w:rsid w:val="3B673620"/>
    <w:rsid w:val="3B6968C8"/>
    <w:rsid w:val="3B9A1F29"/>
    <w:rsid w:val="3C6D5868"/>
    <w:rsid w:val="3CE4646B"/>
    <w:rsid w:val="3D5E7AA8"/>
    <w:rsid w:val="3D6F2596"/>
    <w:rsid w:val="3E0A69BE"/>
    <w:rsid w:val="3ED5737F"/>
    <w:rsid w:val="401B3A6B"/>
    <w:rsid w:val="405F175E"/>
    <w:rsid w:val="40C765F3"/>
    <w:rsid w:val="41D84716"/>
    <w:rsid w:val="42F869D2"/>
    <w:rsid w:val="434F4799"/>
    <w:rsid w:val="43553536"/>
    <w:rsid w:val="439745B4"/>
    <w:rsid w:val="447E623F"/>
    <w:rsid w:val="44C443CD"/>
    <w:rsid w:val="44E45241"/>
    <w:rsid w:val="44F46037"/>
    <w:rsid w:val="451632B9"/>
    <w:rsid w:val="453954E9"/>
    <w:rsid w:val="455D061C"/>
    <w:rsid w:val="45A40767"/>
    <w:rsid w:val="45E3457D"/>
    <w:rsid w:val="45F60A50"/>
    <w:rsid w:val="46B036BF"/>
    <w:rsid w:val="47282363"/>
    <w:rsid w:val="49E55BC5"/>
    <w:rsid w:val="4A796308"/>
    <w:rsid w:val="4A9449B3"/>
    <w:rsid w:val="4B8F61C3"/>
    <w:rsid w:val="4C1C63D6"/>
    <w:rsid w:val="4C864A35"/>
    <w:rsid w:val="4C873395"/>
    <w:rsid w:val="4D321410"/>
    <w:rsid w:val="4E015C76"/>
    <w:rsid w:val="4E4A2325"/>
    <w:rsid w:val="501A6C55"/>
    <w:rsid w:val="50E3745A"/>
    <w:rsid w:val="519A6ACC"/>
    <w:rsid w:val="51B14BED"/>
    <w:rsid w:val="52280006"/>
    <w:rsid w:val="525C1CEF"/>
    <w:rsid w:val="52F41789"/>
    <w:rsid w:val="537F744A"/>
    <w:rsid w:val="53C64B93"/>
    <w:rsid w:val="53F07453"/>
    <w:rsid w:val="55B1164D"/>
    <w:rsid w:val="55B4735E"/>
    <w:rsid w:val="56371459"/>
    <w:rsid w:val="56875C1B"/>
    <w:rsid w:val="59DA647E"/>
    <w:rsid w:val="5A556E1A"/>
    <w:rsid w:val="5BB306CC"/>
    <w:rsid w:val="5C581DE3"/>
    <w:rsid w:val="5CEB2A53"/>
    <w:rsid w:val="5D805670"/>
    <w:rsid w:val="5D8941DA"/>
    <w:rsid w:val="5D982E42"/>
    <w:rsid w:val="5DC62232"/>
    <w:rsid w:val="5EB44FC0"/>
    <w:rsid w:val="5FBA395F"/>
    <w:rsid w:val="60662C20"/>
    <w:rsid w:val="619A27DD"/>
    <w:rsid w:val="62B047E1"/>
    <w:rsid w:val="635902CD"/>
    <w:rsid w:val="64706BBE"/>
    <w:rsid w:val="64F2095B"/>
    <w:rsid w:val="665618A1"/>
    <w:rsid w:val="66770492"/>
    <w:rsid w:val="67052A96"/>
    <w:rsid w:val="671A4BC2"/>
    <w:rsid w:val="67A858DB"/>
    <w:rsid w:val="68A665BD"/>
    <w:rsid w:val="68F44FBA"/>
    <w:rsid w:val="691B180A"/>
    <w:rsid w:val="691F2D87"/>
    <w:rsid w:val="69A833BD"/>
    <w:rsid w:val="6ABB68CE"/>
    <w:rsid w:val="6AE05BF9"/>
    <w:rsid w:val="6C61743D"/>
    <w:rsid w:val="6C677C3E"/>
    <w:rsid w:val="6CD44136"/>
    <w:rsid w:val="6DDE3DAF"/>
    <w:rsid w:val="6DE05144"/>
    <w:rsid w:val="6F160B9A"/>
    <w:rsid w:val="6F556B14"/>
    <w:rsid w:val="6FAF202B"/>
    <w:rsid w:val="6FE94925"/>
    <w:rsid w:val="70540BC6"/>
    <w:rsid w:val="70814FA6"/>
    <w:rsid w:val="715F4C2D"/>
    <w:rsid w:val="72BF60CA"/>
    <w:rsid w:val="7522275B"/>
    <w:rsid w:val="752872FE"/>
    <w:rsid w:val="753811DE"/>
    <w:rsid w:val="75BE67D4"/>
    <w:rsid w:val="75C759C1"/>
    <w:rsid w:val="762D64F3"/>
    <w:rsid w:val="775B4604"/>
    <w:rsid w:val="77C067C3"/>
    <w:rsid w:val="77C6011D"/>
    <w:rsid w:val="78141A2A"/>
    <w:rsid w:val="78393264"/>
    <w:rsid w:val="788C6E3C"/>
    <w:rsid w:val="78911E31"/>
    <w:rsid w:val="795E51DA"/>
    <w:rsid w:val="7A076CB0"/>
    <w:rsid w:val="7A117A26"/>
    <w:rsid w:val="7A9367CB"/>
    <w:rsid w:val="7AEC3E2E"/>
    <w:rsid w:val="7AF22571"/>
    <w:rsid w:val="7B8F69AF"/>
    <w:rsid w:val="7C1C35A7"/>
    <w:rsid w:val="7C45431D"/>
    <w:rsid w:val="7C5B0E57"/>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0"/>
    <w:pPr>
      <w:spacing w:after="120"/>
      <w:jc w:val="both"/>
    </w:pPr>
    <w:rPr>
      <w:rFonts w:eastAsia="MS Mincho"/>
      <w:lang w:val="zh-CN"/>
    </w:r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29"/>
    <w:unhideWhenUsed/>
    <w:qFormat/>
    <w:uiPriority w:val="99"/>
    <w:rPr>
      <w:rFonts w:ascii="宋体" w:eastAsia="宋体"/>
      <w:sz w:val="18"/>
      <w:szCs w:val="18"/>
    </w:rPr>
  </w:style>
  <w:style w:type="paragraph" w:styleId="11">
    <w:name w:val="annotation text"/>
    <w:basedOn w:val="1"/>
    <w:semiHidden/>
    <w:unhideWhenUsed/>
    <w:qFormat/>
    <w:uiPriority w:val="99"/>
    <w:pPr>
      <w:jc w:val="left"/>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10"/>
    <w:semiHidden/>
    <w:qFormat/>
    <w:uiPriority w:val="99"/>
    <w:rPr>
      <w:rFonts w:ascii="宋体" w:hAnsi="Times New Roman"/>
      <w:sz w:val="18"/>
      <w:szCs w:val="18"/>
      <w:lang w:eastAsia="en-US"/>
    </w:rPr>
  </w:style>
  <w:style w:type="paragraph" w:customStyle="1" w:styleId="30">
    <w:name w:val="B1"/>
    <w:basedOn w:val="8"/>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9"/>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7"/>
    <w:qFormat/>
    <w:uiPriority w:val="0"/>
  </w:style>
  <w:style w:type="paragraph" w:customStyle="1" w:styleId="55">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19</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2022-08-10T16:37:00Z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