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426567" w:rsidRPr="00426567">
        <w:rPr>
          <w:rFonts w:ascii="Arial" w:hAnsi="Arial" w:cs="Arial"/>
          <w:b/>
          <w:sz w:val="24"/>
          <w:lang w:val="en-US" w:eastAsia="zh-CN"/>
        </w:rPr>
        <w:t>R4-2213516</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57CFB" w:rsidRPr="00057CFB">
        <w:rPr>
          <w:rFonts w:ascii="Arial" w:eastAsia="宋体" w:hAnsi="Arial"/>
          <w:b/>
          <w:sz w:val="24"/>
          <w:lang w:val="en-US" w:eastAsia="zh-CN"/>
        </w:rPr>
        <w:t>Discussion on test cases for NCSG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0559C">
        <w:rPr>
          <w:rFonts w:ascii="Arial" w:eastAsia="宋体" w:hAnsi="Arial"/>
          <w:b/>
          <w:sz w:val="24"/>
          <w:lang w:val="en-US" w:eastAsia="zh-CN"/>
        </w:rPr>
        <w:t>9.</w:t>
      </w:r>
      <w:r w:rsidR="00ED1B2F">
        <w:rPr>
          <w:rFonts w:ascii="Arial" w:eastAsia="宋体" w:hAnsi="Arial"/>
          <w:b/>
          <w:sz w:val="24"/>
          <w:lang w:val="en-US" w:eastAsia="zh-CN"/>
        </w:rPr>
        <w:t>9.</w:t>
      </w:r>
      <w:r w:rsidR="00571076">
        <w:rPr>
          <w:rFonts w:ascii="Arial" w:eastAsia="宋体" w:hAnsi="Arial"/>
          <w:b/>
          <w:sz w:val="24"/>
          <w:lang w:val="en-US" w:eastAsia="zh-CN"/>
        </w:rPr>
        <w:t>2</w:t>
      </w:r>
      <w:r w:rsidR="00ED1B2F">
        <w:rPr>
          <w:rFonts w:ascii="Arial" w:eastAsia="宋体" w:hAnsi="Arial"/>
          <w:b/>
          <w:sz w:val="24"/>
          <w:lang w:val="en-US" w:eastAsia="zh-CN"/>
        </w:rPr>
        <w:t>.</w:t>
      </w:r>
      <w:r w:rsidR="00057CFB">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71076">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CF2FA9" w:rsidRDefault="00ED1B2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571076">
        <w:rPr>
          <w:rFonts w:eastAsia="宋体"/>
          <w:lang w:eastAsia="zh-CN"/>
        </w:rPr>
        <w:t>test cases</w:t>
      </w:r>
      <w:r>
        <w:rPr>
          <w:rFonts w:eastAsia="宋体"/>
          <w:lang w:eastAsia="zh-CN"/>
        </w:rPr>
        <w:t xml:space="preserve"> for </w:t>
      </w:r>
      <w:r w:rsidR="00057CFB">
        <w:rPr>
          <w:rFonts w:eastAsia="宋体"/>
          <w:lang w:eastAsia="zh-CN"/>
        </w:rPr>
        <w:t>NCSG</w:t>
      </w:r>
      <w:r>
        <w:rPr>
          <w:rFonts w:eastAsia="宋体"/>
          <w:lang w:eastAsia="zh-CN"/>
        </w:rPr>
        <w:t xml:space="preserve"> are discussed in RAN4#103-e, and the outcomes are captured in WF [1]. Based on [1] </w:t>
      </w:r>
      <w:r w:rsidR="00571076">
        <w:rPr>
          <w:rFonts w:eastAsia="宋体"/>
          <w:lang w:eastAsia="zh-CN"/>
        </w:rPr>
        <w:t>the following issues are to be further discussed.</w:t>
      </w:r>
    </w:p>
    <w:p w:rsidR="00C4363F" w:rsidRDefault="00057CFB" w:rsidP="00C4363F">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NCSG pattern to be used in the TCs</w:t>
      </w:r>
    </w:p>
    <w:p w:rsidR="00057CFB" w:rsidRPr="00057CFB" w:rsidRDefault="00057CFB" w:rsidP="00057CF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Besides, one issue we would like to discuss is the applicability of the tests, i.e. in which cases the UE should pass the tests for NCSG.</w:t>
      </w:r>
    </w:p>
    <w:p w:rsidR="007E7A02" w:rsidRPr="00D12E24" w:rsidRDefault="00571076"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w:t>
      </w:r>
      <w:r w:rsidR="00E67543" w:rsidRPr="00D12E24">
        <w:rPr>
          <w:rFonts w:eastAsia="宋体"/>
          <w:lang w:eastAsia="zh-CN"/>
        </w:rPr>
        <w:t xml:space="preserve">n this paper we will </w:t>
      </w:r>
      <w:r w:rsidR="004D0093" w:rsidRPr="00D12E24">
        <w:rPr>
          <w:rFonts w:eastAsia="宋体"/>
          <w:lang w:eastAsia="zh-CN"/>
        </w:rPr>
        <w:t xml:space="preserve">provide our views on </w:t>
      </w:r>
      <w:r>
        <w:rPr>
          <w:rFonts w:eastAsia="宋体"/>
          <w:lang w:eastAsia="zh-CN"/>
        </w:rPr>
        <w:t xml:space="preserve">above </w:t>
      </w:r>
      <w:r w:rsidR="00ED1B2F">
        <w:rPr>
          <w:rFonts w:eastAsia="宋体"/>
          <w:lang w:eastAsia="zh-CN"/>
        </w:rPr>
        <w:t xml:space="preserve">issues </w:t>
      </w:r>
      <w:r>
        <w:rPr>
          <w:rFonts w:eastAsia="宋体"/>
          <w:lang w:eastAsia="zh-CN"/>
        </w:rPr>
        <w:t xml:space="preserve">for </w:t>
      </w:r>
      <w:r w:rsidR="00057CFB">
        <w:rPr>
          <w:rFonts w:eastAsia="宋体"/>
          <w:lang w:eastAsia="zh-CN"/>
        </w:rPr>
        <w:t>NCSG</w:t>
      </w:r>
      <w:r>
        <w:rPr>
          <w:rFonts w:eastAsia="宋体"/>
          <w:lang w:eastAsia="zh-CN"/>
        </w:rPr>
        <w:t xml:space="preserve"> test cases.</w:t>
      </w:r>
    </w:p>
    <w:p w:rsidR="00FA0C0C" w:rsidRDefault="00864BE0" w:rsidP="00FA0C0C">
      <w:pPr>
        <w:pStyle w:val="1"/>
        <w:jc w:val="both"/>
        <w:rPr>
          <w:lang w:val="en-US"/>
        </w:rPr>
      </w:pPr>
      <w:r>
        <w:rPr>
          <w:lang w:val="en-US"/>
        </w:rPr>
        <w:t xml:space="preserve"> </w:t>
      </w:r>
      <w:r w:rsidR="00FA0C0C">
        <w:rPr>
          <w:lang w:val="en-US"/>
        </w:rPr>
        <w:t>Discussion</w:t>
      </w:r>
    </w:p>
    <w:p w:rsidR="00057CFB" w:rsidRDefault="00057CFB" w:rsidP="00057CFB">
      <w:pPr>
        <w:pStyle w:val="2"/>
        <w:rPr>
          <w:lang w:eastAsia="zh-CN"/>
        </w:rPr>
      </w:pPr>
      <w:r>
        <w:rPr>
          <w:lang w:eastAsia="zh-CN"/>
        </w:rPr>
        <w:t>NCSG pattern to be used in the TCs</w:t>
      </w:r>
    </w:p>
    <w:tbl>
      <w:tblPr>
        <w:tblStyle w:val="af4"/>
        <w:tblW w:w="0" w:type="auto"/>
        <w:tblLook w:val="04A0" w:firstRow="1" w:lastRow="0" w:firstColumn="1" w:lastColumn="0" w:noHBand="0" w:noVBand="1"/>
      </w:tblPr>
      <w:tblGrid>
        <w:gridCol w:w="9621"/>
      </w:tblGrid>
      <w:tr w:rsidR="00057CFB" w:rsidTr="00057CFB">
        <w:tc>
          <w:tcPr>
            <w:tcW w:w="9621" w:type="dxa"/>
          </w:tcPr>
          <w:p w:rsidR="00057CFB" w:rsidRPr="00057CFB" w:rsidRDefault="00057CFB" w:rsidP="00057CFB">
            <w:pPr>
              <w:numPr>
                <w:ilvl w:val="0"/>
                <w:numId w:val="40"/>
              </w:numPr>
              <w:spacing w:beforeLines="0" w:before="0" w:afterLines="0" w:after="120"/>
              <w:rPr>
                <w:rFonts w:ascii="Calibri" w:eastAsia="宋体" w:hAnsi="Calibri" w:cs="Calibri"/>
                <w:b/>
                <w:bCs/>
                <w:iCs/>
                <w:sz w:val="20"/>
                <w:u w:val="single"/>
              </w:rPr>
            </w:pPr>
            <w:r w:rsidRPr="00057CFB">
              <w:rPr>
                <w:rFonts w:ascii="Calibri" w:eastAsia="宋体" w:hAnsi="Calibri" w:cs="Calibri"/>
                <w:b/>
                <w:bCs/>
                <w:iCs/>
                <w:sz w:val="20"/>
                <w:u w:val="single"/>
              </w:rPr>
              <w:t>Test configuration</w:t>
            </w:r>
          </w:p>
          <w:p w:rsidR="00057CFB" w:rsidRPr="00057CFB" w:rsidRDefault="00057CFB" w:rsidP="00057CFB">
            <w:pPr>
              <w:spacing w:beforeLines="0" w:before="0" w:after="120"/>
              <w:rPr>
                <w:rFonts w:eastAsia="宋体"/>
                <w:b/>
                <w:sz w:val="20"/>
                <w:lang w:eastAsia="zh-CN"/>
              </w:rPr>
            </w:pPr>
            <w:r w:rsidRPr="00057CFB">
              <w:rPr>
                <w:rFonts w:eastAsia="宋体"/>
                <w:b/>
                <w:sz w:val="20"/>
                <w:lang w:eastAsia="zh-CN"/>
              </w:rPr>
              <w:t>Agreement</w:t>
            </w:r>
            <w:r w:rsidRPr="00057CFB">
              <w:rPr>
                <w:rFonts w:eastAsia="宋体"/>
                <w:sz w:val="20"/>
                <w:lang w:eastAsia="zh-CN"/>
              </w:rPr>
              <w:t>:</w:t>
            </w:r>
          </w:p>
          <w:p w:rsidR="00057CFB" w:rsidRPr="00057CFB" w:rsidRDefault="00057CFB" w:rsidP="00057CFB">
            <w:pPr>
              <w:numPr>
                <w:ilvl w:val="0"/>
                <w:numId w:val="38"/>
              </w:numPr>
              <w:spacing w:beforeLines="0" w:before="0" w:afterLines="0" w:after="120"/>
              <w:rPr>
                <w:rFonts w:eastAsia="宋体"/>
                <w:sz w:val="20"/>
                <w:lang w:eastAsia="zh-CN"/>
              </w:rPr>
            </w:pPr>
            <w:r w:rsidRPr="00057CFB">
              <w:rPr>
                <w:rFonts w:eastAsia="宋体"/>
                <w:iCs/>
                <w:sz w:val="20"/>
                <w:lang w:eastAsia="zh-CN"/>
              </w:rPr>
              <w:t>RAN4 will not introduce test case for NCSG in dual connectivity.</w:t>
            </w:r>
          </w:p>
          <w:p w:rsidR="00057CFB" w:rsidRPr="00057CFB" w:rsidRDefault="00057CFB" w:rsidP="00057CFB">
            <w:pPr>
              <w:numPr>
                <w:ilvl w:val="0"/>
                <w:numId w:val="38"/>
              </w:numPr>
              <w:spacing w:beforeLines="0" w:before="0" w:afterLines="0" w:after="120"/>
              <w:rPr>
                <w:rFonts w:eastAsia="宋体"/>
                <w:bCs/>
                <w:iCs/>
                <w:sz w:val="20"/>
                <w:lang w:eastAsia="zh-CN"/>
              </w:rPr>
            </w:pPr>
            <w:r w:rsidRPr="00057CFB">
              <w:rPr>
                <w:rFonts w:eastAsia="宋体"/>
                <w:bCs/>
                <w:iCs/>
                <w:sz w:val="20"/>
                <w:lang w:eastAsia="zh-CN"/>
              </w:rPr>
              <w:t>For FR1 tests, NCSG pattern #0 is used. FFS on whether other NCSG pattern is needed.</w:t>
            </w:r>
          </w:p>
          <w:p w:rsidR="00057CFB" w:rsidRPr="00057CFB" w:rsidRDefault="00057CFB" w:rsidP="00057CFB">
            <w:pPr>
              <w:numPr>
                <w:ilvl w:val="0"/>
                <w:numId w:val="38"/>
              </w:numPr>
              <w:spacing w:beforeLines="0" w:before="0" w:afterLines="0" w:after="120"/>
              <w:rPr>
                <w:rFonts w:eastAsia="宋体"/>
                <w:sz w:val="20"/>
                <w:lang w:eastAsia="zh-CN"/>
              </w:rPr>
            </w:pPr>
            <w:r w:rsidRPr="00057CFB">
              <w:rPr>
                <w:rFonts w:eastAsia="宋体"/>
                <w:bCs/>
                <w:iCs/>
                <w:sz w:val="20"/>
                <w:lang w:eastAsia="zh-CN"/>
              </w:rPr>
              <w:t>For FR2 tests, NCSG pattern is FFS.</w:t>
            </w:r>
          </w:p>
        </w:tc>
      </w:tr>
    </w:tbl>
    <w:p w:rsidR="00057CFB" w:rsidRDefault="00057CFB" w:rsidP="00057CFB">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the TCs should be defined with mandatory NCSG patterns so that the tests are applicable for all UEs. The mandatory NCSG patterns are as follows. Among them, NCSG pattern 2 and 3 are mandatory for NR-only measurement. </w:t>
      </w:r>
    </w:p>
    <w:p w:rsidR="00057CFB" w:rsidRDefault="00057CFB" w:rsidP="00057CFB">
      <w:pPr>
        <w:pStyle w:val="af8"/>
        <w:numPr>
          <w:ilvl w:val="0"/>
          <w:numId w:val="36"/>
        </w:numPr>
        <w:spacing w:before="120" w:after="120"/>
        <w:rPr>
          <w:rFonts w:eastAsiaTheme="minorEastAsia"/>
          <w:lang w:eastAsia="zh-CN"/>
        </w:rPr>
      </w:pPr>
      <w:r>
        <w:rPr>
          <w:rFonts w:eastAsiaTheme="minorEastAsia" w:hint="eastAsia"/>
          <w:lang w:eastAsia="zh-CN"/>
        </w:rPr>
        <w:t>F</w:t>
      </w:r>
      <w:r>
        <w:rPr>
          <w:rFonts w:eastAsiaTheme="minorEastAsia"/>
          <w:lang w:eastAsia="zh-CN"/>
        </w:rPr>
        <w:t>R1: 0, 1, 2, 3</w:t>
      </w:r>
    </w:p>
    <w:p w:rsidR="00057CFB" w:rsidRPr="00057CFB" w:rsidRDefault="00057CFB" w:rsidP="00057CFB">
      <w:pPr>
        <w:pStyle w:val="af8"/>
        <w:numPr>
          <w:ilvl w:val="0"/>
          <w:numId w:val="36"/>
        </w:numPr>
        <w:spacing w:before="120" w:after="120"/>
        <w:rPr>
          <w:rFonts w:eastAsiaTheme="minorEastAsia"/>
          <w:lang w:eastAsia="zh-CN"/>
        </w:rPr>
      </w:pPr>
      <w:r>
        <w:rPr>
          <w:rFonts w:eastAsiaTheme="minorEastAsia"/>
          <w:lang w:eastAsia="zh-CN"/>
        </w:rPr>
        <w:t>FR2: 13, 14, 17, 18</w:t>
      </w:r>
    </w:p>
    <w:p w:rsidR="00057CFB" w:rsidRDefault="00057CFB" w:rsidP="00057CFB">
      <w:pPr>
        <w:spacing w:before="120" w:after="120"/>
        <w:rPr>
          <w:rFonts w:eastAsiaTheme="minorEastAsia"/>
          <w:lang w:eastAsia="zh-CN"/>
        </w:rPr>
      </w:pPr>
      <w:r>
        <w:rPr>
          <w:rFonts w:eastAsiaTheme="minorEastAsia"/>
          <w:lang w:eastAsia="zh-CN"/>
        </w:rPr>
        <w:t xml:space="preserve">Another principle in selecting the NCSG patterns for TCs is that the patterns are typically used in filed. In this sense, we suggest to pick up pattern 0 for FR1 TCs and pattern 13 for FR2 TCs. </w:t>
      </w:r>
      <w:r w:rsidR="008D3305">
        <w:rPr>
          <w:rFonts w:eastAsiaTheme="minorEastAsia"/>
          <w:lang w:eastAsia="zh-CN"/>
        </w:rPr>
        <w:t xml:space="preserve">The two NCSG patterns are also with 40ms VIRP, which is the smallest among all mandatory patterns, so the resulting test requirements will be most stringent. </w:t>
      </w:r>
    </w:p>
    <w:p w:rsidR="008D3305" w:rsidRPr="008D3305" w:rsidRDefault="008D3305" w:rsidP="00057CFB">
      <w:pPr>
        <w:spacing w:before="120" w:after="120"/>
        <w:rPr>
          <w:rFonts w:eastAsiaTheme="minorEastAsia"/>
          <w:b/>
          <w:lang w:eastAsia="zh-CN"/>
        </w:rPr>
      </w:pPr>
      <w:r w:rsidRPr="008D3305">
        <w:rPr>
          <w:rFonts w:eastAsiaTheme="minorEastAsia"/>
          <w:b/>
          <w:lang w:eastAsia="zh-CN"/>
        </w:rPr>
        <w:t>Proposal 1: Use NCSG pattern 0 for FR1 TCs, and NCSG pattern 13 for FR2 TCs.</w:t>
      </w:r>
    </w:p>
    <w:p w:rsidR="00057CFB" w:rsidRDefault="00057CFB" w:rsidP="00057CFB">
      <w:pPr>
        <w:pStyle w:val="2"/>
        <w:rPr>
          <w:rFonts w:eastAsiaTheme="minorEastAsia"/>
          <w:lang w:val="en-US" w:eastAsia="zh-CN"/>
        </w:rPr>
      </w:pPr>
      <w:r>
        <w:rPr>
          <w:rFonts w:eastAsiaTheme="minorEastAsia" w:hint="eastAsia"/>
          <w:lang w:val="en-US" w:eastAsia="zh-CN"/>
        </w:rPr>
        <w:t>N</w:t>
      </w:r>
      <w:r>
        <w:rPr>
          <w:rFonts w:eastAsiaTheme="minorEastAsia"/>
          <w:lang w:val="en-US" w:eastAsia="zh-CN"/>
        </w:rPr>
        <w:t>CSG test applicability</w:t>
      </w:r>
    </w:p>
    <w:p w:rsidR="008D3305" w:rsidRDefault="008D3305" w:rsidP="008D3305">
      <w:pPr>
        <w:spacing w:before="120" w:after="120"/>
        <w:rPr>
          <w:rFonts w:eastAsiaTheme="minorEastAsia"/>
          <w:lang w:val="en-US" w:eastAsia="zh-CN"/>
        </w:rPr>
      </w:pPr>
      <w:r>
        <w:rPr>
          <w:rFonts w:eastAsiaTheme="minorEastAsia" w:hint="eastAsia"/>
          <w:lang w:val="en-US" w:eastAsia="zh-CN"/>
        </w:rPr>
        <w:t>N</w:t>
      </w:r>
      <w:r>
        <w:rPr>
          <w:rFonts w:eastAsiaTheme="minorEastAsia"/>
          <w:lang w:val="en-US" w:eastAsia="zh-CN"/>
        </w:rPr>
        <w:t>CSG is an optional feature, so by default only the UE supporting NCSG feature is required to pass the test. In addition, it should be noted that use of NCSG depends on UE measurement capability, i.e. what reports for the target frequency in</w:t>
      </w:r>
      <w:r w:rsidRPr="008D3305">
        <w:rPr>
          <w:rFonts w:eastAsiaTheme="minorEastAsia"/>
          <w:i/>
          <w:lang w:val="en-US" w:eastAsia="zh-CN"/>
        </w:rPr>
        <w:t xml:space="preserve"> </w:t>
      </w:r>
      <w:proofErr w:type="spellStart"/>
      <w:r w:rsidRPr="008D3305">
        <w:rPr>
          <w:rFonts w:eastAsiaTheme="minorEastAsia"/>
          <w:i/>
          <w:lang w:val="en-US" w:eastAsia="zh-CN"/>
        </w:rPr>
        <w:t>NeedForGapNCSG-InfoNR</w:t>
      </w:r>
      <w:proofErr w:type="spellEnd"/>
      <w:r>
        <w:rPr>
          <w:rFonts w:eastAsiaTheme="minorEastAsia"/>
          <w:lang w:val="en-US" w:eastAsia="zh-CN"/>
        </w:rPr>
        <w:t xml:space="preserve"> or </w:t>
      </w:r>
      <w:proofErr w:type="spellStart"/>
      <w:r w:rsidRPr="008D3305">
        <w:rPr>
          <w:rFonts w:eastAsiaTheme="minorEastAsia"/>
          <w:i/>
          <w:lang w:val="en-US" w:eastAsia="zh-CN"/>
        </w:rPr>
        <w:t>NeedForGapNCSG-InfoEUTRA</w:t>
      </w:r>
      <w:proofErr w:type="spellEnd"/>
      <w:r>
        <w:rPr>
          <w:rFonts w:eastAsiaTheme="minorEastAsia"/>
          <w:lang w:val="en-US" w:eastAsia="zh-CN"/>
        </w:rPr>
        <w:t xml:space="preserve">. </w:t>
      </w:r>
    </w:p>
    <w:p w:rsidR="008D3305" w:rsidRDefault="008D3305" w:rsidP="008D3305">
      <w:pPr>
        <w:spacing w:before="120" w:after="120"/>
        <w:rPr>
          <w:rFonts w:eastAsiaTheme="minorEastAsia"/>
          <w:lang w:val="en-US" w:eastAsia="zh-CN"/>
        </w:rPr>
      </w:pPr>
      <w:r>
        <w:rPr>
          <w:rFonts w:eastAsiaTheme="minorEastAsia"/>
          <w:lang w:val="en-US" w:eastAsia="zh-CN"/>
        </w:rPr>
        <w:t>For intra-frequency, inter-frequency and inter-RAT TCs, the tests should be applicable only when UE reports ‘</w:t>
      </w:r>
      <w:proofErr w:type="spellStart"/>
      <w:r w:rsidRPr="008D3305">
        <w:rPr>
          <w:rFonts w:eastAsiaTheme="minorEastAsia"/>
          <w:lang w:val="en-US" w:eastAsia="zh-CN"/>
        </w:rPr>
        <w:t>ncsg</w:t>
      </w:r>
      <w:proofErr w:type="spellEnd"/>
      <w:r w:rsidRPr="008D3305">
        <w:rPr>
          <w:rFonts w:eastAsiaTheme="minorEastAsia"/>
          <w:lang w:val="en-US" w:eastAsia="zh-CN"/>
        </w:rPr>
        <w:t>’</w:t>
      </w:r>
      <w:r>
        <w:rPr>
          <w:rFonts w:eastAsiaTheme="minorEastAsia"/>
          <w:lang w:val="en-US" w:eastAsia="zh-CN"/>
        </w:rPr>
        <w:t xml:space="preserve"> for the target frequency in the tests. The UE should not be mandated to report ‘</w:t>
      </w:r>
      <w:proofErr w:type="spellStart"/>
      <w:r>
        <w:rPr>
          <w:rFonts w:eastAsiaTheme="minorEastAsia"/>
          <w:lang w:val="en-US" w:eastAsia="zh-CN"/>
        </w:rPr>
        <w:t>ncsg</w:t>
      </w:r>
      <w:proofErr w:type="spellEnd"/>
      <w:r>
        <w:rPr>
          <w:rFonts w:eastAsiaTheme="minorEastAsia"/>
          <w:lang w:val="en-US" w:eastAsia="zh-CN"/>
        </w:rPr>
        <w:t>’ for an arbitrary target frequency. Instead, the serving frequency and the target frequency in the tests should be selected such that UE reports ‘</w:t>
      </w:r>
      <w:proofErr w:type="spellStart"/>
      <w:r>
        <w:rPr>
          <w:rFonts w:eastAsiaTheme="minorEastAsia"/>
          <w:lang w:val="en-US" w:eastAsia="zh-CN"/>
        </w:rPr>
        <w:t>ncsg</w:t>
      </w:r>
      <w:proofErr w:type="spellEnd"/>
      <w:r>
        <w:rPr>
          <w:rFonts w:eastAsiaTheme="minorEastAsia"/>
          <w:lang w:val="en-US" w:eastAsia="zh-CN"/>
        </w:rPr>
        <w:t xml:space="preserve">’ for the target frequency given the serving frequency. </w:t>
      </w:r>
    </w:p>
    <w:p w:rsidR="008D3305" w:rsidRDefault="008D3305" w:rsidP="008D3305">
      <w:pPr>
        <w:spacing w:before="120" w:after="120"/>
        <w:rPr>
          <w:rFonts w:eastAsiaTheme="minorEastAsia"/>
          <w:lang w:val="en-US" w:eastAsia="zh-CN"/>
        </w:rPr>
      </w:pPr>
      <w:r>
        <w:rPr>
          <w:rFonts w:eastAsiaTheme="minorEastAsia"/>
          <w:lang w:val="en-US" w:eastAsia="zh-CN"/>
        </w:rPr>
        <w:lastRenderedPageBreak/>
        <w:t xml:space="preserve">For de-activated SCC TCs, as there is no measurement capability reporting for deactivated SCC, the tests should be applicable when UE support NCSG feature. </w:t>
      </w:r>
    </w:p>
    <w:p w:rsidR="00424357" w:rsidRPr="00424357" w:rsidRDefault="00424357" w:rsidP="008D3305">
      <w:pPr>
        <w:spacing w:before="120" w:after="120"/>
        <w:rPr>
          <w:rFonts w:eastAsiaTheme="minorEastAsia"/>
          <w:b/>
          <w:lang w:val="en-US" w:eastAsia="zh-CN"/>
        </w:rPr>
      </w:pPr>
      <w:r w:rsidRPr="00424357">
        <w:rPr>
          <w:rFonts w:eastAsiaTheme="minorEastAsia"/>
          <w:b/>
          <w:lang w:val="en-US" w:eastAsia="zh-CN"/>
        </w:rPr>
        <w:t>Proposal 2: In NCSG tests for intra-frequency, inter-frequency and inter-RAT, the serving frequency and the target frequency should be selected such that UE reports ‘</w:t>
      </w:r>
      <w:proofErr w:type="spellStart"/>
      <w:r w:rsidRPr="00424357">
        <w:rPr>
          <w:rFonts w:eastAsiaTheme="minorEastAsia"/>
          <w:b/>
          <w:lang w:val="en-US" w:eastAsia="zh-CN"/>
        </w:rPr>
        <w:t>ncsg</w:t>
      </w:r>
      <w:proofErr w:type="spellEnd"/>
      <w:r w:rsidRPr="00424357">
        <w:rPr>
          <w:rFonts w:eastAsiaTheme="minorEastAsia"/>
          <w:b/>
          <w:lang w:val="en-US" w:eastAsia="zh-CN"/>
        </w:rPr>
        <w:t>’ for the target frequency given the serving frequency.</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w:t>
      </w:r>
      <w:r w:rsidR="009B20BF" w:rsidRPr="009B20BF">
        <w:rPr>
          <w:rFonts w:eastAsia="宋体"/>
          <w:lang w:eastAsia="zh-CN"/>
        </w:rPr>
        <w:t xml:space="preserve"> </w:t>
      </w:r>
      <w:r w:rsidR="009B20BF" w:rsidRPr="00D12E24">
        <w:rPr>
          <w:rFonts w:eastAsia="宋体"/>
          <w:lang w:eastAsia="zh-CN"/>
        </w:rPr>
        <w:t xml:space="preserve">our views on </w:t>
      </w:r>
      <w:r w:rsidR="009B20BF">
        <w:rPr>
          <w:rFonts w:eastAsia="宋体"/>
          <w:lang w:eastAsia="zh-CN"/>
        </w:rPr>
        <w:t xml:space="preserve">issues </w:t>
      </w:r>
      <w:r w:rsidR="00227D54">
        <w:rPr>
          <w:rFonts w:eastAsia="宋体"/>
          <w:lang w:eastAsia="zh-CN"/>
        </w:rPr>
        <w:t xml:space="preserve">for </w:t>
      </w:r>
      <w:r w:rsidR="00057CFB">
        <w:rPr>
          <w:rFonts w:eastAsia="宋体"/>
          <w:lang w:eastAsia="zh-CN"/>
        </w:rPr>
        <w:t xml:space="preserve">NCSG </w:t>
      </w:r>
      <w:r w:rsidR="00227D54">
        <w:rPr>
          <w:rFonts w:eastAsia="宋体"/>
          <w:lang w:eastAsia="zh-CN"/>
        </w:rPr>
        <w:t>test cases</w:t>
      </w:r>
      <w:r>
        <w:rPr>
          <w:rFonts w:eastAsia="宋体"/>
          <w:lang w:eastAsia="zh-CN"/>
        </w:rPr>
        <w:t>.</w:t>
      </w:r>
    </w:p>
    <w:p w:rsidR="00424357" w:rsidRPr="008D3305" w:rsidRDefault="00424357" w:rsidP="00424357">
      <w:pPr>
        <w:spacing w:before="120" w:after="120"/>
        <w:rPr>
          <w:rFonts w:eastAsiaTheme="minorEastAsia"/>
          <w:b/>
          <w:lang w:eastAsia="zh-CN"/>
        </w:rPr>
      </w:pPr>
      <w:r w:rsidRPr="008D3305">
        <w:rPr>
          <w:rFonts w:eastAsiaTheme="minorEastAsia"/>
          <w:b/>
          <w:lang w:eastAsia="zh-CN"/>
        </w:rPr>
        <w:t>Proposal 1: Use NCSG pattern 0 for FR1 TCs, and NCSG pattern 13 for FR2 TCs.</w:t>
      </w:r>
    </w:p>
    <w:p w:rsidR="00424357" w:rsidRPr="00424357" w:rsidRDefault="00424357" w:rsidP="00424357">
      <w:pPr>
        <w:spacing w:before="120" w:after="120"/>
        <w:rPr>
          <w:rFonts w:eastAsiaTheme="minorEastAsia"/>
          <w:b/>
          <w:lang w:val="en-US" w:eastAsia="zh-CN"/>
        </w:rPr>
      </w:pPr>
      <w:r w:rsidRPr="00424357">
        <w:rPr>
          <w:rFonts w:eastAsiaTheme="minorEastAsia"/>
          <w:b/>
          <w:lang w:val="en-US" w:eastAsia="zh-CN"/>
        </w:rPr>
        <w:t>Proposal 2: In NCSG tests for intra-frequency, inter-frequency and inter-RAT, the serving frequency and the target frequency should be selected such that UE reports ‘</w:t>
      </w:r>
      <w:proofErr w:type="spellStart"/>
      <w:r w:rsidRPr="00424357">
        <w:rPr>
          <w:rFonts w:eastAsiaTheme="minorEastAsia"/>
          <w:b/>
          <w:lang w:val="en-US" w:eastAsia="zh-CN"/>
        </w:rPr>
        <w:t>ncsg</w:t>
      </w:r>
      <w:proofErr w:type="spellEnd"/>
      <w:r w:rsidRPr="00424357">
        <w:rPr>
          <w:rFonts w:eastAsiaTheme="minorEastAsia"/>
          <w:b/>
          <w:lang w:val="en-US" w:eastAsia="zh-CN"/>
        </w:rPr>
        <w:t>’ for the target frequency given the serving frequency.</w:t>
      </w:r>
    </w:p>
    <w:p w:rsidR="00FA0C0C" w:rsidRDefault="00FA0C0C" w:rsidP="00FA0C0C">
      <w:pPr>
        <w:pStyle w:val="1"/>
        <w:jc w:val="both"/>
        <w:rPr>
          <w:lang w:val="en-US"/>
        </w:rPr>
      </w:pPr>
      <w:r w:rsidRPr="00C0754F">
        <w:rPr>
          <w:lang w:val="en-US"/>
        </w:rPr>
        <w:t>Reference</w:t>
      </w:r>
    </w:p>
    <w:p w:rsidR="00307FF0" w:rsidRDefault="00C4363F" w:rsidP="00C4363F">
      <w:pPr>
        <w:numPr>
          <w:ilvl w:val="0"/>
          <w:numId w:val="5"/>
        </w:numPr>
        <w:spacing w:before="120" w:after="120"/>
        <w:rPr>
          <w:rFonts w:eastAsia="宋体"/>
          <w:lang w:val="en-US" w:eastAsia="zh-CN"/>
        </w:rPr>
      </w:pPr>
      <w:r w:rsidRPr="00C4363F">
        <w:rPr>
          <w:rFonts w:eastAsia="宋体"/>
          <w:lang w:val="en-US" w:eastAsia="zh-CN"/>
        </w:rPr>
        <w:t>R4-221058</w:t>
      </w:r>
      <w:r w:rsidR="00057CFB">
        <w:rPr>
          <w:rFonts w:eastAsia="宋体"/>
          <w:lang w:val="en-US" w:eastAsia="zh-CN"/>
        </w:rPr>
        <w:t>8</w:t>
      </w:r>
      <w:r w:rsidR="00A02253">
        <w:rPr>
          <w:rFonts w:eastAsia="宋体"/>
          <w:lang w:val="en-US" w:eastAsia="zh-CN"/>
        </w:rPr>
        <w:t xml:space="preserve">, </w:t>
      </w:r>
      <w:r w:rsidRPr="00C4363F">
        <w:rPr>
          <w:rFonts w:eastAsia="宋体"/>
          <w:lang w:val="en-US" w:eastAsia="zh-CN"/>
        </w:rPr>
        <w:t xml:space="preserve">WF on </w:t>
      </w:r>
      <w:r w:rsidR="00057CFB">
        <w:rPr>
          <w:rFonts w:eastAsia="宋体"/>
          <w:lang w:val="en-US" w:eastAsia="zh-CN"/>
        </w:rPr>
        <w:t>NCSG</w:t>
      </w:r>
      <w:r w:rsidR="00A02253">
        <w:rPr>
          <w:rFonts w:eastAsia="宋体"/>
          <w:lang w:val="en-US" w:eastAsia="zh-CN"/>
        </w:rPr>
        <w:t xml:space="preserve">, </w:t>
      </w:r>
      <w:r w:rsidR="00057CFB">
        <w:rPr>
          <w:rFonts w:eastAsia="宋体"/>
          <w:lang w:val="en-US" w:eastAsia="zh-CN"/>
        </w:rPr>
        <w:t>Apple</w:t>
      </w:r>
    </w:p>
    <w:sectPr w:rsidR="00307FF0" w:rsidSect="003F289E">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D07" w:rsidRDefault="009B5D07">
      <w:pPr>
        <w:spacing w:before="120" w:after="120"/>
      </w:pPr>
      <w:r>
        <w:separator/>
      </w:r>
    </w:p>
  </w:endnote>
  <w:endnote w:type="continuationSeparator" w:id="0">
    <w:p w:rsidR="009B5D07" w:rsidRDefault="009B5D0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305" w:rsidRDefault="008D330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D3305" w:rsidRDefault="008D330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305" w:rsidRDefault="008D330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26567">
      <w:rPr>
        <w:rStyle w:val="af1"/>
      </w:rPr>
      <w:t>2</w:t>
    </w:r>
    <w:r>
      <w:rPr>
        <w:rStyle w:val="af1"/>
      </w:rPr>
      <w:fldChar w:fldCharType="end"/>
    </w:r>
  </w:p>
  <w:p w:rsidR="008D3305" w:rsidRDefault="008D330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D07" w:rsidRDefault="009B5D07">
      <w:pPr>
        <w:spacing w:before="120" w:after="120"/>
      </w:pPr>
      <w:r>
        <w:separator/>
      </w:r>
    </w:p>
  </w:footnote>
  <w:footnote w:type="continuationSeparator" w:id="0">
    <w:p w:rsidR="009B5D07" w:rsidRDefault="009B5D07">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56C0708"/>
    <w:multiLevelType w:val="multilevel"/>
    <w:tmpl w:val="156C0708"/>
    <w:lvl w:ilvl="0">
      <w:start w:val="2"/>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066717"/>
    <w:multiLevelType w:val="hybridMultilevel"/>
    <w:tmpl w:val="36801C2E"/>
    <w:lvl w:ilvl="0" w:tplc="DFB6E9BA">
      <w:start w:val="2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11B15"/>
    <w:multiLevelType w:val="hybridMultilevel"/>
    <w:tmpl w:val="26002688"/>
    <w:lvl w:ilvl="0" w:tplc="4B0E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3F75BB"/>
    <w:multiLevelType w:val="hybridMultilevel"/>
    <w:tmpl w:val="3DD21A22"/>
    <w:lvl w:ilvl="0" w:tplc="514AE6BC">
      <w:start w:val="2022"/>
      <w:numFmt w:val="bullet"/>
      <w:lvlText w:val="-"/>
      <w:lvlJc w:val="left"/>
      <w:pPr>
        <w:ind w:left="360" w:hanging="360"/>
      </w:pPr>
      <w:rPr>
        <w:rFonts w:ascii="Arial" w:eastAsia="等线" w:hAnsi="Arial" w:cs="Arial"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6669E4"/>
    <w:multiLevelType w:val="hybridMultilevel"/>
    <w:tmpl w:val="1D68A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AE678A"/>
    <w:multiLevelType w:val="hybridMultilevel"/>
    <w:tmpl w:val="872C23BC"/>
    <w:lvl w:ilvl="0" w:tplc="D19E26D0">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9E4CCB"/>
    <w:multiLevelType w:val="multilevel"/>
    <w:tmpl w:val="5D9E4CCB"/>
    <w:lvl w:ilvl="0">
      <w:start w:val="1"/>
      <w:numFmt w:val="bullet"/>
      <w:lvlText w:val=""/>
      <w:lvlJc w:val="left"/>
      <w:pPr>
        <w:ind w:left="880" w:hanging="480"/>
      </w:pPr>
      <w:rPr>
        <w:rFonts w:ascii="Wingdings" w:hAnsi="Wingdings" w:hint="default"/>
      </w:rPr>
    </w:lvl>
    <w:lvl w:ilvl="1">
      <w:start w:val="1"/>
      <w:numFmt w:val="bullet"/>
      <w:lvlText w:val=""/>
      <w:lvlJc w:val="left"/>
      <w:pPr>
        <w:ind w:left="1360" w:hanging="480"/>
      </w:pPr>
      <w:rPr>
        <w:rFonts w:ascii="Wingdings" w:hAnsi="Wingdings" w:hint="default"/>
      </w:rPr>
    </w:lvl>
    <w:lvl w:ilvl="2">
      <w:start w:val="1"/>
      <w:numFmt w:val="bullet"/>
      <w:lvlText w:val=""/>
      <w:lvlJc w:val="left"/>
      <w:pPr>
        <w:ind w:left="1840" w:hanging="480"/>
      </w:pPr>
      <w:rPr>
        <w:rFonts w:ascii="Wingdings" w:hAnsi="Wingdings" w:hint="default"/>
      </w:rPr>
    </w:lvl>
    <w:lvl w:ilvl="3">
      <w:start w:val="1"/>
      <w:numFmt w:val="bullet"/>
      <w:lvlText w:val=""/>
      <w:lvlJc w:val="left"/>
      <w:pPr>
        <w:ind w:left="2320" w:hanging="480"/>
      </w:pPr>
      <w:rPr>
        <w:rFonts w:ascii="Wingdings" w:hAnsi="Wingdings" w:hint="default"/>
      </w:rPr>
    </w:lvl>
    <w:lvl w:ilvl="4">
      <w:start w:val="1"/>
      <w:numFmt w:val="bullet"/>
      <w:lvlText w:val=""/>
      <w:lvlJc w:val="left"/>
      <w:pPr>
        <w:ind w:left="2800" w:hanging="480"/>
      </w:pPr>
      <w:rPr>
        <w:rFonts w:ascii="Wingdings" w:hAnsi="Wingdings" w:hint="default"/>
      </w:rPr>
    </w:lvl>
    <w:lvl w:ilvl="5">
      <w:start w:val="1"/>
      <w:numFmt w:val="bullet"/>
      <w:lvlText w:val=""/>
      <w:lvlJc w:val="left"/>
      <w:pPr>
        <w:ind w:left="3280" w:hanging="480"/>
      </w:pPr>
      <w:rPr>
        <w:rFonts w:ascii="Wingdings" w:hAnsi="Wingdings" w:hint="default"/>
      </w:rPr>
    </w:lvl>
    <w:lvl w:ilvl="6">
      <w:start w:val="1"/>
      <w:numFmt w:val="bullet"/>
      <w:lvlText w:val=""/>
      <w:lvlJc w:val="left"/>
      <w:pPr>
        <w:ind w:left="3760" w:hanging="480"/>
      </w:pPr>
      <w:rPr>
        <w:rFonts w:ascii="Wingdings" w:hAnsi="Wingdings" w:hint="default"/>
      </w:rPr>
    </w:lvl>
    <w:lvl w:ilvl="7">
      <w:start w:val="1"/>
      <w:numFmt w:val="bullet"/>
      <w:lvlText w:val=""/>
      <w:lvlJc w:val="left"/>
      <w:pPr>
        <w:ind w:left="4240" w:hanging="480"/>
      </w:pPr>
      <w:rPr>
        <w:rFonts w:ascii="Wingdings" w:hAnsi="Wingdings" w:hint="default"/>
      </w:rPr>
    </w:lvl>
    <w:lvl w:ilvl="8">
      <w:start w:val="1"/>
      <w:numFmt w:val="bullet"/>
      <w:lvlText w:val=""/>
      <w:lvlJc w:val="left"/>
      <w:pPr>
        <w:ind w:left="4720" w:hanging="480"/>
      </w:pPr>
      <w:rPr>
        <w:rFonts w:ascii="Wingdings" w:hAnsi="Wingdings" w:hint="default"/>
      </w:rPr>
    </w:lvl>
  </w:abstractNum>
  <w:abstractNum w:abstractNumId="29"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0"/>
  </w:num>
  <w:num w:numId="2">
    <w:abstractNumId w:val="34"/>
  </w:num>
  <w:num w:numId="3">
    <w:abstractNumId w:val="37"/>
  </w:num>
  <w:num w:numId="4">
    <w:abstractNumId w:val="8"/>
  </w:num>
  <w:num w:numId="5">
    <w:abstractNumId w:val="19"/>
  </w:num>
  <w:num w:numId="6">
    <w:abstractNumId w:val="33"/>
  </w:num>
  <w:num w:numId="7">
    <w:abstractNumId w:val="23"/>
  </w:num>
  <w:num w:numId="8">
    <w:abstractNumId w:val="38"/>
    <w:lvlOverride w:ilvl="0">
      <w:startOverride w:val="1"/>
    </w:lvlOverride>
  </w:num>
  <w:num w:numId="9">
    <w:abstractNumId w:val="30"/>
  </w:num>
  <w:num w:numId="10">
    <w:abstractNumId w:val="26"/>
  </w:num>
  <w:num w:numId="11">
    <w:abstractNumId w:val="36"/>
  </w:num>
  <w:num w:numId="12">
    <w:abstractNumId w:val="6"/>
  </w:num>
  <w:num w:numId="13">
    <w:abstractNumId w:val="31"/>
  </w:num>
  <w:num w:numId="14">
    <w:abstractNumId w:val="16"/>
  </w:num>
  <w:num w:numId="15">
    <w:abstractNumId w:val="14"/>
  </w:num>
  <w:num w:numId="16">
    <w:abstractNumId w:val="12"/>
  </w:num>
  <w:num w:numId="17">
    <w:abstractNumId w:val="11"/>
  </w:num>
  <w:num w:numId="18">
    <w:abstractNumId w:val="7"/>
  </w:num>
  <w:num w:numId="19">
    <w:abstractNumId w:val="1"/>
  </w:num>
  <w:num w:numId="20">
    <w:abstractNumId w:val="22"/>
  </w:num>
  <w:num w:numId="21">
    <w:abstractNumId w:val="13"/>
  </w:num>
  <w:num w:numId="22">
    <w:abstractNumId w:val="29"/>
  </w:num>
  <w:num w:numId="23">
    <w:abstractNumId w:val="21"/>
  </w:num>
  <w:num w:numId="24">
    <w:abstractNumId w:val="27"/>
  </w:num>
  <w:num w:numId="25">
    <w:abstractNumId w:val="32"/>
  </w:num>
  <w:num w:numId="26">
    <w:abstractNumId w:val="2"/>
  </w:num>
  <w:num w:numId="27">
    <w:abstractNumId w:val="24"/>
  </w:num>
  <w:num w:numId="28">
    <w:abstractNumId w:val="5"/>
  </w:num>
  <w:num w:numId="29">
    <w:abstractNumId w:val="3"/>
  </w:num>
  <w:num w:numId="30">
    <w:abstractNumId w:val="9"/>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4"/>
  </w:num>
  <w:num w:numId="34">
    <w:abstractNumId w:val="15"/>
  </w:num>
  <w:num w:numId="35">
    <w:abstractNumId w:val="10"/>
  </w:num>
  <w:num w:numId="36">
    <w:abstractNumId w:val="17"/>
  </w:num>
  <w:num w:numId="37">
    <w:abstractNumId w:val="35"/>
  </w:num>
  <w:num w:numId="38">
    <w:abstractNumId w:val="18"/>
  </w:num>
  <w:num w:numId="39">
    <w:abstractNumId w:val="28"/>
  </w:num>
  <w:num w:numId="40">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4A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083"/>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B90"/>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1EF"/>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1A4D"/>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CFB"/>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141"/>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38"/>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7D7"/>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682"/>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4BA"/>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0C1"/>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1DB"/>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27D54"/>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47E0C"/>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53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6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EAD"/>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3A1"/>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18"/>
    <w:rsid w:val="003F2452"/>
    <w:rsid w:val="003F289E"/>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357"/>
    <w:rsid w:val="0042453D"/>
    <w:rsid w:val="004255E7"/>
    <w:rsid w:val="00425760"/>
    <w:rsid w:val="00425A23"/>
    <w:rsid w:val="0042610D"/>
    <w:rsid w:val="0042640A"/>
    <w:rsid w:val="00426567"/>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EC"/>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AE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03"/>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C1A"/>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6DA"/>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45A"/>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0CD1"/>
    <w:rsid w:val="00571076"/>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C16"/>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48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451"/>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51D"/>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249"/>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2C"/>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5C"/>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5FA"/>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585"/>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75C"/>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42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3FF"/>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088"/>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ACC"/>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8C9"/>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305"/>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81"/>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59C"/>
    <w:rsid w:val="0090569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A"/>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898"/>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F"/>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45D"/>
    <w:rsid w:val="009A6C6A"/>
    <w:rsid w:val="009A6EBB"/>
    <w:rsid w:val="009A7CEB"/>
    <w:rsid w:val="009B0AAC"/>
    <w:rsid w:val="009B0B58"/>
    <w:rsid w:val="009B0C75"/>
    <w:rsid w:val="009B0E10"/>
    <w:rsid w:val="009B1325"/>
    <w:rsid w:val="009B1343"/>
    <w:rsid w:val="009B15C8"/>
    <w:rsid w:val="009B1759"/>
    <w:rsid w:val="009B17EC"/>
    <w:rsid w:val="009B1A17"/>
    <w:rsid w:val="009B20BF"/>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5D07"/>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8EE"/>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431"/>
    <w:rsid w:val="00A63DAE"/>
    <w:rsid w:val="00A63EAA"/>
    <w:rsid w:val="00A6476F"/>
    <w:rsid w:val="00A64854"/>
    <w:rsid w:val="00A64A51"/>
    <w:rsid w:val="00A64BF4"/>
    <w:rsid w:val="00A64F4C"/>
    <w:rsid w:val="00A655F5"/>
    <w:rsid w:val="00A65A23"/>
    <w:rsid w:val="00A66069"/>
    <w:rsid w:val="00A660FF"/>
    <w:rsid w:val="00A6683D"/>
    <w:rsid w:val="00A66AFB"/>
    <w:rsid w:val="00A66D94"/>
    <w:rsid w:val="00A67059"/>
    <w:rsid w:val="00A67DDE"/>
    <w:rsid w:val="00A67F8B"/>
    <w:rsid w:val="00A704FC"/>
    <w:rsid w:val="00A709D4"/>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BAB"/>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198"/>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E7"/>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0FEA"/>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AC6"/>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BDE"/>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CB7"/>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2E9"/>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72A"/>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6D"/>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3E"/>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63F"/>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FA9"/>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D8B"/>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664"/>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33"/>
    <w:rsid w:val="00E205D1"/>
    <w:rsid w:val="00E206FD"/>
    <w:rsid w:val="00E20C91"/>
    <w:rsid w:val="00E20F6F"/>
    <w:rsid w:val="00E2108B"/>
    <w:rsid w:val="00E21213"/>
    <w:rsid w:val="00E2192B"/>
    <w:rsid w:val="00E21E5A"/>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8"/>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B2F"/>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228"/>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2E18"/>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305"/>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3F3C"/>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17">
    <w:name w:val="网格型17"/>
    <w:basedOn w:val="a1"/>
    <w:next w:val="af4"/>
    <w:qFormat/>
    <w:rsid w:val="00275F63"/>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qFormat/>
    <w:rsid w:val="00B15AC6"/>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02AE0E62-306B-43D6-84F2-A36E5687F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50784</TotalTime>
  <Pages>2</Pages>
  <Words>464</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171</cp:revision>
  <cp:lastPrinted>2009-04-22T06:01:00Z</cp:lastPrinted>
  <dcterms:created xsi:type="dcterms:W3CDTF">2020-07-07T06:33:00Z</dcterms:created>
  <dcterms:modified xsi:type="dcterms:W3CDTF">2022-08-10T14:22:00Z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(3)TRIfHd3bw6QUchSKKBgAUfNnUsZDaWqJIkC83tOItBgec/sKrVjQBBPSqa4sHIhVWrufDy6n
P2Biz3jW3GUY9LSSoSzV3rDgXwf/VcxTMBDhtNL+D37760eMtM2OKuSk1t5SsLmCazkeARNR
gTS6OyAqVy6wPu4tFCwhr2zGHiXB7ps9pvJ1p+tZvoLRsHSDHiqkQ5S12iXu/BCqNS3hwlpe
1s5YAUX0lVdhhKLm7c</vt:lpwstr>
  </property>
  <property fmtid="{D5CDD505-2E9C-101B-9397-08002B2CF9AE}" pid="17" name="_2015_ms_pID_725343_00">
    <vt:lpwstr>_2015_ms_pID_725343</vt:lpwstr>
  </property>
  <property fmtid="{D5CDD505-2E9C-101B-9397-08002B2CF9AE}" pid="18" name="_2015_ms_pID_7253431">
    <vt:lpwstr>TgnHcT9ruTSCWDZrf+MoeKlMYgJArNvvg/dhSGhK7iNu1zNmEfL6F4
C0mdAy8pmQuUJye+Zsvpp7GGjwNTVrArfFkSOyHwzNjsM7LnW/9zNj3UccXlyFuA+vunaaew
8uLJZYeMwuLEHDw2NNQm7V1cMrPKCU4r491qyrHC/ngvCBs3exZAzm9UA0hUyYBzgq6aN37M
rKHSbexVdq8vw4aBtHwUmPmjqBBa3A8ROpLu</vt:lpwstr>
  </property>
  <property fmtid="{D5CDD505-2E9C-101B-9397-08002B2CF9AE}" pid="19" name="_2015_ms_pID_7253431_00">
    <vt:lpwstr>_2015_ms_pID_7253431</vt:lpwstr>
  </property>
  <property fmtid="{D5CDD505-2E9C-101B-9397-08002B2CF9AE}" pid="20" name="_2015_ms_pID_7253432">
    <vt:lpwstr>aHV/w6AWsLISaB6HXSxP/p6Q0U1Opwc4bg9+
sLtwOz7/MBAFX+eq0NHJRsVXTJ/NmkPZWSoq/mdzz/qxsBcyZOM=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