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3A57A" w14:textId="07205F49"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w:t>
      </w:r>
      <w:r w:rsidR="0033338C">
        <w:rPr>
          <w:b/>
          <w:noProof/>
          <w:sz w:val="24"/>
        </w:rPr>
        <w:t>10</w:t>
      </w:r>
      <w:r w:rsidR="00384CDA">
        <w:rPr>
          <w:b/>
          <w:noProof/>
          <w:sz w:val="24"/>
        </w:rPr>
        <w:t>4</w:t>
      </w:r>
      <w:r w:rsidR="00546D44">
        <w:rPr>
          <w:b/>
          <w:noProof/>
          <w:sz w:val="24"/>
        </w:rPr>
        <w:t>-</w:t>
      </w:r>
      <w:r w:rsidRPr="003A71A1">
        <w:rPr>
          <w:b/>
          <w:noProof/>
          <w:sz w:val="24"/>
        </w:rPr>
        <w:t xml:space="preserve">e </w:t>
      </w:r>
      <w:r w:rsidR="00B66DD7">
        <w:rPr>
          <w:b/>
          <w:i/>
          <w:noProof/>
          <w:sz w:val="28"/>
        </w:rPr>
        <w:tab/>
      </w:r>
      <w:r w:rsidR="00275905" w:rsidRPr="00275905">
        <w:rPr>
          <w:b/>
          <w:i/>
          <w:noProof/>
          <w:sz w:val="28"/>
        </w:rPr>
        <w:t>R4-2212904</w:t>
      </w:r>
    </w:p>
    <w:p w14:paraId="3E512B0B" w14:textId="24A19BAE" w:rsidR="00D12A57" w:rsidRPr="006C1584" w:rsidRDefault="00D544DE" w:rsidP="0044364B">
      <w:pPr>
        <w:rPr>
          <w:rFonts w:ascii="Arial" w:hAnsi="Arial" w:cs="Arial"/>
          <w:b/>
          <w:bCs/>
          <w:noProof/>
          <w:sz w:val="24"/>
          <w:szCs w:val="24"/>
          <w:lang w:val="en-US"/>
        </w:rPr>
      </w:pPr>
      <w:r w:rsidRPr="00D544DE">
        <w:rPr>
          <w:rFonts w:ascii="Arial" w:hAnsi="Arial" w:cs="Arial"/>
          <w:b/>
          <w:sz w:val="24"/>
          <w:szCs w:val="24"/>
        </w:rPr>
        <w:t xml:space="preserve">Electronic Meeting, </w:t>
      </w:r>
      <w:r w:rsidR="00384CDA">
        <w:rPr>
          <w:rFonts w:ascii="Arial" w:hAnsi="Arial" w:cs="Arial"/>
          <w:b/>
          <w:sz w:val="24"/>
          <w:szCs w:val="24"/>
        </w:rPr>
        <w:t>August</w:t>
      </w:r>
      <w:r w:rsidRPr="00D544DE">
        <w:rPr>
          <w:rFonts w:ascii="Arial" w:hAnsi="Arial" w:cs="Arial"/>
          <w:b/>
          <w:sz w:val="24"/>
          <w:szCs w:val="24"/>
        </w:rPr>
        <w:t xml:space="preserve"> </w:t>
      </w:r>
      <w:r w:rsidR="00384CDA">
        <w:rPr>
          <w:rFonts w:ascii="Arial" w:hAnsi="Arial" w:cs="Arial"/>
          <w:b/>
          <w:sz w:val="24"/>
          <w:szCs w:val="24"/>
        </w:rPr>
        <w:t>15</w:t>
      </w:r>
      <w:r w:rsidR="006A6F17">
        <w:rPr>
          <w:rFonts w:ascii="Arial" w:hAnsi="Arial" w:cs="Arial"/>
          <w:b/>
          <w:sz w:val="24"/>
          <w:szCs w:val="24"/>
        </w:rPr>
        <w:t>-2</w:t>
      </w:r>
      <w:r w:rsidR="00384CDA">
        <w:rPr>
          <w:rFonts w:ascii="Arial" w:hAnsi="Arial" w:cs="Arial"/>
          <w:b/>
          <w:sz w:val="24"/>
          <w:szCs w:val="24"/>
        </w:rPr>
        <w:t>6</w:t>
      </w:r>
      <w:r w:rsidRPr="00D544DE">
        <w:rPr>
          <w:rFonts w:ascii="Arial" w:hAnsi="Arial" w:cs="Arial"/>
          <w:b/>
          <w:sz w:val="24"/>
          <w:szCs w:val="24"/>
        </w:rPr>
        <w:t>, 202</w:t>
      </w:r>
      <w:r w:rsidR="00546D44">
        <w:rPr>
          <w:rFonts w:ascii="Arial" w:hAnsi="Arial" w:cs="Arial"/>
          <w:b/>
          <w:sz w:val="24"/>
          <w:szCs w:val="24"/>
        </w:rPr>
        <w:t>2</w:t>
      </w:r>
      <w:r w:rsidRPr="00D544DE">
        <w:rPr>
          <w:rFonts w:ascii="Arial" w:hAnsi="Arial" w:cs="Arial"/>
          <w:b/>
          <w:sz w:val="24"/>
          <w:szCs w:val="24"/>
        </w:rPr>
        <w:t xml:space="preserve">        </w:t>
      </w: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37DAB2BE"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996DF4" w:rsidRPr="00996DF4">
        <w:rPr>
          <w:rFonts w:ascii="Arial" w:hAnsi="Arial" w:cs="Arial"/>
          <w:bCs/>
          <w:lang w:val="en-US"/>
        </w:rPr>
        <w:t>On required arrival time difference between CCs</w:t>
      </w:r>
    </w:p>
    <w:p w14:paraId="710B5126" w14:textId="54E2F99B"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BD6649">
        <w:rPr>
          <w:rFonts w:ascii="Arial" w:hAnsi="Arial" w:cs="Arial"/>
          <w:lang w:val="en-US"/>
        </w:rPr>
        <w:t>11.11.2</w:t>
      </w:r>
    </w:p>
    <w:p w14:paraId="5A3522FA" w14:textId="28DE70CD"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BD6649">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5213A720" w:rsidR="00B93FB3" w:rsidRDefault="00996DF4" w:rsidP="00B93FB3">
      <w:pPr>
        <w:rPr>
          <w:lang w:val="en-US"/>
        </w:rPr>
      </w:pPr>
      <w:r>
        <w:rPr>
          <w:lang w:val="en-US"/>
        </w:rPr>
        <w:t>In RAN plenary #95 a new WI was approved, Support of intra-band non-collocated EN-DC/NR-CA deployment</w:t>
      </w:r>
      <w:r w:rsidR="006705CE">
        <w:rPr>
          <w:lang w:val="en-US"/>
        </w:rPr>
        <w:t xml:space="preserve"> [1]</w:t>
      </w:r>
      <w:r w:rsidR="00341E43">
        <w:rPr>
          <w:lang w:val="en-US"/>
        </w:rPr>
        <w:t>.</w:t>
      </w:r>
      <w:r w:rsidR="006705CE">
        <w:rPr>
          <w:lang w:val="en-US"/>
        </w:rPr>
        <w:t xml:space="preserve"> In this tdoc we discuss </w:t>
      </w:r>
      <w:r w:rsidR="006705CE" w:rsidRPr="006705CE">
        <w:rPr>
          <w:lang w:val="en-US"/>
        </w:rPr>
        <w:t>required arrival time difference between CCs</w:t>
      </w:r>
      <w:r w:rsidR="006705CE">
        <w:rPr>
          <w:lang w:val="en-US"/>
        </w:rPr>
        <w:t>.</w:t>
      </w:r>
    </w:p>
    <w:p w14:paraId="0CA52B54" w14:textId="0921064B" w:rsidR="00341E43" w:rsidRDefault="00341E43" w:rsidP="00341E43">
      <w:pPr>
        <w:pStyle w:val="Heading1"/>
        <w:rPr>
          <w:lang w:val="en-US"/>
        </w:rPr>
      </w:pPr>
      <w:r>
        <w:rPr>
          <w:lang w:val="en-US"/>
        </w:rPr>
        <w:t>2</w:t>
      </w:r>
      <w:r>
        <w:rPr>
          <w:lang w:val="en-US"/>
        </w:rPr>
        <w:tab/>
        <w:t>Discussion</w:t>
      </w:r>
    </w:p>
    <w:p w14:paraId="52FB1043" w14:textId="3E184C2B" w:rsidR="00341E43" w:rsidRDefault="006705CE" w:rsidP="00341E43">
      <w:pPr>
        <w:rPr>
          <w:lang w:val="en-US"/>
        </w:rPr>
      </w:pPr>
      <w:r>
        <w:rPr>
          <w:lang w:val="en-US"/>
        </w:rPr>
        <w:t xml:space="preserve">In </w:t>
      </w:r>
      <w:r w:rsidR="006D15B3">
        <w:rPr>
          <w:lang w:val="en-US"/>
        </w:rPr>
        <w:t>the WID [1] it is stated:</w:t>
      </w:r>
    </w:p>
    <w:tbl>
      <w:tblPr>
        <w:tblStyle w:val="TableGrid"/>
        <w:tblW w:w="0" w:type="auto"/>
        <w:tblLook w:val="04A0" w:firstRow="1" w:lastRow="0" w:firstColumn="1" w:lastColumn="0" w:noHBand="0" w:noVBand="1"/>
      </w:tblPr>
      <w:tblGrid>
        <w:gridCol w:w="9631"/>
      </w:tblGrid>
      <w:tr w:rsidR="006D15B3" w14:paraId="2B9972E7" w14:textId="77777777" w:rsidTr="006D15B3">
        <w:tc>
          <w:tcPr>
            <w:tcW w:w="9631" w:type="dxa"/>
          </w:tcPr>
          <w:p w14:paraId="5F0BF500" w14:textId="77777777" w:rsidR="00CF2E21" w:rsidRDefault="006D15B3" w:rsidP="00CF2E21">
            <w:pPr>
              <w:widowControl w:val="0"/>
              <w:numPr>
                <w:ilvl w:val="0"/>
                <w:numId w:val="6"/>
              </w:numPr>
              <w:autoSpaceDN w:val="0"/>
              <w:spacing w:after="0"/>
              <w:jc w:val="both"/>
              <w:rPr>
                <w:kern w:val="2"/>
                <w:lang w:val="en-US" w:eastAsia="zh-CN"/>
              </w:rPr>
            </w:pPr>
            <w:r>
              <w:rPr>
                <w:lang w:val="en-US"/>
              </w:rPr>
              <w:t>...</w:t>
            </w:r>
            <w:r>
              <w:rPr>
                <w:lang w:val="en-US"/>
              </w:rPr>
              <w:br/>
            </w:r>
            <w:r w:rsidR="00CF2E21">
              <w:rPr>
                <w:kern w:val="2"/>
                <w:lang w:val="en-US" w:eastAsia="zh-CN"/>
              </w:rPr>
              <w:t>Phase I:</w:t>
            </w:r>
          </w:p>
          <w:p w14:paraId="68C2ECF8"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Study the feasibility to support non-co-located scenario for FR1 intra-band non-contiguous EN-DC/NR-CA except for 2-layer case of EN-DC already specified in Rel-16 and Rel-17.</w:t>
            </w:r>
          </w:p>
          <w:p w14:paraId="1909DC7C"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Investigate the tolerable power imbalance between carriers</w:t>
            </w:r>
          </w:p>
          <w:p w14:paraId="2A5C3439" w14:textId="77777777" w:rsidR="00CF2E21" w:rsidRPr="00CF2E21" w:rsidRDefault="00CF2E21" w:rsidP="00CF2E21">
            <w:pPr>
              <w:widowControl w:val="0"/>
              <w:numPr>
                <w:ilvl w:val="2"/>
                <w:numId w:val="6"/>
              </w:numPr>
              <w:autoSpaceDN w:val="0"/>
              <w:spacing w:after="0"/>
              <w:jc w:val="both"/>
              <w:rPr>
                <w:kern w:val="2"/>
                <w:highlight w:val="yellow"/>
                <w:lang w:val="en-US" w:eastAsia="zh-CN"/>
              </w:rPr>
            </w:pPr>
            <w:r w:rsidRPr="00CF2E21">
              <w:rPr>
                <w:kern w:val="2"/>
                <w:highlight w:val="yellow"/>
                <w:lang w:val="en-US" w:eastAsia="zh-CN"/>
              </w:rPr>
              <w:t>Investigate the required arrival time difference between CCs</w:t>
            </w:r>
          </w:p>
          <w:p w14:paraId="2E4C4ADF"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Evaluate the UE performance under the power imbalance and arrival time difference</w:t>
            </w:r>
          </w:p>
          <w:p w14:paraId="3FE11086" w14:textId="77777777" w:rsidR="00CF2E21" w:rsidRDefault="00CF2E21" w:rsidP="00CF2E21">
            <w:pPr>
              <w:widowControl w:val="0"/>
              <w:numPr>
                <w:ilvl w:val="3"/>
                <w:numId w:val="6"/>
              </w:numPr>
              <w:autoSpaceDN w:val="0"/>
              <w:spacing w:after="0"/>
              <w:jc w:val="both"/>
              <w:rPr>
                <w:kern w:val="2"/>
                <w:lang w:val="en-US" w:eastAsia="zh-CN"/>
              </w:rPr>
            </w:pPr>
            <w:r>
              <w:rPr>
                <w:kern w:val="2"/>
                <w:lang w:val="en-US" w:eastAsia="zh-CN"/>
              </w:rPr>
              <w:t>Discuss and decide reference UE architecture considering the UE capability of interBandMRDC-WithOverlapDL-Bands-r16 for 2-layer MIMO case for NR-CA, and 4-layer MIMO case for both EN-DC/NR-CA</w:t>
            </w:r>
          </w:p>
          <w:p w14:paraId="3843B168"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Work is limited to CA/EN-DC for EN-DC/NR-CA for bands 42, n77/n78</w:t>
            </w:r>
          </w:p>
          <w:p w14:paraId="17F9BC9F"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Investigate whether the power imbalance should be explicitly (e.g. as an RF requirement) or implicitly specified (e.g. through a demodulation performance test). Specify the power imbalance based on the outcome of the investigation.</w:t>
            </w:r>
          </w:p>
          <w:p w14:paraId="62C5F16F"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If any change in RAN1 or RAN2 spec is needed, it will be triggered by RAN4 LS</w:t>
            </w:r>
          </w:p>
          <w:p w14:paraId="5ECC08B6"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NOTE: Revisit whether or not to study the feasibility for support of 4Rx chains with up to 4-layer MIMO at RAN#97. This 4-layer is only for DL in Rel-18.</w:t>
            </w:r>
          </w:p>
          <w:p w14:paraId="547722B4" w14:textId="77777777" w:rsidR="00CF2E21" w:rsidRDefault="00CF2E21" w:rsidP="00CF2E21">
            <w:pPr>
              <w:widowControl w:val="0"/>
              <w:numPr>
                <w:ilvl w:val="2"/>
                <w:numId w:val="6"/>
              </w:numPr>
              <w:autoSpaceDN w:val="0"/>
              <w:spacing w:after="0"/>
              <w:jc w:val="both"/>
              <w:rPr>
                <w:kern w:val="2"/>
                <w:lang w:val="en-US" w:eastAsia="zh-CN"/>
              </w:rPr>
            </w:pPr>
            <w:r>
              <w:rPr>
                <w:kern w:val="2"/>
                <w:lang w:val="en-US" w:eastAsia="zh-CN"/>
              </w:rPr>
              <w:t xml:space="preserve">NOTE: Revisit whether or not to study the technical solutions can be applied to EN-DC case regardless of band contiguity at RAN#97. </w:t>
            </w:r>
          </w:p>
          <w:p w14:paraId="797B4581" w14:textId="77777777" w:rsidR="00CF2E21" w:rsidRDefault="00CF2E21" w:rsidP="00CF2E21">
            <w:pPr>
              <w:widowControl w:val="0"/>
              <w:numPr>
                <w:ilvl w:val="0"/>
                <w:numId w:val="6"/>
              </w:numPr>
              <w:autoSpaceDN w:val="0"/>
              <w:spacing w:after="0"/>
              <w:jc w:val="both"/>
              <w:rPr>
                <w:kern w:val="2"/>
                <w:lang w:val="en-US" w:eastAsia="zh-CN"/>
              </w:rPr>
            </w:pPr>
            <w:r>
              <w:rPr>
                <w:kern w:val="2"/>
                <w:lang w:val="en-US" w:eastAsia="zh-CN"/>
              </w:rPr>
              <w:t xml:space="preserve">Phase II: </w:t>
            </w:r>
          </w:p>
          <w:p w14:paraId="09265835"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Phase II work will get started after the feasibility in phase I is confirmed</w:t>
            </w:r>
          </w:p>
          <w:p w14:paraId="1F12A3ED"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Specify MRTD and MTTD requirements in non-collocated deployment</w:t>
            </w:r>
          </w:p>
          <w:p w14:paraId="29277731" w14:textId="77777777" w:rsidR="00CF2E21" w:rsidRDefault="00CF2E21" w:rsidP="00CF2E21">
            <w:pPr>
              <w:widowControl w:val="0"/>
              <w:numPr>
                <w:ilvl w:val="1"/>
                <w:numId w:val="6"/>
              </w:numPr>
              <w:autoSpaceDN w:val="0"/>
              <w:spacing w:after="0"/>
              <w:jc w:val="both"/>
              <w:rPr>
                <w:kern w:val="2"/>
                <w:lang w:val="en-US" w:eastAsia="zh-CN"/>
              </w:rPr>
            </w:pPr>
            <w:r>
              <w:rPr>
                <w:kern w:val="2"/>
                <w:lang w:val="en-US" w:eastAsia="zh-CN"/>
              </w:rPr>
              <w:t>Discuss and decide if the different requirements will be specified based on UE capability of interBandMRDC-WIthOverlapDL-Bands-r16.</w:t>
            </w:r>
          </w:p>
          <w:p w14:paraId="13FEA8AB" w14:textId="3E2324EC" w:rsidR="006D15B3" w:rsidRDefault="006D15B3" w:rsidP="00341E43">
            <w:pPr>
              <w:rPr>
                <w:lang w:val="en-US"/>
              </w:rPr>
            </w:pPr>
            <w:r>
              <w:rPr>
                <w:lang w:val="en-US"/>
              </w:rPr>
              <w:t>...</w:t>
            </w:r>
          </w:p>
        </w:tc>
      </w:tr>
    </w:tbl>
    <w:p w14:paraId="452EE4B0" w14:textId="7BD00567" w:rsidR="006D15B3" w:rsidRDefault="00CF2E21" w:rsidP="00341E43">
      <w:pPr>
        <w:rPr>
          <w:lang w:val="en-US"/>
        </w:rPr>
      </w:pPr>
      <w:r>
        <w:rPr>
          <w:lang w:val="en-US"/>
        </w:rPr>
        <w:br/>
        <w:t xml:space="preserve">In this contribution we investigate the required arrival time difference between CCs, </w:t>
      </w:r>
      <w:r w:rsidRPr="00CF2E21">
        <w:rPr>
          <w:lang w:val="en-US"/>
        </w:rPr>
        <w:t>for FR1 intra-band non-contiguous EN-DC/NR-CA</w:t>
      </w:r>
      <w:r>
        <w:rPr>
          <w:lang w:val="en-US"/>
        </w:rPr>
        <w:t>.</w:t>
      </w:r>
    </w:p>
    <w:p w14:paraId="010964C5" w14:textId="430637FA" w:rsidR="00CF2E21" w:rsidRDefault="00CF2E21" w:rsidP="00CF2E21">
      <w:pPr>
        <w:pStyle w:val="Heading2"/>
        <w:rPr>
          <w:lang w:val="en-US"/>
        </w:rPr>
      </w:pPr>
      <w:r>
        <w:rPr>
          <w:lang w:val="en-US"/>
        </w:rPr>
        <w:t>2.1</w:t>
      </w:r>
      <w:r>
        <w:rPr>
          <w:lang w:val="en-US"/>
        </w:rPr>
        <w:tab/>
        <w:t>The baseline in rel-17 LTE and NR</w:t>
      </w:r>
    </w:p>
    <w:p w14:paraId="609E4690" w14:textId="3AEEDB97" w:rsidR="00CF2E21" w:rsidRDefault="003C58BF" w:rsidP="00CF2E21">
      <w:pPr>
        <w:rPr>
          <w:lang w:val="en-US"/>
        </w:rPr>
      </w:pPr>
      <w:bookmarkStart w:id="3" w:name="_Hlk106798129"/>
      <w:r>
        <w:rPr>
          <w:lang w:val="en-US"/>
        </w:rPr>
        <w:t xml:space="preserve">In NR up to and including release-17 </w:t>
      </w:r>
      <w:r w:rsidRPr="00CF2E21">
        <w:rPr>
          <w:lang w:val="en-US"/>
        </w:rPr>
        <w:t>intra-band non-contiguous EN-DC/NR-CA</w:t>
      </w:r>
      <w:r>
        <w:rPr>
          <w:lang w:val="en-US"/>
        </w:rPr>
        <w:t xml:space="preserve"> is collocated.</w:t>
      </w:r>
    </w:p>
    <w:tbl>
      <w:tblPr>
        <w:tblStyle w:val="TableGrid"/>
        <w:tblW w:w="0" w:type="auto"/>
        <w:tblLook w:val="04A0" w:firstRow="1" w:lastRow="0" w:firstColumn="1" w:lastColumn="0" w:noHBand="0" w:noVBand="1"/>
      </w:tblPr>
      <w:tblGrid>
        <w:gridCol w:w="9631"/>
      </w:tblGrid>
      <w:tr w:rsidR="003C58BF" w14:paraId="0139FEC2" w14:textId="77777777" w:rsidTr="003C58BF">
        <w:tc>
          <w:tcPr>
            <w:tcW w:w="9631" w:type="dxa"/>
          </w:tcPr>
          <w:bookmarkEnd w:id="3"/>
          <w:p w14:paraId="1D43650F" w14:textId="77777777" w:rsidR="00A92766" w:rsidRPr="00A92766" w:rsidRDefault="00A92766" w:rsidP="00A92766">
            <w:pPr>
              <w:pStyle w:val="Heading3"/>
              <w:rPr>
                <w:rFonts w:ascii="Times New Roman" w:hAnsi="Times New Roman"/>
                <w:sz w:val="20"/>
                <w:lang w:val="en-US"/>
              </w:rPr>
            </w:pPr>
            <w:r w:rsidRPr="00A92766">
              <w:rPr>
                <w:rFonts w:ascii="Times New Roman" w:hAnsi="Times New Roman"/>
                <w:sz w:val="20"/>
                <w:lang w:val="en-US"/>
              </w:rPr>
              <w:lastRenderedPageBreak/>
              <w:t>...</w:t>
            </w:r>
          </w:p>
          <w:p w14:paraId="4A028CEF" w14:textId="768667A7" w:rsidR="00A92766" w:rsidRPr="009C5807" w:rsidRDefault="00A92766" w:rsidP="00A92766">
            <w:pPr>
              <w:pStyle w:val="Heading3"/>
            </w:pPr>
            <w:r w:rsidRPr="009C5807">
              <w:t>7.6.3</w:t>
            </w:r>
            <w:r w:rsidRPr="009C5807">
              <w:tab/>
              <w:t>Minimum Requirements for intra-band EN-DC</w:t>
            </w:r>
          </w:p>
          <w:p w14:paraId="5EE5810B" w14:textId="7E2AC09A" w:rsidR="00A92766" w:rsidRDefault="00A92766" w:rsidP="00A92766">
            <w:pPr>
              <w:rPr>
                <w:rFonts w:cs="v4.2.0"/>
                <w:lang w:eastAsia="zh-CN"/>
              </w:rPr>
            </w:pPr>
            <w:r w:rsidRPr="00A92766">
              <w:rPr>
                <w:rFonts w:cs="v4.2.0"/>
                <w:highlight w:val="yellow"/>
              </w:rPr>
              <w:t xml:space="preserve">For intra-band </w:t>
            </w:r>
            <w:r w:rsidRPr="00A92766">
              <w:rPr>
                <w:rFonts w:cs="v4.2.0"/>
                <w:highlight w:val="yellow"/>
                <w:lang w:eastAsia="zh-CN"/>
              </w:rPr>
              <w:t>EN-DC</w:t>
            </w:r>
            <w:r w:rsidRPr="00A92766">
              <w:rPr>
                <w:rFonts w:cs="v4.2.0"/>
                <w:highlight w:val="yellow"/>
              </w:rPr>
              <w:t>, only</w:t>
            </w:r>
            <w:r w:rsidRPr="00A92766">
              <w:rPr>
                <w:rFonts w:cs="v4.2.0"/>
                <w:highlight w:val="yellow"/>
                <w:lang w:eastAsia="zh-CN"/>
              </w:rPr>
              <w:t xml:space="preserve"> </w:t>
            </w:r>
            <w:r w:rsidRPr="00A92766">
              <w:rPr>
                <w:rFonts w:cs="v4.2.0"/>
                <w:highlight w:val="yellow"/>
              </w:rPr>
              <w:t xml:space="preserve">co-located deployment is </w:t>
            </w:r>
            <w:r w:rsidRPr="00A92766">
              <w:rPr>
                <w:rFonts w:cs="v4.2.0"/>
                <w:highlight w:val="yellow"/>
                <w:lang w:eastAsia="zh-CN"/>
              </w:rPr>
              <w:t>applied.</w:t>
            </w:r>
          </w:p>
          <w:p w14:paraId="2E4637D2" w14:textId="77777777" w:rsidR="00A92766" w:rsidRPr="009C5807" w:rsidRDefault="00A92766" w:rsidP="00A92766">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56D83FB7" w14:textId="77777777" w:rsidR="00A92766" w:rsidRPr="009C5807" w:rsidRDefault="00A92766" w:rsidP="00A92766">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411133CF" w14:textId="77777777" w:rsidR="00A92766" w:rsidRPr="009C5807" w:rsidRDefault="00A92766" w:rsidP="00A92766">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92766" w:rsidRPr="009C5807" w14:paraId="4A2CD04D" w14:textId="77777777" w:rsidTr="0011723F">
              <w:trPr>
                <w:jc w:val="center"/>
              </w:trPr>
              <w:tc>
                <w:tcPr>
                  <w:tcW w:w="1984" w:type="dxa"/>
                  <w:shd w:val="clear" w:color="auto" w:fill="auto"/>
                </w:tcPr>
                <w:p w14:paraId="4BFD6E5B" w14:textId="77777777" w:rsidR="00A92766" w:rsidRPr="009C5807" w:rsidRDefault="00A92766" w:rsidP="00A92766">
                  <w:pPr>
                    <w:pStyle w:val="TAH"/>
                  </w:pPr>
                  <w:r w:rsidRPr="009C5807">
                    <w:t>Sub-carrier spacing of E-UTRA cell in MCG (kHz)</w:t>
                  </w:r>
                </w:p>
              </w:tc>
              <w:tc>
                <w:tcPr>
                  <w:tcW w:w="1985" w:type="dxa"/>
                  <w:shd w:val="clear" w:color="auto" w:fill="auto"/>
                </w:tcPr>
                <w:p w14:paraId="547F70F3" w14:textId="77777777" w:rsidR="00A92766" w:rsidRPr="009C5807" w:rsidRDefault="00A92766" w:rsidP="00A92766">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81CF697" w14:textId="77777777" w:rsidR="00A92766" w:rsidRPr="009C5807" w:rsidRDefault="00A92766" w:rsidP="00A92766">
                  <w:pPr>
                    <w:pStyle w:val="TAH"/>
                  </w:pPr>
                  <w:r w:rsidRPr="009C5807">
                    <w:t>Maximum receive timing difference (µs)</w:t>
                  </w:r>
                </w:p>
              </w:tc>
            </w:tr>
            <w:tr w:rsidR="00A92766" w:rsidRPr="009C5807" w14:paraId="73029CB0" w14:textId="77777777" w:rsidTr="0011723F">
              <w:trPr>
                <w:jc w:val="center"/>
              </w:trPr>
              <w:tc>
                <w:tcPr>
                  <w:tcW w:w="1984" w:type="dxa"/>
                  <w:shd w:val="clear" w:color="auto" w:fill="auto"/>
                </w:tcPr>
                <w:p w14:paraId="344004D2" w14:textId="77777777" w:rsidR="00A92766" w:rsidRPr="009C5807" w:rsidRDefault="00A92766" w:rsidP="00A92766">
                  <w:pPr>
                    <w:pStyle w:val="TAC"/>
                  </w:pPr>
                  <w:r w:rsidRPr="009C5807">
                    <w:t>15</w:t>
                  </w:r>
                </w:p>
              </w:tc>
              <w:tc>
                <w:tcPr>
                  <w:tcW w:w="1985" w:type="dxa"/>
                  <w:shd w:val="clear" w:color="auto" w:fill="auto"/>
                </w:tcPr>
                <w:p w14:paraId="1705C6E1" w14:textId="77777777" w:rsidR="00A92766" w:rsidRPr="009C5807" w:rsidRDefault="00A92766" w:rsidP="00A92766">
                  <w:pPr>
                    <w:pStyle w:val="TAC"/>
                  </w:pPr>
                  <w:r w:rsidRPr="009C5807">
                    <w:t>15</w:t>
                  </w:r>
                </w:p>
              </w:tc>
              <w:tc>
                <w:tcPr>
                  <w:tcW w:w="2693" w:type="dxa"/>
                  <w:shd w:val="clear" w:color="auto" w:fill="auto"/>
                </w:tcPr>
                <w:p w14:paraId="53AB705E" w14:textId="77777777" w:rsidR="00A92766" w:rsidRPr="009C5807" w:rsidRDefault="00A92766" w:rsidP="00A92766">
                  <w:pPr>
                    <w:pStyle w:val="TAC"/>
                    <w:rPr>
                      <w:rFonts w:eastAsia="Malgun Gothic"/>
                    </w:rPr>
                  </w:pPr>
                  <w:r w:rsidRPr="009C5807">
                    <w:rPr>
                      <w:rFonts w:eastAsia="Malgun Gothic"/>
                    </w:rPr>
                    <w:t>3</w:t>
                  </w:r>
                </w:p>
              </w:tc>
            </w:tr>
            <w:tr w:rsidR="00A92766" w:rsidRPr="009C5807" w14:paraId="02DF86F3" w14:textId="77777777" w:rsidTr="0011723F">
              <w:trPr>
                <w:jc w:val="center"/>
              </w:trPr>
              <w:tc>
                <w:tcPr>
                  <w:tcW w:w="1984" w:type="dxa"/>
                  <w:shd w:val="clear" w:color="auto" w:fill="auto"/>
                </w:tcPr>
                <w:p w14:paraId="46420446" w14:textId="77777777" w:rsidR="00A92766" w:rsidRPr="009C5807" w:rsidRDefault="00A92766" w:rsidP="00A92766">
                  <w:pPr>
                    <w:pStyle w:val="TAC"/>
                  </w:pPr>
                  <w:r w:rsidRPr="009C5807">
                    <w:t>15</w:t>
                  </w:r>
                </w:p>
              </w:tc>
              <w:tc>
                <w:tcPr>
                  <w:tcW w:w="1985" w:type="dxa"/>
                  <w:shd w:val="clear" w:color="auto" w:fill="auto"/>
                </w:tcPr>
                <w:p w14:paraId="6DAAC07A" w14:textId="77777777" w:rsidR="00A92766" w:rsidRPr="009C5807" w:rsidRDefault="00A92766" w:rsidP="00A92766">
                  <w:pPr>
                    <w:pStyle w:val="TAC"/>
                  </w:pPr>
                  <w:r w:rsidRPr="009C5807">
                    <w:t>30</w:t>
                  </w:r>
                </w:p>
              </w:tc>
              <w:tc>
                <w:tcPr>
                  <w:tcW w:w="2693" w:type="dxa"/>
                  <w:shd w:val="clear" w:color="auto" w:fill="auto"/>
                </w:tcPr>
                <w:p w14:paraId="4AA6FA5C" w14:textId="77777777" w:rsidR="00A92766" w:rsidRPr="009C5807" w:rsidRDefault="00A92766" w:rsidP="00A92766">
                  <w:pPr>
                    <w:pStyle w:val="TAC"/>
                    <w:rPr>
                      <w:rFonts w:eastAsia="Malgun Gothic"/>
                    </w:rPr>
                  </w:pPr>
                  <w:r w:rsidRPr="009C5807">
                    <w:rPr>
                      <w:rFonts w:eastAsia="Malgun Gothic"/>
                    </w:rPr>
                    <w:t>3</w:t>
                  </w:r>
                </w:p>
              </w:tc>
            </w:tr>
            <w:tr w:rsidR="00A92766" w:rsidRPr="009C5807" w14:paraId="128A02C8" w14:textId="77777777" w:rsidTr="0011723F">
              <w:trPr>
                <w:jc w:val="center"/>
              </w:trPr>
              <w:tc>
                <w:tcPr>
                  <w:tcW w:w="1984" w:type="dxa"/>
                  <w:shd w:val="clear" w:color="auto" w:fill="auto"/>
                </w:tcPr>
                <w:p w14:paraId="5448BE7D" w14:textId="77777777" w:rsidR="00A92766" w:rsidRPr="009C5807" w:rsidRDefault="00A92766" w:rsidP="00A92766">
                  <w:pPr>
                    <w:pStyle w:val="TAC"/>
                  </w:pPr>
                  <w:r w:rsidRPr="009C5807">
                    <w:t>15</w:t>
                  </w:r>
                </w:p>
              </w:tc>
              <w:tc>
                <w:tcPr>
                  <w:tcW w:w="1985" w:type="dxa"/>
                  <w:shd w:val="clear" w:color="auto" w:fill="auto"/>
                </w:tcPr>
                <w:p w14:paraId="05C0B3AF" w14:textId="77777777" w:rsidR="00A92766" w:rsidRPr="009C5807" w:rsidRDefault="00A92766" w:rsidP="00A92766">
                  <w:pPr>
                    <w:pStyle w:val="TAC"/>
                  </w:pPr>
                  <w:r w:rsidRPr="009C5807">
                    <w:t>60</w:t>
                  </w:r>
                </w:p>
              </w:tc>
              <w:tc>
                <w:tcPr>
                  <w:tcW w:w="2693" w:type="dxa"/>
                  <w:shd w:val="clear" w:color="auto" w:fill="auto"/>
                </w:tcPr>
                <w:p w14:paraId="4CB9E4C4" w14:textId="77777777" w:rsidR="00A92766" w:rsidRPr="009C5807" w:rsidRDefault="00A92766" w:rsidP="00A92766">
                  <w:pPr>
                    <w:pStyle w:val="TAC"/>
                    <w:rPr>
                      <w:rFonts w:eastAsia="Malgun Gothic"/>
                    </w:rPr>
                  </w:pPr>
                  <w:r w:rsidRPr="009C5807">
                    <w:rPr>
                      <w:rFonts w:eastAsia="Malgun Gothic"/>
                    </w:rPr>
                    <w:t>3</w:t>
                  </w:r>
                </w:p>
              </w:tc>
            </w:tr>
            <w:tr w:rsidR="00A92766" w:rsidRPr="009C5807" w14:paraId="3E603E7D" w14:textId="77777777" w:rsidTr="0011723F">
              <w:trPr>
                <w:jc w:val="center"/>
              </w:trPr>
              <w:tc>
                <w:tcPr>
                  <w:tcW w:w="6662" w:type="dxa"/>
                  <w:gridSpan w:val="3"/>
                  <w:shd w:val="clear" w:color="auto" w:fill="auto"/>
                </w:tcPr>
                <w:p w14:paraId="53996262" w14:textId="77777777" w:rsidR="00A92766" w:rsidRPr="009C5807" w:rsidRDefault="00A92766" w:rsidP="00A92766">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62BE0659" w14:textId="77777777" w:rsidR="003C58BF" w:rsidRDefault="003C58BF" w:rsidP="00A92766">
            <w:pPr>
              <w:rPr>
                <w:lang w:val="en-US"/>
              </w:rPr>
            </w:pPr>
            <w:r>
              <w:rPr>
                <w:lang w:val="en-US"/>
              </w:rPr>
              <w:t>...</w:t>
            </w:r>
          </w:p>
          <w:p w14:paraId="2F066D15" w14:textId="77777777" w:rsidR="00A92766" w:rsidRPr="009C5807" w:rsidRDefault="00A92766" w:rsidP="00A92766">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249395EC" w14:textId="77777777" w:rsidR="00A92766" w:rsidRPr="009C5807" w:rsidRDefault="00A92766" w:rsidP="00A92766">
            <w:pPr>
              <w:rPr>
                <w:rFonts w:cs="v4.2.0"/>
              </w:rPr>
            </w:pPr>
            <w:r w:rsidRPr="00A92766">
              <w:rPr>
                <w:rFonts w:cs="v4.2.0"/>
                <w:highlight w:val="yellow"/>
              </w:rPr>
              <w:t xml:space="preserve">For intra-band </w:t>
            </w:r>
            <w:r w:rsidRPr="00A92766">
              <w:rPr>
                <w:rFonts w:eastAsia="Malgun Gothic" w:cs="v4.2.0"/>
                <w:highlight w:val="yellow"/>
                <w:lang w:eastAsia="zh-CN"/>
              </w:rPr>
              <w:t>CA</w:t>
            </w:r>
            <w:r w:rsidRPr="00A92766">
              <w:rPr>
                <w:rFonts w:cs="v4.2.0"/>
                <w:highlight w:val="yellow"/>
              </w:rPr>
              <w:t>, only</w:t>
            </w:r>
            <w:r w:rsidRPr="00A92766">
              <w:rPr>
                <w:rFonts w:cs="v4.2.0"/>
                <w:highlight w:val="yellow"/>
                <w:lang w:eastAsia="zh-CN"/>
              </w:rPr>
              <w:t xml:space="preserve"> </w:t>
            </w:r>
            <w:r w:rsidRPr="00A92766">
              <w:rPr>
                <w:rFonts w:cs="v4.2.0"/>
                <w:highlight w:val="yellow"/>
              </w:rPr>
              <w:t xml:space="preserve">co-located deployment is </w:t>
            </w:r>
            <w:r w:rsidRPr="00A92766">
              <w:rPr>
                <w:rFonts w:cs="v4.2.0"/>
                <w:highlight w:val="yellow"/>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4CEB49AA" w14:textId="77777777" w:rsidR="00A92766" w:rsidRPr="009C5807" w:rsidRDefault="00A92766" w:rsidP="00A92766">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92766" w:rsidRPr="009C5807" w14:paraId="08CF7646" w14:textId="77777777" w:rsidTr="0011723F">
              <w:trPr>
                <w:jc w:val="center"/>
              </w:trPr>
              <w:tc>
                <w:tcPr>
                  <w:tcW w:w="2251" w:type="dxa"/>
                  <w:shd w:val="clear" w:color="auto" w:fill="auto"/>
                </w:tcPr>
                <w:p w14:paraId="7975CACF" w14:textId="77777777" w:rsidR="00A92766" w:rsidRPr="009C5807" w:rsidRDefault="00A92766" w:rsidP="00A92766">
                  <w:pPr>
                    <w:pStyle w:val="TAH"/>
                  </w:pPr>
                  <w:r w:rsidRPr="009C5807">
                    <w:t>Frequency Range</w:t>
                  </w:r>
                </w:p>
              </w:tc>
              <w:tc>
                <w:tcPr>
                  <w:tcW w:w="3003" w:type="dxa"/>
                  <w:shd w:val="clear" w:color="auto" w:fill="auto"/>
                </w:tcPr>
                <w:p w14:paraId="36F24F0D" w14:textId="77777777" w:rsidR="00A92766" w:rsidRPr="009C5807" w:rsidRDefault="00A92766" w:rsidP="00A92766">
                  <w:pPr>
                    <w:pStyle w:val="TAH"/>
                  </w:pPr>
                  <w:r w:rsidRPr="009C5807">
                    <w:t xml:space="preserve">Maximum receive timing difference (µs) </w:t>
                  </w:r>
                </w:p>
              </w:tc>
            </w:tr>
            <w:tr w:rsidR="00A92766" w:rsidRPr="009C5807" w14:paraId="689C6044" w14:textId="77777777" w:rsidTr="0011723F">
              <w:trPr>
                <w:jc w:val="center"/>
              </w:trPr>
              <w:tc>
                <w:tcPr>
                  <w:tcW w:w="2251" w:type="dxa"/>
                  <w:shd w:val="clear" w:color="auto" w:fill="auto"/>
                </w:tcPr>
                <w:p w14:paraId="19F91906" w14:textId="77777777" w:rsidR="00A92766" w:rsidRPr="009C5807" w:rsidRDefault="00A92766" w:rsidP="00A92766">
                  <w:pPr>
                    <w:pStyle w:val="TAC"/>
                  </w:pPr>
                  <w:r w:rsidRPr="009C5807">
                    <w:t>FR1</w:t>
                  </w:r>
                </w:p>
              </w:tc>
              <w:tc>
                <w:tcPr>
                  <w:tcW w:w="3003" w:type="dxa"/>
                  <w:shd w:val="clear" w:color="auto" w:fill="auto"/>
                </w:tcPr>
                <w:p w14:paraId="0441BA80" w14:textId="77777777" w:rsidR="00A92766" w:rsidRPr="009C5807" w:rsidRDefault="00A92766" w:rsidP="00A92766">
                  <w:pPr>
                    <w:pStyle w:val="TAC"/>
                  </w:pPr>
                  <w:r w:rsidRPr="009C5807">
                    <w:t>3</w:t>
                  </w:r>
                  <w:r w:rsidRPr="009C5807">
                    <w:rPr>
                      <w:vertAlign w:val="superscript"/>
                    </w:rPr>
                    <w:t>1</w:t>
                  </w:r>
                </w:p>
              </w:tc>
            </w:tr>
            <w:tr w:rsidR="00A92766" w:rsidRPr="009C5807" w14:paraId="077E6A29" w14:textId="77777777" w:rsidTr="0011723F">
              <w:trPr>
                <w:jc w:val="center"/>
              </w:trPr>
              <w:tc>
                <w:tcPr>
                  <w:tcW w:w="2251" w:type="dxa"/>
                  <w:shd w:val="clear" w:color="auto" w:fill="auto"/>
                </w:tcPr>
                <w:p w14:paraId="52261181" w14:textId="77777777" w:rsidR="00A92766" w:rsidRPr="009C5807" w:rsidRDefault="00A92766" w:rsidP="00A92766">
                  <w:pPr>
                    <w:pStyle w:val="TAC"/>
                  </w:pPr>
                  <w:r w:rsidRPr="009C5807">
                    <w:t>FR2</w:t>
                  </w:r>
                </w:p>
              </w:tc>
              <w:tc>
                <w:tcPr>
                  <w:tcW w:w="3003" w:type="dxa"/>
                  <w:shd w:val="clear" w:color="auto" w:fill="auto"/>
                </w:tcPr>
                <w:p w14:paraId="197A64EC" w14:textId="77777777" w:rsidR="00A92766" w:rsidRPr="009C5807" w:rsidRDefault="00A92766" w:rsidP="00A92766">
                  <w:pPr>
                    <w:pStyle w:val="TAC"/>
                  </w:pPr>
                  <w:r w:rsidRPr="009C5807">
                    <w:t>0.26</w:t>
                  </w:r>
                </w:p>
              </w:tc>
            </w:tr>
            <w:tr w:rsidR="00A92766" w:rsidRPr="009C5807" w14:paraId="083C2F0F" w14:textId="77777777" w:rsidTr="0011723F">
              <w:trPr>
                <w:jc w:val="center"/>
              </w:trPr>
              <w:tc>
                <w:tcPr>
                  <w:tcW w:w="5254" w:type="dxa"/>
                  <w:gridSpan w:val="2"/>
                  <w:shd w:val="clear" w:color="auto" w:fill="auto"/>
                </w:tcPr>
                <w:p w14:paraId="17BB51C2" w14:textId="77777777" w:rsidR="00A92766" w:rsidRPr="009C5807" w:rsidRDefault="00A92766" w:rsidP="00A92766">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400454E7" w14:textId="22B3B1F0" w:rsidR="00A92766" w:rsidRDefault="00A92766" w:rsidP="00A92766">
            <w:pPr>
              <w:rPr>
                <w:lang w:val="en-US"/>
              </w:rPr>
            </w:pPr>
          </w:p>
        </w:tc>
      </w:tr>
    </w:tbl>
    <w:p w14:paraId="54DDCB7E" w14:textId="4A202FAB" w:rsidR="00A92766" w:rsidRDefault="00A92766" w:rsidP="00A92766">
      <w:pPr>
        <w:rPr>
          <w:lang w:val="en-US"/>
        </w:rPr>
      </w:pPr>
      <w:r>
        <w:rPr>
          <w:lang w:val="en-US"/>
        </w:rPr>
        <w:br/>
        <w:t xml:space="preserve">In LTE up to and including release-17 </w:t>
      </w:r>
      <w:r w:rsidRPr="00CF2E21">
        <w:rPr>
          <w:lang w:val="en-US"/>
        </w:rPr>
        <w:t xml:space="preserve">intra-band non-contiguous </w:t>
      </w:r>
      <w:r w:rsidR="00D43A26">
        <w:rPr>
          <w:lang w:val="en-US"/>
        </w:rPr>
        <w:t>is allowed to be non-colocated.</w:t>
      </w:r>
    </w:p>
    <w:tbl>
      <w:tblPr>
        <w:tblStyle w:val="TableGrid"/>
        <w:tblW w:w="0" w:type="auto"/>
        <w:tblLook w:val="04A0" w:firstRow="1" w:lastRow="0" w:firstColumn="1" w:lastColumn="0" w:noHBand="0" w:noVBand="1"/>
      </w:tblPr>
      <w:tblGrid>
        <w:gridCol w:w="9631"/>
      </w:tblGrid>
      <w:tr w:rsidR="009122A2" w14:paraId="79F762C9" w14:textId="77777777" w:rsidTr="009122A2">
        <w:tc>
          <w:tcPr>
            <w:tcW w:w="9631" w:type="dxa"/>
          </w:tcPr>
          <w:p w14:paraId="01C006EB" w14:textId="77777777" w:rsidR="009122A2" w:rsidRDefault="009122A2" w:rsidP="00CF2E21">
            <w:pPr>
              <w:rPr>
                <w:lang w:val="en-US"/>
              </w:rPr>
            </w:pPr>
            <w:r>
              <w:rPr>
                <w:lang w:val="en-US"/>
              </w:rPr>
              <w:t>...</w:t>
            </w:r>
          </w:p>
          <w:p w14:paraId="4474C2DB" w14:textId="77777777" w:rsidR="009122A2" w:rsidRPr="006E7423" w:rsidRDefault="009122A2" w:rsidP="009122A2">
            <w:pPr>
              <w:pStyle w:val="Heading1"/>
            </w:pPr>
            <w:bookmarkStart w:id="4" w:name="_Toc20403415"/>
            <w:bookmarkStart w:id="5" w:name="_Toc29372921"/>
            <w:bookmarkStart w:id="6" w:name="_Toc37760886"/>
            <w:bookmarkStart w:id="7" w:name="_Toc46499127"/>
            <w:bookmarkStart w:id="8" w:name="_Toc52491440"/>
            <w:bookmarkStart w:id="9" w:name="_Toc101308042"/>
            <w:r w:rsidRPr="006E7423">
              <w:t>J.1</w:t>
            </w:r>
            <w:r w:rsidRPr="006E7423">
              <w:tab/>
              <w:t>Deployment Scenarios</w:t>
            </w:r>
            <w:bookmarkEnd w:id="4"/>
            <w:bookmarkEnd w:id="5"/>
            <w:bookmarkEnd w:id="6"/>
            <w:bookmarkEnd w:id="7"/>
            <w:bookmarkEnd w:id="8"/>
            <w:bookmarkEnd w:id="9"/>
          </w:p>
          <w:p w14:paraId="4E641C41" w14:textId="77777777" w:rsidR="009122A2" w:rsidRPr="006E7423" w:rsidRDefault="009122A2" w:rsidP="009122A2">
            <w:r w:rsidRPr="006E7423">
              <w:t>Table J.1-1 shows some of the potential deployment scenarios for CA. In Rel-10, for the uplink, the focus is laid on the support of intra-band carrier aggregations (e.g. scenarios #1, as well as scenarios #2 and #3 when F1 and F2 are in the same band). Scenarios related to uplink inter-band CA are supported from Rel-11. For the downlink, all scenarios should be supported in Rel-10.</w:t>
            </w:r>
          </w:p>
          <w:p w14:paraId="719CDB80" w14:textId="77777777" w:rsidR="009122A2" w:rsidRPr="006E7423" w:rsidRDefault="009122A2" w:rsidP="009122A2">
            <w:pPr>
              <w:pStyle w:val="TH"/>
            </w:pPr>
            <w:r w:rsidRPr="006E7423">
              <w:rPr>
                <w:bCs/>
              </w:rPr>
              <w:t>Table J.1-1:</w:t>
            </w:r>
            <w:r w:rsidRPr="006E7423">
              <w:t xml:space="preserve"> CA Deployment Scenarios (F2 &gt; F1).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
              <w:gridCol w:w="4752"/>
              <w:gridCol w:w="4336"/>
            </w:tblGrid>
            <w:tr w:rsidR="009122A2" w:rsidRPr="006E7423" w14:paraId="3A6803BD" w14:textId="77777777" w:rsidTr="0011723F">
              <w:trPr>
                <w:trHeight w:val="61"/>
              </w:trPr>
              <w:tc>
                <w:tcPr>
                  <w:tcW w:w="316" w:type="dxa"/>
                  <w:shd w:val="clear" w:color="auto" w:fill="auto"/>
                </w:tcPr>
                <w:p w14:paraId="299DC14D" w14:textId="77777777" w:rsidR="009122A2" w:rsidRPr="006E7423" w:rsidRDefault="009122A2" w:rsidP="009122A2">
                  <w:pPr>
                    <w:pStyle w:val="TAH"/>
                    <w:widowControl w:val="0"/>
                    <w:spacing w:before="60" w:after="60"/>
                  </w:pPr>
                  <w:r w:rsidRPr="006E7423">
                    <w:t>#</w:t>
                  </w:r>
                </w:p>
              </w:tc>
              <w:tc>
                <w:tcPr>
                  <w:tcW w:w="5192" w:type="dxa"/>
                  <w:shd w:val="clear" w:color="auto" w:fill="auto"/>
                </w:tcPr>
                <w:p w14:paraId="240D6DEF" w14:textId="77777777" w:rsidR="009122A2" w:rsidRPr="006E7423" w:rsidRDefault="009122A2" w:rsidP="009122A2">
                  <w:pPr>
                    <w:pStyle w:val="TAH"/>
                    <w:widowControl w:val="0"/>
                    <w:spacing w:before="60" w:after="60"/>
                  </w:pPr>
                  <w:r w:rsidRPr="006E7423">
                    <w:t>Description</w:t>
                  </w:r>
                </w:p>
              </w:tc>
              <w:tc>
                <w:tcPr>
                  <w:tcW w:w="4346" w:type="dxa"/>
                  <w:shd w:val="clear" w:color="auto" w:fill="auto"/>
                  <w:vAlign w:val="center"/>
                </w:tcPr>
                <w:p w14:paraId="323F1DD3" w14:textId="77777777" w:rsidR="009122A2" w:rsidRPr="006E7423" w:rsidRDefault="009122A2" w:rsidP="009122A2">
                  <w:pPr>
                    <w:pStyle w:val="TAH"/>
                    <w:widowControl w:val="0"/>
                    <w:spacing w:before="60" w:after="60"/>
                  </w:pPr>
                  <w:r w:rsidRPr="006E7423">
                    <w:t>Example</w:t>
                  </w:r>
                </w:p>
              </w:tc>
            </w:tr>
            <w:tr w:rsidR="009122A2" w:rsidRPr="006E7423" w14:paraId="2D7075C9" w14:textId="77777777" w:rsidTr="0011723F">
              <w:tc>
                <w:tcPr>
                  <w:tcW w:w="316" w:type="dxa"/>
                  <w:shd w:val="clear" w:color="auto" w:fill="auto"/>
                </w:tcPr>
                <w:p w14:paraId="43644C91" w14:textId="77777777" w:rsidR="009122A2" w:rsidRPr="006E7423" w:rsidRDefault="009122A2" w:rsidP="009122A2">
                  <w:pPr>
                    <w:pStyle w:val="TAH"/>
                    <w:widowControl w:val="0"/>
                    <w:spacing w:before="60" w:after="60"/>
                  </w:pPr>
                  <w:r w:rsidRPr="006E7423">
                    <w:lastRenderedPageBreak/>
                    <w:t>1</w:t>
                  </w:r>
                </w:p>
              </w:tc>
              <w:tc>
                <w:tcPr>
                  <w:tcW w:w="5192" w:type="dxa"/>
                  <w:shd w:val="clear" w:color="auto" w:fill="auto"/>
                </w:tcPr>
                <w:p w14:paraId="79DA2785" w14:textId="77777777" w:rsidR="009122A2" w:rsidRPr="006E7423" w:rsidRDefault="009122A2" w:rsidP="009122A2">
                  <w:pPr>
                    <w:pStyle w:val="TAC"/>
                    <w:widowControl w:val="0"/>
                    <w:spacing w:before="60" w:after="60"/>
                    <w:jc w:val="left"/>
                  </w:pPr>
                  <w:r w:rsidRPr="006E7423">
                    <w:t>F1 and F2 cells are co-located and overlaid, providing nearly the same coverage. Both layers provide sufficient coverage and mobility can be supported on both layers. Likely scenario is when F1 and F2 are of the same band, e.g., 2 GHz, 800 MHz, etc. It is expected that aggregation is possible between overlaid F1 and F2 cells.</w:t>
                  </w:r>
                </w:p>
              </w:tc>
              <w:tc>
                <w:tcPr>
                  <w:tcW w:w="4346" w:type="dxa"/>
                  <w:shd w:val="clear" w:color="auto" w:fill="auto"/>
                  <w:vAlign w:val="center"/>
                </w:tcPr>
                <w:p w14:paraId="412B1925" w14:textId="77777777" w:rsidR="009122A2" w:rsidRPr="006E7423" w:rsidRDefault="009122A2" w:rsidP="009122A2">
                  <w:pPr>
                    <w:pStyle w:val="TH"/>
                  </w:pPr>
                  <w:r w:rsidRPr="006E7423">
                    <w:object w:dxaOrig="7355" w:dyaOrig="2576" w14:anchorId="3ED617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75pt;height:70.5pt" o:ole="">
                        <v:imagedata r:id="rId12" o:title=""/>
                      </v:shape>
                      <o:OLEObject Type="Embed" ProgID="Visio.Drawing.11" ShapeID="_x0000_i1025" DrawAspect="Content" ObjectID="_1721643931" r:id="rId13"/>
                    </w:object>
                  </w:r>
                </w:p>
              </w:tc>
            </w:tr>
            <w:tr w:rsidR="009122A2" w:rsidRPr="006E7423" w14:paraId="19A8A158" w14:textId="77777777" w:rsidTr="0011723F">
              <w:tc>
                <w:tcPr>
                  <w:tcW w:w="316" w:type="dxa"/>
                  <w:shd w:val="clear" w:color="auto" w:fill="auto"/>
                </w:tcPr>
                <w:p w14:paraId="4E637596" w14:textId="77777777" w:rsidR="009122A2" w:rsidRPr="006E7423" w:rsidRDefault="009122A2" w:rsidP="009122A2">
                  <w:pPr>
                    <w:pStyle w:val="TAH"/>
                    <w:widowControl w:val="0"/>
                    <w:spacing w:before="60" w:after="60"/>
                  </w:pPr>
                  <w:r w:rsidRPr="006E7423">
                    <w:t>2</w:t>
                  </w:r>
                </w:p>
              </w:tc>
              <w:tc>
                <w:tcPr>
                  <w:tcW w:w="5192" w:type="dxa"/>
                  <w:shd w:val="clear" w:color="auto" w:fill="auto"/>
                </w:tcPr>
                <w:p w14:paraId="58A2E5F7" w14:textId="77777777" w:rsidR="009122A2" w:rsidRPr="006E7423" w:rsidRDefault="009122A2" w:rsidP="009122A2">
                  <w:pPr>
                    <w:pStyle w:val="TAC"/>
                    <w:widowControl w:val="0"/>
                    <w:spacing w:before="60" w:after="60"/>
                    <w:jc w:val="left"/>
                  </w:pPr>
                  <w:r w:rsidRPr="006E7423">
                    <w:t>F1 and F2 cells are co-located and overlaid, but F2 has smaller coverage due to larger path loss. Only F1 provides sufficient coverage and F2 is used to improve throughput. Mobility is performed based on F1 coverage. Likely scenario when F1 and F2 are of different bands, e.g., F1 = {800 MHz, 2 GHz} and F2 = {3.5 GHz}, etc. It is expected that aggregation is possible between overlaid F1 and F2 cells.</w:t>
                  </w:r>
                </w:p>
              </w:tc>
              <w:tc>
                <w:tcPr>
                  <w:tcW w:w="4346" w:type="dxa"/>
                  <w:shd w:val="clear" w:color="auto" w:fill="auto"/>
                  <w:vAlign w:val="center"/>
                </w:tcPr>
                <w:p w14:paraId="7C5D12D6" w14:textId="77777777" w:rsidR="009122A2" w:rsidRPr="006E7423" w:rsidRDefault="009122A2" w:rsidP="009122A2">
                  <w:pPr>
                    <w:pStyle w:val="TH"/>
                  </w:pPr>
                  <w:r w:rsidRPr="006E7423">
                    <w:object w:dxaOrig="7266" w:dyaOrig="2601" w14:anchorId="3647B139">
                      <v:shape id="_x0000_i1026" type="#_x0000_t75" style="width:199.5pt;height:71.25pt" o:ole="">
                        <v:imagedata r:id="rId14" o:title=""/>
                      </v:shape>
                      <o:OLEObject Type="Embed" ProgID="Visio.Drawing.11" ShapeID="_x0000_i1026" DrawAspect="Content" ObjectID="_1721643932" r:id="rId15"/>
                    </w:object>
                  </w:r>
                </w:p>
              </w:tc>
            </w:tr>
            <w:tr w:rsidR="009122A2" w:rsidRPr="006E7423" w14:paraId="71889FC7" w14:textId="77777777" w:rsidTr="0011723F">
              <w:tc>
                <w:tcPr>
                  <w:tcW w:w="316" w:type="dxa"/>
                  <w:shd w:val="clear" w:color="auto" w:fill="auto"/>
                </w:tcPr>
                <w:p w14:paraId="75425B59" w14:textId="77777777" w:rsidR="009122A2" w:rsidRPr="006E7423" w:rsidRDefault="009122A2" w:rsidP="009122A2">
                  <w:pPr>
                    <w:pStyle w:val="TAH"/>
                    <w:widowControl w:val="0"/>
                    <w:spacing w:before="60" w:after="60"/>
                  </w:pPr>
                  <w:r w:rsidRPr="006E7423">
                    <w:t>3</w:t>
                  </w:r>
                </w:p>
              </w:tc>
              <w:tc>
                <w:tcPr>
                  <w:tcW w:w="5192" w:type="dxa"/>
                  <w:shd w:val="clear" w:color="auto" w:fill="auto"/>
                </w:tcPr>
                <w:p w14:paraId="0DB74FE2" w14:textId="77777777" w:rsidR="009122A2" w:rsidRPr="006E7423" w:rsidRDefault="009122A2" w:rsidP="009122A2">
                  <w:pPr>
                    <w:pStyle w:val="TAC"/>
                    <w:widowControl w:val="0"/>
                    <w:spacing w:before="60" w:after="60"/>
                    <w:jc w:val="left"/>
                  </w:pPr>
                  <w:r w:rsidRPr="006E7423">
                    <w:t>F1 and F2 cells are co-located but F2 antennas are directed to the cell boundaries of F1 so that cell edge throughput is increased. F1 provides sufficient coverage but F2 potentially has holes, e.g., due to larger path loss. Mobility is based on F1 coverage. Likely scenario is when F1 and F2 are of different bands, e.g., F1 = {800 MHz, 2 GHz} and F2 = {3.5 GHz}, etc. It is expected that F1 and F2 cells of the same eNB can be aggregated where coverage overlaps.</w:t>
                  </w:r>
                </w:p>
              </w:tc>
              <w:tc>
                <w:tcPr>
                  <w:tcW w:w="4346" w:type="dxa"/>
                  <w:shd w:val="clear" w:color="auto" w:fill="auto"/>
                  <w:vAlign w:val="center"/>
                </w:tcPr>
                <w:p w14:paraId="4C804FF7" w14:textId="77777777" w:rsidR="009122A2" w:rsidRPr="006E7423" w:rsidRDefault="009122A2" w:rsidP="009122A2">
                  <w:pPr>
                    <w:pStyle w:val="TH"/>
                  </w:pPr>
                  <w:r w:rsidRPr="006E7423">
                    <w:object w:dxaOrig="7266" w:dyaOrig="2593" w14:anchorId="7766AB8C">
                      <v:shape id="_x0000_i1027" type="#_x0000_t75" style="width:199.5pt;height:71.25pt" o:ole="">
                        <v:imagedata r:id="rId16" o:title=""/>
                      </v:shape>
                      <o:OLEObject Type="Embed" ProgID="Visio.Drawing.11" ShapeID="_x0000_i1027" DrawAspect="Content" ObjectID="_1721643933" r:id="rId17"/>
                    </w:object>
                  </w:r>
                </w:p>
              </w:tc>
            </w:tr>
            <w:tr w:rsidR="009122A2" w:rsidRPr="006E7423" w14:paraId="7E0E45B0" w14:textId="77777777" w:rsidTr="0011723F">
              <w:tc>
                <w:tcPr>
                  <w:tcW w:w="316" w:type="dxa"/>
                  <w:shd w:val="clear" w:color="auto" w:fill="auto"/>
                </w:tcPr>
                <w:p w14:paraId="21668876" w14:textId="77777777" w:rsidR="009122A2" w:rsidRPr="006E7423" w:rsidRDefault="009122A2" w:rsidP="009122A2">
                  <w:pPr>
                    <w:pStyle w:val="TAH"/>
                    <w:widowControl w:val="0"/>
                    <w:spacing w:before="60" w:after="60"/>
                  </w:pPr>
                  <w:r w:rsidRPr="006E7423">
                    <w:t>4</w:t>
                  </w:r>
                </w:p>
              </w:tc>
              <w:tc>
                <w:tcPr>
                  <w:tcW w:w="5192" w:type="dxa"/>
                  <w:shd w:val="clear" w:color="auto" w:fill="auto"/>
                </w:tcPr>
                <w:p w14:paraId="758DD162" w14:textId="77777777" w:rsidR="009122A2" w:rsidRPr="006E7423" w:rsidRDefault="009122A2" w:rsidP="009122A2">
                  <w:pPr>
                    <w:pStyle w:val="TAC"/>
                    <w:widowControl w:val="0"/>
                    <w:spacing w:before="60" w:after="60"/>
                    <w:jc w:val="left"/>
                  </w:pPr>
                  <w:r w:rsidRPr="006E7423">
                    <w:t>F1 provides macro coverage and on F2 Remote Radio Heads (RRHs) are used to improve throughput at hot spots. Mobility is performed based on F1 coverage. Likely scenarios are both when F1 and F2 are DL non-contiguous carrier on the same band, e.g., 1.7 GHz, etc. and F1 and F2 are of different bands, e.g., F1 = {800 MHz, 2 GHz} and F2 = {3.5 GHz}, etc. It is expected that F2 RRHs cells can be aggregated with the underlying F1 macro cells.</w:t>
                  </w:r>
                </w:p>
              </w:tc>
              <w:tc>
                <w:tcPr>
                  <w:tcW w:w="4346" w:type="dxa"/>
                  <w:shd w:val="clear" w:color="auto" w:fill="auto"/>
                  <w:vAlign w:val="center"/>
                </w:tcPr>
                <w:p w14:paraId="5CA6977C" w14:textId="77777777" w:rsidR="009122A2" w:rsidRPr="006E7423" w:rsidRDefault="009122A2" w:rsidP="009122A2">
                  <w:pPr>
                    <w:pStyle w:val="TH"/>
                  </w:pPr>
                  <w:r w:rsidRPr="006E7423">
                    <w:object w:dxaOrig="7266" w:dyaOrig="2593" w14:anchorId="38D023E1">
                      <v:shape id="_x0000_i1028" type="#_x0000_t75" style="width:199.5pt;height:71.25pt" o:ole="">
                        <v:imagedata r:id="rId18" o:title=""/>
                      </v:shape>
                      <o:OLEObject Type="Embed" ProgID="Visio.Drawing.11" ShapeID="_x0000_i1028" DrawAspect="Content" ObjectID="_1721643934" r:id="rId19"/>
                    </w:object>
                  </w:r>
                </w:p>
              </w:tc>
            </w:tr>
            <w:tr w:rsidR="009122A2" w:rsidRPr="006E7423" w14:paraId="28F6AD24" w14:textId="77777777" w:rsidTr="0011723F">
              <w:tc>
                <w:tcPr>
                  <w:tcW w:w="316" w:type="dxa"/>
                  <w:tcBorders>
                    <w:top w:val="single" w:sz="4" w:space="0" w:color="auto"/>
                    <w:left w:val="single" w:sz="4" w:space="0" w:color="auto"/>
                    <w:bottom w:val="single" w:sz="4" w:space="0" w:color="auto"/>
                    <w:right w:val="single" w:sz="4" w:space="0" w:color="auto"/>
                  </w:tcBorders>
                  <w:shd w:val="clear" w:color="auto" w:fill="auto"/>
                </w:tcPr>
                <w:p w14:paraId="04946262" w14:textId="77777777" w:rsidR="009122A2" w:rsidRPr="006E7423" w:rsidRDefault="009122A2" w:rsidP="009122A2">
                  <w:pPr>
                    <w:pStyle w:val="TAH"/>
                    <w:widowControl w:val="0"/>
                  </w:pPr>
                  <w:r w:rsidRPr="006E7423">
                    <w:t>5</w:t>
                  </w:r>
                </w:p>
              </w:tc>
              <w:tc>
                <w:tcPr>
                  <w:tcW w:w="5192" w:type="dxa"/>
                  <w:tcBorders>
                    <w:top w:val="single" w:sz="4" w:space="0" w:color="auto"/>
                    <w:left w:val="single" w:sz="4" w:space="0" w:color="auto"/>
                    <w:bottom w:val="single" w:sz="4" w:space="0" w:color="auto"/>
                    <w:right w:val="single" w:sz="4" w:space="0" w:color="auto"/>
                  </w:tcBorders>
                  <w:shd w:val="clear" w:color="auto" w:fill="auto"/>
                </w:tcPr>
                <w:p w14:paraId="4B8EFD60" w14:textId="77777777" w:rsidR="009122A2" w:rsidRPr="006E7423" w:rsidRDefault="009122A2" w:rsidP="009122A2">
                  <w:pPr>
                    <w:pStyle w:val="TAC"/>
                    <w:jc w:val="left"/>
                  </w:pPr>
                  <w:r w:rsidRPr="006E7423">
                    <w:t>Similar to scenario #2, but frequency selective repeaters are deployed so that coverage is extended for one of the carrier frequencies. It is expected that F1 and F2 cells of the same eNB can be aggregated where coverage overlaps.</w:t>
                  </w:r>
                </w:p>
              </w:tc>
              <w:tc>
                <w:tcPr>
                  <w:tcW w:w="4346" w:type="dxa"/>
                  <w:tcBorders>
                    <w:top w:val="single" w:sz="4" w:space="0" w:color="auto"/>
                    <w:left w:val="single" w:sz="4" w:space="0" w:color="auto"/>
                    <w:bottom w:val="single" w:sz="4" w:space="0" w:color="auto"/>
                    <w:right w:val="single" w:sz="4" w:space="0" w:color="auto"/>
                  </w:tcBorders>
                  <w:shd w:val="clear" w:color="auto" w:fill="auto"/>
                  <w:vAlign w:val="center"/>
                </w:tcPr>
                <w:p w14:paraId="479B396C" w14:textId="77777777" w:rsidR="009122A2" w:rsidRPr="006E7423" w:rsidRDefault="009122A2" w:rsidP="009122A2">
                  <w:pPr>
                    <w:pStyle w:val="TH"/>
                  </w:pPr>
                  <w:r w:rsidRPr="006E7423">
                    <w:object w:dxaOrig="7266" w:dyaOrig="2601" w14:anchorId="23FD38B2">
                      <v:shape id="_x0000_i1029" type="#_x0000_t75" style="width:199.5pt;height:71.25pt" o:ole="">
                        <v:imagedata r:id="rId20" o:title=""/>
                      </v:shape>
                      <o:OLEObject Type="Embed" ProgID="Visio.Drawing.11" ShapeID="_x0000_i1029" DrawAspect="Content" ObjectID="_1721643935" r:id="rId21"/>
                    </w:object>
                  </w:r>
                </w:p>
              </w:tc>
            </w:tr>
          </w:tbl>
          <w:p w14:paraId="1A5D0DCE" w14:textId="77777777" w:rsidR="009122A2" w:rsidRPr="006E7423" w:rsidRDefault="009122A2" w:rsidP="009122A2"/>
          <w:p w14:paraId="7EE75580" w14:textId="77777777" w:rsidR="009122A2" w:rsidRPr="006E7423" w:rsidRDefault="009122A2" w:rsidP="009122A2">
            <w:r w:rsidRPr="006E7423">
              <w:t xml:space="preserve">The reception timing difference at the physical layer of DL assignments and UL grants for the same TTI but from different serving cells (e.g. depending on number of control symbols, propagation and deployment scenario) does not affect MAC operation. </w:t>
            </w:r>
            <w:r w:rsidRPr="00D43A26">
              <w:rPr>
                <w:highlight w:val="yellow"/>
              </w:rPr>
              <w:t xml:space="preserve">A UE should cope with a relative propagation delay difference up to 30 </w:t>
            </w:r>
            <w:r w:rsidRPr="00D43A26">
              <w:rPr>
                <w:rFonts w:ascii="Symbol" w:hAnsi="Symbol"/>
                <w:highlight w:val="yellow"/>
              </w:rPr>
              <w:t></w:t>
            </w:r>
            <w:r w:rsidRPr="00D43A26">
              <w:rPr>
                <w:highlight w:val="yellow"/>
              </w:rPr>
              <w:t xml:space="preserve">s among the component carriers to be aggregated in both intra-band non-contiguous and inter-band non-contiguous CA. This implies that a UE should cope with a delay spread of up to 30.26 </w:t>
            </w:r>
            <w:r w:rsidRPr="00D43A26">
              <w:rPr>
                <w:rFonts w:ascii="Symbol" w:hAnsi="Symbol"/>
                <w:highlight w:val="yellow"/>
              </w:rPr>
              <w:t></w:t>
            </w:r>
            <w:r w:rsidRPr="00D43A26">
              <w:rPr>
                <w:highlight w:val="yellow"/>
              </w:rPr>
              <w:t xml:space="preserve">s among the component carriers monitored at the receiver, since the BS time alignment is specified to be up to 0.26 </w:t>
            </w:r>
            <w:r w:rsidRPr="00D43A26">
              <w:rPr>
                <w:rFonts w:ascii="Symbol" w:hAnsi="Symbol"/>
                <w:highlight w:val="yellow"/>
              </w:rPr>
              <w:t></w:t>
            </w:r>
            <w:r w:rsidRPr="00D43A26">
              <w:rPr>
                <w:highlight w:val="yellow"/>
              </w:rPr>
              <w:t>s.</w:t>
            </w:r>
            <w:r w:rsidRPr="006E7423">
              <w:t xml:space="preserve"> This also implies that the UE should cope with a maximum uplink transmission timing difference between TAGs of 32.47</w:t>
            </w:r>
            <w:r w:rsidRPr="006E7423">
              <w:rPr>
                <w:rFonts w:ascii="Symbol" w:hAnsi="Symbol"/>
              </w:rPr>
              <w:t></w:t>
            </w:r>
            <w:r w:rsidRPr="006E7423">
              <w:t>s for inter-band carrier aggregation with multiple TAGs.</w:t>
            </w:r>
          </w:p>
          <w:p w14:paraId="1883238C" w14:textId="6D56D735" w:rsidR="009122A2" w:rsidRPr="009122A2" w:rsidRDefault="009122A2" w:rsidP="00CF2E21">
            <w:r w:rsidRPr="006E7423">
              <w:t>When CA is deployed frame timing and SFN are aligned across cells that can be aggregated.</w:t>
            </w:r>
            <w:r>
              <w:br/>
            </w:r>
            <w:r>
              <w:rPr>
                <w:lang w:val="en-US"/>
              </w:rPr>
              <w:t>...</w:t>
            </w:r>
          </w:p>
        </w:tc>
      </w:tr>
    </w:tbl>
    <w:p w14:paraId="786AFDA1" w14:textId="03F5265B" w:rsidR="003C58BF" w:rsidRDefault="00666631" w:rsidP="00CF2E21">
      <w:pPr>
        <w:rPr>
          <w:b/>
          <w:bCs/>
          <w:lang w:val="en-US"/>
        </w:rPr>
      </w:pPr>
      <w:r>
        <w:rPr>
          <w:lang w:val="en-US"/>
        </w:rPr>
        <w:lastRenderedPageBreak/>
        <w:br/>
      </w:r>
      <w:r w:rsidR="00A55A61" w:rsidRPr="00A55A61">
        <w:rPr>
          <w:b/>
          <w:bCs/>
          <w:lang w:val="en-US"/>
        </w:rPr>
        <w:t xml:space="preserve">Observation </w:t>
      </w:r>
      <w:r w:rsidR="00A55A61">
        <w:rPr>
          <w:b/>
          <w:bCs/>
          <w:lang w:val="en-US"/>
        </w:rPr>
        <w:t>1</w:t>
      </w:r>
      <w:r w:rsidR="00A55A61" w:rsidRPr="00A55A61">
        <w:rPr>
          <w:b/>
          <w:bCs/>
          <w:lang w:val="en-US"/>
        </w:rPr>
        <w:t>:</w:t>
      </w:r>
      <w:r w:rsidR="00A55A61">
        <w:rPr>
          <w:b/>
          <w:bCs/>
          <w:lang w:val="en-US"/>
        </w:rPr>
        <w:t xml:space="preserve"> </w:t>
      </w:r>
      <w:r w:rsidR="00A55A61" w:rsidRPr="00A55A61">
        <w:rPr>
          <w:b/>
          <w:bCs/>
          <w:lang w:val="en-US"/>
        </w:rPr>
        <w:t>In NR up to and including release-17 intra-band non-contiguous EN-DC/NR-CA is collocated.</w:t>
      </w:r>
    </w:p>
    <w:p w14:paraId="6ECD3338" w14:textId="0F949FB3" w:rsidR="00A55A61" w:rsidRDefault="00A55A61" w:rsidP="00CF2E21">
      <w:pPr>
        <w:rPr>
          <w:b/>
          <w:bCs/>
          <w:lang w:val="en-US"/>
        </w:rPr>
      </w:pPr>
      <w:r w:rsidRPr="00A55A61">
        <w:rPr>
          <w:b/>
          <w:bCs/>
          <w:lang w:val="en-US"/>
        </w:rPr>
        <w:t xml:space="preserve">Observation </w:t>
      </w:r>
      <w:r>
        <w:rPr>
          <w:b/>
          <w:bCs/>
          <w:lang w:val="en-US"/>
        </w:rPr>
        <w:t>2</w:t>
      </w:r>
      <w:r w:rsidRPr="00A55A61">
        <w:rPr>
          <w:b/>
          <w:bCs/>
          <w:lang w:val="en-US"/>
        </w:rPr>
        <w:t>:</w:t>
      </w:r>
      <w:r>
        <w:rPr>
          <w:b/>
          <w:bCs/>
          <w:lang w:val="en-US"/>
        </w:rPr>
        <w:t xml:space="preserve"> </w:t>
      </w:r>
      <w:r w:rsidRPr="00A55A61">
        <w:rPr>
          <w:b/>
          <w:bCs/>
          <w:lang w:val="en-US"/>
        </w:rPr>
        <w:t>In LTE up to and including release-17 intra-band non-contiguous is allowed to be non-colocated</w:t>
      </w:r>
      <w:r w:rsidR="001D7AF7">
        <w:rPr>
          <w:b/>
          <w:bCs/>
          <w:lang w:val="en-US"/>
        </w:rPr>
        <w:t xml:space="preserve">. </w:t>
      </w:r>
      <w:r w:rsidR="001D7AF7" w:rsidRPr="001D7AF7">
        <w:rPr>
          <w:b/>
          <w:bCs/>
          <w:lang w:val="en-US"/>
        </w:rPr>
        <w:t xml:space="preserve">A UE should cope with a relative propagation delay difference up to 30 </w:t>
      </w:r>
      <w:r w:rsidR="001D7AF7">
        <w:rPr>
          <w:b/>
          <w:bCs/>
          <w:lang w:val="en-US"/>
        </w:rPr>
        <w:t>µ</w:t>
      </w:r>
      <w:r w:rsidR="001D7AF7" w:rsidRPr="001D7AF7">
        <w:rPr>
          <w:b/>
          <w:bCs/>
          <w:lang w:val="en-US"/>
        </w:rPr>
        <w:t>s among the component carriers to be aggregated in both intra-band non-contiguous and inter-band non-contiguous CA.</w:t>
      </w:r>
      <w:r w:rsidR="001D7AF7">
        <w:rPr>
          <w:b/>
          <w:bCs/>
          <w:lang w:val="en-US"/>
        </w:rPr>
        <w:t xml:space="preserve"> </w:t>
      </w:r>
    </w:p>
    <w:p w14:paraId="598A931F" w14:textId="37ED09A9" w:rsidR="00A55A61" w:rsidRDefault="001D7AF7" w:rsidP="00CF2E21">
      <w:pPr>
        <w:rPr>
          <w:lang w:val="en-US"/>
        </w:rPr>
      </w:pPr>
      <w:r>
        <w:rPr>
          <w:lang w:val="en-US"/>
        </w:rPr>
        <w:t>In NR DC we have a total time budget for the MRTD</w:t>
      </w:r>
      <w:r w:rsidR="00F16163">
        <w:rPr>
          <w:lang w:val="en-US"/>
        </w:rPr>
        <w:t xml:space="preserve">. The MRTD is the sum of the TAE at BS TX and the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w:r w:rsidR="00F16163">
        <w:rPr>
          <w:lang w:val="en-US"/>
        </w:rPr>
        <w:t xml:space="preserve"> difference at UE RX. </w:t>
      </w:r>
    </w:p>
    <w:p w14:paraId="1FBBDAA7" w14:textId="6795C03A" w:rsidR="00F16163" w:rsidRDefault="00F16163" w:rsidP="00CF2E21">
      <w:pPr>
        <w:rPr>
          <w:lang w:val="en-US"/>
        </w:rPr>
      </w:pPr>
    </w:p>
    <w:p w14:paraId="39088A54" w14:textId="30B98657" w:rsidR="00F16163" w:rsidRDefault="00F16163" w:rsidP="00F16163">
      <w:pPr>
        <w:ind w:left="2556"/>
        <w:rPr>
          <w:lang w:val="en-US"/>
        </w:rPr>
      </w:pPr>
      <w:r w:rsidRPr="00F16163">
        <w:rPr>
          <w:noProof/>
        </w:rPr>
        <mc:AlternateContent>
          <mc:Choice Requires="wpg">
            <w:drawing>
              <wp:inline distT="0" distB="0" distL="0" distR="0" wp14:anchorId="4E202452" wp14:editId="4BDB5EAA">
                <wp:extent cx="2730500" cy="1980565"/>
                <wp:effectExtent l="0" t="0" r="0" b="635"/>
                <wp:docPr id="19" name="Group 18">
                  <a:extLst xmlns:a="http://schemas.openxmlformats.org/drawingml/2006/main">
                    <a:ext uri="{FF2B5EF4-FFF2-40B4-BE49-F238E27FC236}">
                      <a16:creationId xmlns:a16="http://schemas.microsoft.com/office/drawing/2014/main" id="{E18B5A0A-51E4-48A9-B91C-550C2509BEF4}"/>
                    </a:ext>
                  </a:extLst>
                </wp:docPr>
                <wp:cNvGraphicFramePr/>
                <a:graphic xmlns:a="http://schemas.openxmlformats.org/drawingml/2006/main">
                  <a:graphicData uri="http://schemas.microsoft.com/office/word/2010/wordprocessingGroup">
                    <wpg:wgp>
                      <wpg:cNvGrpSpPr/>
                      <wpg:grpSpPr>
                        <a:xfrm>
                          <a:off x="0" y="0"/>
                          <a:ext cx="2730500" cy="1980565"/>
                          <a:chOff x="0" y="0"/>
                          <a:chExt cx="2730511" cy="1980757"/>
                        </a:xfrm>
                      </wpg:grpSpPr>
                      <pic:pic xmlns:pic="http://schemas.openxmlformats.org/drawingml/2006/picture">
                        <pic:nvPicPr>
                          <pic:cNvPr id="2" name="Graphic 2">
                            <a:extLst>
                              <a:ext uri="{FF2B5EF4-FFF2-40B4-BE49-F238E27FC236}">
                                <a16:creationId xmlns:a16="http://schemas.microsoft.com/office/drawing/2014/main" id="{31B8DCE0-138B-4C0A-90F8-1B3AD9193A19}"/>
                              </a:ext>
                            </a:extLst>
                          </pic:cNvPr>
                          <pic:cNvPicPr>
                            <a:picLocks noChangeAspect="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a:xfrm>
                            <a:off x="0" y="0"/>
                            <a:ext cx="1081151" cy="1081151"/>
                          </a:xfrm>
                          <a:prstGeom prst="rect">
                            <a:avLst/>
                          </a:prstGeom>
                        </pic:spPr>
                      </pic:pic>
                      <pic:pic xmlns:pic="http://schemas.openxmlformats.org/drawingml/2006/picture">
                        <pic:nvPicPr>
                          <pic:cNvPr id="3" name="Graphic 3">
                            <a:extLst>
                              <a:ext uri="{FF2B5EF4-FFF2-40B4-BE49-F238E27FC236}">
                                <a16:creationId xmlns:a16="http://schemas.microsoft.com/office/drawing/2014/main" id="{78C6DD9B-0643-4E20-9B0F-6D45F087D6C4}"/>
                              </a:ext>
                            </a:extLst>
                          </pic:cNvPr>
                          <pic:cNvPicPr>
                            <a:picLocks noChangeAspect="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rcRect/>
                          <a:stretch>
                            <a:fillRect/>
                          </a:stretch>
                        </pic:blipFill>
                        <pic:spPr>
                          <a:xfrm>
                            <a:off x="1649360" y="6169"/>
                            <a:ext cx="1081151" cy="1081151"/>
                          </a:xfrm>
                          <a:prstGeom prst="rect">
                            <a:avLst/>
                          </a:prstGeom>
                        </pic:spPr>
                      </pic:pic>
                      <pic:pic xmlns:pic="http://schemas.openxmlformats.org/drawingml/2006/picture">
                        <pic:nvPicPr>
                          <pic:cNvPr id="4" name="Graphic 4">
                            <a:extLst>
                              <a:ext uri="{FF2B5EF4-FFF2-40B4-BE49-F238E27FC236}">
                                <a16:creationId xmlns:a16="http://schemas.microsoft.com/office/drawing/2014/main" id="{3A898B8C-0A68-49A7-9B4A-6BEFB17FA424}"/>
                              </a:ext>
                            </a:extLst>
                          </pic:cNvPr>
                          <pic:cNvPicPr>
                            <a:picLocks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5"/>
                              </a:ext>
                            </a:extLst>
                          </a:blip>
                          <a:srcRect t="73" b="73"/>
                          <a:stretch>
                            <a:fillRect/>
                          </a:stretch>
                        </pic:blipFill>
                        <pic:spPr>
                          <a:xfrm>
                            <a:off x="239087" y="1636689"/>
                            <a:ext cx="344068" cy="344068"/>
                          </a:xfrm>
                          <a:prstGeom prst="rect">
                            <a:avLst/>
                          </a:prstGeom>
                        </pic:spPr>
                      </pic:pic>
                      <wps:wsp>
                        <wps:cNvPr id="5" name="Straight Arrow Connector 5">
                          <a:extLst>
                            <a:ext uri="{FF2B5EF4-FFF2-40B4-BE49-F238E27FC236}">
                              <a16:creationId xmlns:a16="http://schemas.microsoft.com/office/drawing/2014/main" id="{B88C96E3-5AE6-456D-85E2-CD378A4165DC}"/>
                            </a:ext>
                          </a:extLst>
                        </wps:cNvPr>
                        <wps:cNvCnPr>
                          <a:cxnSpLocks/>
                        </wps:cNvCnPr>
                        <wps:spPr bwMode="auto">
                          <a:xfrm flipH="1">
                            <a:off x="815263" y="1218473"/>
                            <a:ext cx="1317851" cy="392695"/>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 name="Straight Arrow Connector 6">
                          <a:extLst>
                            <a:ext uri="{FF2B5EF4-FFF2-40B4-BE49-F238E27FC236}">
                              <a16:creationId xmlns:a16="http://schemas.microsoft.com/office/drawing/2014/main" id="{EEF2C38A-E5AA-4650-9A6C-364668DE1261}"/>
                            </a:ext>
                          </a:extLst>
                        </wps:cNvPr>
                        <wps:cNvCnPr>
                          <a:cxnSpLocks/>
                          <a:stCxn id="2" idx="2"/>
                        </wps:cNvCnPr>
                        <wps:spPr bwMode="auto">
                          <a:xfrm flipH="1">
                            <a:off x="369329" y="1081151"/>
                            <a:ext cx="171247" cy="39818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pic:pic xmlns:pic="http://schemas.openxmlformats.org/drawingml/2006/picture">
                        <pic:nvPicPr>
                          <pic:cNvPr id="7" name="Graphic 7">
                            <a:extLst>
                              <a:ext uri="{FF2B5EF4-FFF2-40B4-BE49-F238E27FC236}">
                                <a16:creationId xmlns:a16="http://schemas.microsoft.com/office/drawing/2014/main" id="{E7A2DE5B-C64A-45F1-B66D-B564F3A68D37}"/>
                              </a:ext>
                            </a:extLst>
                          </pic:cNvPr>
                          <pic:cNvPicPr>
                            <a:picLocks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rcRect t="110" b="110"/>
                          <a:stretch>
                            <a:fillRect/>
                          </a:stretch>
                        </pic:blipFill>
                        <pic:spPr>
                          <a:xfrm>
                            <a:off x="1258019" y="575419"/>
                            <a:ext cx="255604" cy="255604"/>
                          </a:xfrm>
                          <a:prstGeom prst="rect">
                            <a:avLst/>
                          </a:prstGeom>
                        </pic:spPr>
                      </pic:pic>
                      <wps:wsp>
                        <wps:cNvPr id="8" name="Straight Arrow Connector 8">
                          <a:extLst>
                            <a:ext uri="{FF2B5EF4-FFF2-40B4-BE49-F238E27FC236}">
                              <a16:creationId xmlns:a16="http://schemas.microsoft.com/office/drawing/2014/main" id="{3357A5A0-15A1-40A3-9134-36E1A42D9B2F}"/>
                            </a:ext>
                          </a:extLst>
                        </wps:cNvPr>
                        <wps:cNvCnPr>
                          <a:cxnSpLocks/>
                        </wps:cNvCnPr>
                        <wps:spPr bwMode="auto">
                          <a:xfrm>
                            <a:off x="1591637" y="703221"/>
                            <a:ext cx="469644" cy="0"/>
                          </a:xfrm>
                          <a:prstGeom prst="straightConnector1">
                            <a:avLst/>
                          </a:prstGeom>
                          <a:solidFill>
                            <a:schemeClr val="accent1"/>
                          </a:solidFill>
                          <a:ln w="12700" cap="flat" cmpd="sng" algn="ctr">
                            <a:solidFill>
                              <a:schemeClr val="tx1"/>
                            </a:solidFill>
                            <a:prstDash val="sysDot"/>
                            <a:round/>
                            <a:headEnd type="triangle" w="med" len="med"/>
                            <a:tailEnd type="triangle"/>
                          </a:ln>
                          <a:effectLst/>
                        </wps:spPr>
                        <wps:bodyPr/>
                      </wps:wsp>
                      <wps:wsp>
                        <wps:cNvPr id="9" name="Straight Arrow Connector 9">
                          <a:extLst>
                            <a:ext uri="{FF2B5EF4-FFF2-40B4-BE49-F238E27FC236}">
                              <a16:creationId xmlns:a16="http://schemas.microsoft.com/office/drawing/2014/main" id="{8BE51A72-B6F7-4AD5-AB23-57DB7DA20E8D}"/>
                            </a:ext>
                          </a:extLst>
                        </wps:cNvPr>
                        <wps:cNvCnPr>
                          <a:cxnSpLocks/>
                        </wps:cNvCnPr>
                        <wps:spPr bwMode="auto">
                          <a:xfrm>
                            <a:off x="686571" y="697927"/>
                            <a:ext cx="469644" cy="0"/>
                          </a:xfrm>
                          <a:prstGeom prst="straightConnector1">
                            <a:avLst/>
                          </a:prstGeom>
                          <a:solidFill>
                            <a:schemeClr val="accent1"/>
                          </a:solidFill>
                          <a:ln w="12700" cap="flat" cmpd="sng" algn="ctr">
                            <a:solidFill>
                              <a:schemeClr val="tx1"/>
                            </a:solidFill>
                            <a:prstDash val="sysDot"/>
                            <a:round/>
                            <a:headEnd type="triangle" w="med" len="med"/>
                            <a:tailEnd type="triangle"/>
                          </a:ln>
                          <a:effectLst/>
                        </wps:spPr>
                        <wps:bodyPr/>
                      </wps:wsp>
                      <pic:pic xmlns:pic="http://schemas.openxmlformats.org/drawingml/2006/picture">
                        <pic:nvPicPr>
                          <pic:cNvPr id="10" name="Graphic 10">
                            <a:extLst>
                              <a:ext uri="{FF2B5EF4-FFF2-40B4-BE49-F238E27FC236}">
                                <a16:creationId xmlns:a16="http://schemas.microsoft.com/office/drawing/2014/main" id="{964E6E96-1CE6-4215-AE49-A3C699685484}"/>
                              </a:ext>
                            </a:extLst>
                          </pic:cNvPr>
                          <pic:cNvPicPr>
                            <a:picLocks noChangeAspect="1"/>
                          </pic:cNvPicPr>
                        </pic:nvPicPr>
                        <pic:blipFill>
                          <a:blip r:embed="rId26">
                            <a:extLst>
                              <a:ext uri="{28A0092B-C50C-407E-A947-70E740481C1C}">
                                <a14:useLocalDpi xmlns:a14="http://schemas.microsoft.com/office/drawing/2010/main" val="0"/>
                              </a:ext>
                              <a:ext uri="{96DAC541-7B7A-43D3-8B79-37D633B846F1}">
                                <asvg:svgBlip xmlns:asvg="http://schemas.microsoft.com/office/drawing/2016/SVG/main" r:embed="rId27"/>
                              </a:ext>
                            </a:extLst>
                          </a:blip>
                          <a:srcRect t="110" b="110"/>
                          <a:stretch>
                            <a:fillRect/>
                          </a:stretch>
                        </pic:blipFill>
                        <pic:spPr>
                          <a:xfrm>
                            <a:off x="485390" y="1429887"/>
                            <a:ext cx="255604" cy="255604"/>
                          </a:xfrm>
                          <a:prstGeom prst="rect">
                            <a:avLst/>
                          </a:prstGeom>
                        </pic:spPr>
                      </pic:pic>
                      <wps:wsp>
                        <wps:cNvPr id="11" name="Left Brace 11">
                          <a:extLst>
                            <a:ext uri="{FF2B5EF4-FFF2-40B4-BE49-F238E27FC236}">
                              <a16:creationId xmlns:a16="http://schemas.microsoft.com/office/drawing/2014/main" id="{DADF8031-0C66-4B06-B589-C81118ED37BC}"/>
                            </a:ext>
                          </a:extLst>
                        </wps:cNvPr>
                        <wps:cNvSpPr/>
                        <wps:spPr bwMode="auto">
                          <a:xfrm rot="5400000">
                            <a:off x="1305767" y="-161844"/>
                            <a:ext cx="175215" cy="1317851"/>
                          </a:xfrm>
                          <a:prstGeom prst="leftBrace">
                            <a:avLst>
                              <a:gd name="adj1" fmla="val 8333"/>
                              <a:gd name="adj2" fmla="val 49999"/>
                            </a:avLst>
                          </a:prstGeom>
                          <a:noFill/>
                          <a:ln w="12700" cap="flat" cmpd="sng" algn="ctr">
                            <a:solidFill>
                              <a:schemeClr val="tx1"/>
                            </a:solidFill>
                            <a:prstDash val="solid"/>
                            <a:round/>
                            <a:headEnd type="none" w="med" len="med"/>
                            <a:tailEnd type="none"/>
                          </a:ln>
                          <a:effectLst/>
                        </wps:spPr>
                        <wps:bodyPr rtlCol="0" anchor="ctr"/>
                      </wps:wsp>
                      <wps:wsp>
                        <wps:cNvPr id="12" name="TextBox 15">
                          <a:extLst>
                            <a:ext uri="{FF2B5EF4-FFF2-40B4-BE49-F238E27FC236}">
                              <a16:creationId xmlns:a16="http://schemas.microsoft.com/office/drawing/2014/main" id="{B30CAA04-698D-4019-9151-FE032335BC68}"/>
                            </a:ext>
                          </a:extLst>
                        </wps:cNvPr>
                        <wps:cNvSpPr txBox="1"/>
                        <wps:spPr bwMode="auto">
                          <a:xfrm>
                            <a:off x="1156215" y="116988"/>
                            <a:ext cx="420742" cy="293556"/>
                          </a:xfrm>
                          <a:prstGeom prst="rect">
                            <a:avLst/>
                          </a:prstGeom>
                          <a:noFill/>
                          <a:ln w="12700">
                            <a:noFill/>
                            <a:miter lim="800000"/>
                            <a:headEnd/>
                            <a:tailEnd/>
                          </a:ln>
                        </wps:spPr>
                        <wps:txbx>
                          <w:txbxContent>
                            <w:p w14:paraId="29D02C4B" w14:textId="77777777" w:rsidR="00F16163" w:rsidRDefault="00F16163" w:rsidP="00F16163">
                              <w:pP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TAE</w:t>
                              </w:r>
                            </w:p>
                          </w:txbxContent>
                        </wps:txbx>
                        <wps:bodyPr vert="horz" wrap="none" lIns="72000" tIns="36000" rIns="73152" bIns="36576" numCol="1" rtlCol="0" anchor="t" anchorCtr="0" compatLnSpc="1">
                          <a:prstTxWarp prst="textNoShape">
                            <a:avLst/>
                          </a:prstTxWarp>
                          <a:noAutofit/>
                        </wps:bodyPr>
                      </wps:wsp>
                      <wps:wsp>
                        <wps:cNvPr id="13" name="Left Brace 13">
                          <a:extLst>
                            <a:ext uri="{FF2B5EF4-FFF2-40B4-BE49-F238E27FC236}">
                              <a16:creationId xmlns:a16="http://schemas.microsoft.com/office/drawing/2014/main" id="{DE009375-E6CA-4177-9116-29AFF4164117}"/>
                            </a:ext>
                          </a:extLst>
                        </wps:cNvPr>
                        <wps:cNvSpPr/>
                        <wps:spPr bwMode="auto">
                          <a:xfrm rot="6466348">
                            <a:off x="622984" y="1144552"/>
                            <a:ext cx="127174" cy="448702"/>
                          </a:xfrm>
                          <a:prstGeom prst="leftBrace">
                            <a:avLst/>
                          </a:prstGeom>
                          <a:noFill/>
                          <a:ln w="12700" cap="flat" cmpd="sng" algn="ctr">
                            <a:solidFill>
                              <a:schemeClr val="tx1"/>
                            </a:solidFill>
                            <a:prstDash val="solid"/>
                            <a:round/>
                            <a:headEnd type="none" w="med" len="med"/>
                            <a:tailEnd type="none"/>
                          </a:ln>
                          <a:effectLst/>
                        </wps:spPr>
                        <wps:bodyPr rtlCol="0" anchor="ctr"/>
                      </wps:wsp>
                      <wps:wsp>
                        <wps:cNvPr id="14" name="TextBox 17">
                          <a:extLst>
                            <a:ext uri="{FF2B5EF4-FFF2-40B4-BE49-F238E27FC236}">
                              <a16:creationId xmlns:a16="http://schemas.microsoft.com/office/drawing/2014/main" id="{8E096EFD-1E3A-4A8A-A77D-3BFD16016E04}"/>
                            </a:ext>
                          </a:extLst>
                        </wps:cNvPr>
                        <wps:cNvSpPr txBox="1"/>
                        <wps:spPr bwMode="auto">
                          <a:xfrm>
                            <a:off x="527551" y="1051922"/>
                            <a:ext cx="952241" cy="311366"/>
                          </a:xfrm>
                          <a:prstGeom prst="rect">
                            <a:avLst/>
                          </a:prstGeom>
                          <a:noFill/>
                          <a:ln w="12700">
                            <a:noFill/>
                            <a:miter lim="800000"/>
                            <a:headEnd/>
                            <a:tailEnd/>
                          </a:ln>
                        </wps:spPr>
                        <wps:txbx>
                          <w:txbxContent>
                            <w:p w14:paraId="323FF99C" w14:textId="4E850B9D" w:rsidR="00F16163" w:rsidRDefault="00BD6649" w:rsidP="00F16163">
                              <w:pPr>
                                <w:rPr>
                                  <w:rFonts w:asciiTheme="minorHAnsi" w:hAnsi="Calibri" w:cstheme="minorBidi"/>
                                  <w:color w:val="000000" w:themeColor="text1"/>
                                  <w:kern w:val="24"/>
                                  <w:sz w:val="28"/>
                                  <w:szCs w:val="28"/>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m:oMathPara>
                            </w:p>
                          </w:txbxContent>
                        </wps:txbx>
                        <wps:bodyPr vert="horz" wrap="none" lIns="72000" tIns="36000" rIns="73152" bIns="36576" numCol="1" rtlCol="0" anchor="t" anchorCtr="0" compatLnSpc="1">
                          <a:prstTxWarp prst="textNoShape">
                            <a:avLst/>
                          </a:prstTxWarp>
                          <a:noAutofit/>
                        </wps:bodyPr>
                      </wps:wsp>
                    </wpg:wgp>
                  </a:graphicData>
                </a:graphic>
              </wp:inline>
            </w:drawing>
          </mc:Choice>
          <mc:Fallback>
            <w:pict>
              <v:group w14:anchorId="4E202452" id="Group 18" o:spid="_x0000_s1026" style="width:215pt;height:155.95pt;mso-position-horizontal-relative:char;mso-position-vertical-relative:line" coordsize="27305,198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">
                <v:shape id="Graphic 2" o:spid="_x0000_s1027" type="#_x0000_t75" style="position:absolute;width:10811;height:10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">
                  <v:imagedata r:id="rId28" o:title=""/>
                </v:shape>
                <v:shape id="Graphic 3" o:spid="_x0000_s1028" type="#_x0000_t75" style="position:absolute;left:16493;top:61;width:10812;height:108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">
                  <v:imagedata r:id="rId28" o:title=""/>
                </v:shape>
                <v:shape id="Graphic 4" o:spid="_x0000_s1029" type="#_x0000_t75" style="position:absolute;left:2390;top:16366;width:3441;height:344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">
                  <v:imagedata r:id="rId29" o:title="" croptop="48f" cropbottom="48f"/>
                </v:shape>
                <v:shapetype id="_x0000_t32" coordsize="21600,21600" o:spt="32" o:oned="t" path="m,l21600,21600e" filled="f">
                  <v:path arrowok="t" fillok="f" o:connecttype="none"/>
                  <o:lock v:ext="edit" shapetype="t"/>
                </v:shapetype>
                <v:shape id="Straight Arrow Connector 5" o:spid="_x0000_s1030" type="#_x0000_t32" style="position:absolute;left:8152;top:12184;width:13179;height:39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" filled="t" fillcolor="#4472c4 [3204]" strokecolor="black [3213]" strokeweight="1pt">
                  <v:stroke endarrow="block"/>
                  <o:lock v:ext="edit" shapetype="f"/>
                </v:shape>
                <v:shape id="Straight Arrow Connector 6" o:spid="_x0000_s1031" type="#_x0000_t32" style="position:absolute;left:3693;top:10811;width:1712;height:398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" filled="t" fillcolor="#4472c4 [3204]" strokecolor="black [3213]" strokeweight="1pt">
                  <v:stroke endarrow="block"/>
                  <o:lock v:ext="edit" shapetype="f"/>
                </v:shape>
                <v:shape id="Graphic 7" o:spid="_x0000_s1032" type="#_x0000_t75" style="position:absolute;left:12580;top:5754;width:255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">
                  <v:imagedata r:id="rId30" o:title="" croptop="72f" cropbottom="72f"/>
                </v:shape>
                <v:shape id="Straight Arrow Connector 8" o:spid="_x0000_s1033" type="#_x0000_t32" style="position:absolute;left:15916;top:7032;width:469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" filled="t" fillcolor="#4472c4 [3204]" strokecolor="black [3213]" strokeweight="1pt">
                  <v:stroke dashstyle="1 1" startarrow="block" endarrow="block"/>
                  <o:lock v:ext="edit" shapetype="f"/>
                </v:shape>
                <v:shape id="Straight Arrow Connector 9" o:spid="_x0000_s1034" type="#_x0000_t32" style="position:absolute;left:6865;top:6979;width:469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" filled="t" fillcolor="#4472c4 [3204]" strokecolor="black [3213]" strokeweight="1pt">
                  <v:stroke dashstyle="1 1" startarrow="block" endarrow="block"/>
                  <o:lock v:ext="edit" shapetype="f"/>
                </v:shape>
                <v:shape id="Graphic 10" o:spid="_x0000_s1035" type="#_x0000_t75" style="position:absolute;left:4853;top:14298;width:2556;height:25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">
                  <v:imagedata r:id="rId30" o:title="" croptop="72f" cropbottom="72f"/>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1" o:spid="_x0000_s1036" type="#_x0000_t87" style="position:absolute;left:13058;top:-1620;width:1752;height:13179;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" adj="239" strokecolor="black [3213]" strokeweight="1pt"/>
                <v:shapetype id="_x0000_t202" coordsize="21600,21600" o:spt="202" path="m,l,21600r21600,l21600,xe">
                  <v:stroke joinstyle="miter"/>
                  <v:path gradientshapeok="t" o:connecttype="rect"/>
                </v:shapetype>
                <v:shape id="TextBox 15" o:spid="_x0000_s1037" type="#_x0000_t202" style="position:absolute;left:11562;top:1169;width:4207;height:29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" filled="f" stroked="f" strokeweight="1pt">
                  <v:textbox inset="2mm,1mm,5.76pt,2.88pt">
                    <w:txbxContent>
                      <w:p w14:paraId="29D02C4B" w14:textId="77777777" w:rsidR="00F16163" w:rsidRDefault="00F16163" w:rsidP="00F16163">
                        <w:pPr>
                          <w:rPr>
                            <w:rFonts w:asciiTheme="minorHAnsi" w:hAnsi="Calibri" w:cstheme="minorBidi"/>
                            <w:color w:val="000000" w:themeColor="text1"/>
                            <w:kern w:val="24"/>
                            <w:sz w:val="28"/>
                            <w:szCs w:val="28"/>
                            <w:lang w:val="en-US"/>
                          </w:rPr>
                        </w:pPr>
                        <w:r>
                          <w:rPr>
                            <w:rFonts w:asciiTheme="minorHAnsi" w:hAnsi="Calibri" w:cstheme="minorBidi"/>
                            <w:color w:val="000000" w:themeColor="text1"/>
                            <w:kern w:val="24"/>
                            <w:sz w:val="28"/>
                            <w:szCs w:val="28"/>
                            <w:lang w:val="en-US"/>
                          </w:rPr>
                          <w:t>TAE</w:t>
                        </w:r>
                      </w:p>
                    </w:txbxContent>
                  </v:textbox>
                </v:shape>
                <v:shape id="Left Brace 13" o:spid="_x0000_s1038" type="#_x0000_t87" style="position:absolute;left:6230;top:11445;width:1271;height:4487;rotation:7062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" adj="510" strokecolor="black [3213]" strokeweight="1pt"/>
                <v:shape id="TextBox 17" o:spid="_x0000_s1039" type="#_x0000_t202" style="position:absolute;left:5275;top:10519;width:9522;height:31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" filled="f" stroked="f" strokeweight="1pt">
                  <v:textbox inset="2mm,1mm,5.76pt,2.88pt">
                    <w:txbxContent>
                      <w:p w14:paraId="323FF99C" w14:textId="4E850B9D" w:rsidR="00F16163" w:rsidRDefault="0077439B" w:rsidP="00F16163">
                        <w:pPr>
                          <w:rPr>
                            <w:rFonts w:asciiTheme="minorHAnsi" w:hAnsi="Calibri" w:cstheme="minorBidi"/>
                            <w:color w:val="000000" w:themeColor="text1"/>
                            <w:kern w:val="24"/>
                            <w:sz w:val="28"/>
                            <w:szCs w:val="28"/>
                            <w:lang w:val="en-US"/>
                          </w:rPr>
                        </w:pPr>
                        <m:oMathPara>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m:oMathPara>
                      </w:p>
                    </w:txbxContent>
                  </v:textbox>
                </v:shape>
                <w10:anchorlock/>
              </v:group>
            </w:pict>
          </mc:Fallback>
        </mc:AlternateContent>
      </w:r>
    </w:p>
    <w:p w14:paraId="58637AAA" w14:textId="13A30710" w:rsidR="00F16163" w:rsidRDefault="00F16163" w:rsidP="00F16163">
      <w:pPr>
        <w:rPr>
          <w:lang w:val="en-US"/>
        </w:rPr>
      </w:pPr>
      <w:r>
        <w:rPr>
          <w:lang w:val="en-US"/>
        </w:rPr>
        <w:t>We have:</w:t>
      </w:r>
    </w:p>
    <w:p w14:paraId="7052ACFA" w14:textId="40DFE55C" w:rsidR="00F16163" w:rsidRPr="00AE0994" w:rsidRDefault="00EA3484" w:rsidP="00F16163">
      <w:pPr>
        <w:rPr>
          <w:lang w:val="en-US"/>
        </w:rPr>
      </w:pPr>
      <m:oMathPara>
        <m:oMath>
          <m:r>
            <w:rPr>
              <w:rFonts w:ascii="Cambria Math" w:hAnsi="Cambria Math"/>
              <w:lang w:val="en-US"/>
            </w:rPr>
            <m:t xml:space="preserve">MRTD = TAE + </m:t>
          </m:r>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m:oMathPara>
    </w:p>
    <w:p w14:paraId="7D6D700B" w14:textId="677B3160" w:rsidR="00AE0994" w:rsidRPr="00AE0994" w:rsidRDefault="00AE0994" w:rsidP="00AE0994">
      <w:pPr>
        <w:rPr>
          <w:lang w:val="en-US"/>
        </w:rPr>
      </w:pPr>
      <m:oMathPara>
        <m:oMath>
          <m:r>
            <w:rPr>
              <w:rFonts w:ascii="Cambria Math" w:hAnsi="Cambria Math"/>
              <w:lang w:val="en-US"/>
            </w:rPr>
            <m:t xml:space="preserve">MTTD = MRTD + </m:t>
          </m:r>
          <m:sSub>
            <m:sSubPr>
              <m:ctrlPr>
                <w:rPr>
                  <w:rFonts w:ascii="Cambria Math" w:hAnsi="Cambria Math"/>
                  <w:i/>
                  <w:lang w:val="en-US"/>
                </w:rPr>
              </m:ctrlPr>
            </m:sSubPr>
            <m:e>
              <m:r>
                <w:rPr>
                  <w:rFonts w:ascii="Cambria Math" w:hAnsi="Cambria Math"/>
                  <w:lang w:val="en-US"/>
                </w:rPr>
                <m:t>UE</m:t>
              </m:r>
            </m:e>
            <m:sub>
              <m:r>
                <w:rPr>
                  <w:rFonts w:ascii="Cambria Math" w:hAnsi="Cambria Math"/>
                  <w:lang w:val="en-US"/>
                </w:rPr>
                <m:t>TX_time_uncertainty</m:t>
              </m:r>
            </m:sub>
          </m:sSub>
        </m:oMath>
      </m:oMathPara>
    </w:p>
    <w:p w14:paraId="686ECAF8" w14:textId="62B58857" w:rsidR="00AE0994" w:rsidRPr="00AE0994" w:rsidRDefault="00BB0130" w:rsidP="00F16163">
      <w:pPr>
        <w:rPr>
          <w:lang w:val="en-US"/>
        </w:rPr>
      </w:pPr>
      <w:r>
        <w:rPr>
          <w:lang w:val="en-US"/>
        </w:rPr>
        <w:t>A total budget is preferred</w:t>
      </w:r>
      <w:r w:rsidR="00552132">
        <w:rPr>
          <w:lang w:val="en-US"/>
        </w:rPr>
        <w:t>, i.e., to specify an MRTD value</w:t>
      </w:r>
      <w:r>
        <w:rPr>
          <w:lang w:val="en-US"/>
        </w:rPr>
        <w:t>. This gives flexibility in the network</w:t>
      </w:r>
      <w:r w:rsidR="00552132">
        <w:rPr>
          <w:lang w:val="en-US"/>
        </w:rPr>
        <w:t xml:space="preserve"> in terms of balancing TAE at the sites and desired </w:t>
      </w:r>
      <m:oMath>
        <m:sSub>
          <m:sSubPr>
            <m:ctrlPr>
              <w:rPr>
                <w:rFonts w:ascii="Cambria Math" w:hAnsi="Cambria Math"/>
                <w:i/>
                <w:lang w:val="en-US"/>
              </w:rPr>
            </m:ctrlPr>
          </m:sSubPr>
          <m:e>
            <m:r>
              <w:rPr>
                <w:rFonts w:ascii="Cambria Math" w:hAnsi="Cambria Math"/>
                <w:lang w:val="en-US"/>
              </w:rPr>
              <m:t>∆</m:t>
            </m:r>
          </m:e>
          <m:sub>
            <m:r>
              <w:rPr>
                <w:rFonts w:ascii="Cambria Math" w:hAnsi="Cambria Math"/>
                <w:lang w:val="en-US"/>
              </w:rPr>
              <m:t>RF_propagation</m:t>
            </m:r>
          </m:sub>
        </m:sSub>
      </m:oMath>
      <w:r w:rsidR="00552132">
        <w:rPr>
          <w:lang w:val="en-US"/>
        </w:rPr>
        <w:t xml:space="preserve">. </w:t>
      </w:r>
      <w:r w:rsidR="00552132" w:rsidRPr="00552132">
        <w:rPr>
          <w:lang w:val="en-US"/>
        </w:rPr>
        <w:t>If TAE is larger it can be compensated with smaller  ∆RF_propagation and vice versa.</w:t>
      </w:r>
    </w:p>
    <w:p w14:paraId="08D4B0F4" w14:textId="25D007CE" w:rsidR="00AE0994" w:rsidRDefault="006E05B4" w:rsidP="00F16163">
      <w:pPr>
        <w:rPr>
          <w:b/>
          <w:bCs/>
          <w:lang w:val="en-US"/>
        </w:rPr>
      </w:pPr>
      <w:r w:rsidRPr="00BB0130">
        <w:rPr>
          <w:b/>
          <w:bCs/>
          <w:lang w:val="en-US"/>
        </w:rPr>
        <w:t xml:space="preserve">Observation 3: NR DC has a total time budget. </w:t>
      </w:r>
      <w:bookmarkStart w:id="10" w:name="_Hlk106802271"/>
      <w:r w:rsidRPr="00BB0130">
        <w:rPr>
          <w:b/>
          <w:bCs/>
          <w:lang w:val="en-US"/>
        </w:rPr>
        <w:t xml:space="preserve">If </w:t>
      </w:r>
      <w:r w:rsidR="00BB0130" w:rsidRPr="00BB0130">
        <w:rPr>
          <w:b/>
          <w:bCs/>
          <w:lang w:val="en-US"/>
        </w:rPr>
        <w:t xml:space="preserve">TAE is larger it can be compensated with smaller </w:t>
      </w:r>
      <w:r w:rsidRPr="00BB0130">
        <w:rPr>
          <w:b/>
          <w:bCs/>
          <w:lang w:val="en-US"/>
        </w:rPr>
        <w:t xml:space="preserve"> </w:t>
      </w:r>
      <m:oMath>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RF_propagation</m:t>
            </m:r>
          </m:sub>
        </m:sSub>
      </m:oMath>
      <w:r w:rsidR="00BB0130">
        <w:rPr>
          <w:b/>
          <w:bCs/>
          <w:lang w:val="en-US"/>
        </w:rPr>
        <w:t xml:space="preserve"> and vice versa.</w:t>
      </w:r>
    </w:p>
    <w:bookmarkEnd w:id="10"/>
    <w:p w14:paraId="7221A053" w14:textId="6C839605" w:rsidR="00BB0130" w:rsidRPr="00BB0130" w:rsidRDefault="00BB0130" w:rsidP="00F16163">
      <w:pPr>
        <w:rPr>
          <w:lang w:val="en-US"/>
        </w:rPr>
      </w:pPr>
      <w:r>
        <w:rPr>
          <w:lang w:val="en-US"/>
        </w:rPr>
        <w:t xml:space="preserve">It is not reasonable to have very tight TAE for non-colocated operation, whilst allowing the UE to move around, creating large </w:t>
      </w:r>
      <m:oMath>
        <m:sSub>
          <m:sSubPr>
            <m:ctrlPr>
              <w:rPr>
                <w:rFonts w:ascii="Cambria Math" w:hAnsi="Cambria Math"/>
                <w:i/>
                <w:lang w:val="en-US"/>
              </w:rPr>
            </m:ctrlPr>
          </m:sSubPr>
          <m:e>
            <m:r>
              <w:rPr>
                <w:rFonts w:ascii="Cambria Math" w:hAnsi="Cambria Math"/>
                <w:lang w:val="en-US"/>
              </w:rPr>
              <m:t>UE</m:t>
            </m:r>
          </m:e>
          <m:sub>
            <m:r>
              <w:rPr>
                <w:rFonts w:ascii="Cambria Math" w:hAnsi="Cambria Math"/>
                <w:lang w:val="en-US"/>
              </w:rPr>
              <m:t>TX_time_uncertainty</m:t>
            </m:r>
          </m:sub>
        </m:sSub>
      </m:oMath>
      <w:r>
        <w:rPr>
          <w:lang w:val="en-US"/>
        </w:rPr>
        <w:t xml:space="preserve">. We must have a </w:t>
      </w:r>
      <w:r w:rsidR="00FF6BC4">
        <w:rPr>
          <w:lang w:val="en-US"/>
        </w:rPr>
        <w:t>balanced set of requirements</w:t>
      </w:r>
    </w:p>
    <w:p w14:paraId="72E650D7" w14:textId="55743AFF" w:rsidR="00BB0130" w:rsidRDefault="00BB0130" w:rsidP="00F16163">
      <w:pPr>
        <w:rPr>
          <w:b/>
          <w:bCs/>
          <w:lang w:val="en-US"/>
        </w:rPr>
      </w:pPr>
      <w:r>
        <w:rPr>
          <w:b/>
          <w:bCs/>
          <w:lang w:val="en-US"/>
        </w:rPr>
        <w:t xml:space="preserve">Proposal 1: </w:t>
      </w:r>
      <w:r w:rsidR="00FF6BC4">
        <w:rPr>
          <w:b/>
          <w:bCs/>
          <w:lang w:val="en-US"/>
        </w:rPr>
        <w:t xml:space="preserve">Set MRTD for </w:t>
      </w:r>
      <w:r w:rsidR="00FF6BC4" w:rsidRPr="00FF6BC4">
        <w:rPr>
          <w:b/>
          <w:bCs/>
          <w:lang w:val="en-US"/>
        </w:rPr>
        <w:t xml:space="preserve">intra-band non-collocated EN-DC/NR-CA </w:t>
      </w:r>
      <w:r w:rsidR="00FF6BC4">
        <w:rPr>
          <w:b/>
          <w:bCs/>
          <w:lang w:val="en-US"/>
        </w:rPr>
        <w:t>the same as for LTE, or NR CA inter band, or NR DC synchronous inter band, i.e., around 30 µs.</w:t>
      </w:r>
    </w:p>
    <w:p w14:paraId="67082818" w14:textId="2AF5EC22" w:rsidR="00FF6BC4" w:rsidRPr="00BB0130" w:rsidRDefault="00FF6BC4" w:rsidP="00F16163">
      <w:pPr>
        <w:rPr>
          <w:b/>
          <w:bCs/>
          <w:lang w:val="en-US"/>
        </w:rPr>
      </w:pPr>
      <w:r>
        <w:rPr>
          <w:b/>
          <w:bCs/>
          <w:lang w:val="en-US"/>
        </w:rPr>
        <w:t xml:space="preserve">Proposal 2: Let MRTD be the total budget to be managed freely. This means that there is no need to specify TAE for </w:t>
      </w:r>
      <w:r w:rsidRPr="00FF6BC4">
        <w:rPr>
          <w:b/>
          <w:bCs/>
          <w:lang w:val="en-US"/>
        </w:rPr>
        <w:t>intra-band non-collocated EN-DC/NR-CA</w:t>
      </w:r>
      <w:r>
        <w:rPr>
          <w:b/>
          <w:bCs/>
          <w:lang w:val="en-US"/>
        </w:rPr>
        <w:t>.</w:t>
      </w:r>
    </w:p>
    <w:p w14:paraId="7DE08BE8" w14:textId="7DCDEAA9" w:rsidR="00B93FB3" w:rsidRDefault="00341E43" w:rsidP="00B93FB3">
      <w:pPr>
        <w:pStyle w:val="Heading1"/>
        <w:rPr>
          <w:lang w:val="en-US"/>
        </w:rPr>
      </w:pPr>
      <w:r>
        <w:rPr>
          <w:lang w:val="en-US"/>
        </w:rPr>
        <w:t>3</w:t>
      </w:r>
      <w:r w:rsidR="00B93FB3">
        <w:rPr>
          <w:lang w:val="en-US"/>
        </w:rPr>
        <w:tab/>
        <w:t>Summary</w:t>
      </w:r>
    </w:p>
    <w:p w14:paraId="5D7215AB" w14:textId="77777777" w:rsidR="004272C3" w:rsidRDefault="004272C3" w:rsidP="004272C3">
      <w:pPr>
        <w:rPr>
          <w:b/>
          <w:bCs/>
          <w:lang w:val="en-US"/>
        </w:rPr>
      </w:pPr>
      <w:r w:rsidRPr="00A55A61">
        <w:rPr>
          <w:b/>
          <w:bCs/>
          <w:lang w:val="en-US"/>
        </w:rPr>
        <w:t xml:space="preserve">Observation </w:t>
      </w:r>
      <w:r>
        <w:rPr>
          <w:b/>
          <w:bCs/>
          <w:lang w:val="en-US"/>
        </w:rPr>
        <w:t>1</w:t>
      </w:r>
      <w:r w:rsidRPr="00A55A61">
        <w:rPr>
          <w:b/>
          <w:bCs/>
          <w:lang w:val="en-US"/>
        </w:rPr>
        <w:t>:</w:t>
      </w:r>
      <w:r>
        <w:rPr>
          <w:b/>
          <w:bCs/>
          <w:lang w:val="en-US"/>
        </w:rPr>
        <w:t xml:space="preserve"> </w:t>
      </w:r>
      <w:r w:rsidRPr="00A55A61">
        <w:rPr>
          <w:b/>
          <w:bCs/>
          <w:lang w:val="en-US"/>
        </w:rPr>
        <w:t>In NR up to and including release-17 intra-band non-contiguous EN-DC/NR-CA is collocated.</w:t>
      </w:r>
    </w:p>
    <w:p w14:paraId="7CB622E6" w14:textId="77777777" w:rsidR="004272C3" w:rsidRDefault="004272C3" w:rsidP="004272C3">
      <w:pPr>
        <w:rPr>
          <w:b/>
          <w:bCs/>
          <w:lang w:val="en-US"/>
        </w:rPr>
      </w:pPr>
      <w:r w:rsidRPr="00A55A61">
        <w:rPr>
          <w:b/>
          <w:bCs/>
          <w:lang w:val="en-US"/>
        </w:rPr>
        <w:t xml:space="preserve">Observation </w:t>
      </w:r>
      <w:r>
        <w:rPr>
          <w:b/>
          <w:bCs/>
          <w:lang w:val="en-US"/>
        </w:rPr>
        <w:t>2</w:t>
      </w:r>
      <w:r w:rsidRPr="00A55A61">
        <w:rPr>
          <w:b/>
          <w:bCs/>
          <w:lang w:val="en-US"/>
        </w:rPr>
        <w:t>:</w:t>
      </w:r>
      <w:r>
        <w:rPr>
          <w:b/>
          <w:bCs/>
          <w:lang w:val="en-US"/>
        </w:rPr>
        <w:t xml:space="preserve"> </w:t>
      </w:r>
      <w:r w:rsidRPr="00A55A61">
        <w:rPr>
          <w:b/>
          <w:bCs/>
          <w:lang w:val="en-US"/>
        </w:rPr>
        <w:t>In LTE up to and including release-17 intra-band non-contiguous is allowed to be non-colocated</w:t>
      </w:r>
      <w:r>
        <w:rPr>
          <w:b/>
          <w:bCs/>
          <w:lang w:val="en-US"/>
        </w:rPr>
        <w:t xml:space="preserve">. </w:t>
      </w:r>
      <w:r w:rsidRPr="001D7AF7">
        <w:rPr>
          <w:b/>
          <w:bCs/>
          <w:lang w:val="en-US"/>
        </w:rPr>
        <w:t xml:space="preserve">A UE should cope with a relative propagation delay difference up to 30 </w:t>
      </w:r>
      <w:r>
        <w:rPr>
          <w:b/>
          <w:bCs/>
          <w:lang w:val="en-US"/>
        </w:rPr>
        <w:t>µ</w:t>
      </w:r>
      <w:r w:rsidRPr="001D7AF7">
        <w:rPr>
          <w:b/>
          <w:bCs/>
          <w:lang w:val="en-US"/>
        </w:rPr>
        <w:t>s among the component carriers to be aggregated in both intra-band non-contiguous and inter-band non-contiguous CA.</w:t>
      </w:r>
      <w:r>
        <w:rPr>
          <w:b/>
          <w:bCs/>
          <w:lang w:val="en-US"/>
        </w:rPr>
        <w:t xml:space="preserve"> </w:t>
      </w:r>
    </w:p>
    <w:p w14:paraId="7FB876AF" w14:textId="7265D354" w:rsidR="004272C3" w:rsidRDefault="004272C3" w:rsidP="004272C3">
      <w:pPr>
        <w:rPr>
          <w:b/>
          <w:bCs/>
          <w:lang w:val="en-US"/>
        </w:rPr>
      </w:pPr>
      <w:r w:rsidRPr="00BB0130">
        <w:rPr>
          <w:b/>
          <w:bCs/>
          <w:lang w:val="en-US"/>
        </w:rPr>
        <w:t xml:space="preserve">Observation 3: NR DC has a total time budget. If TAE is larger it can be compensated with smaller  </w:t>
      </w:r>
      <m:oMath>
        <m:sSub>
          <m:sSubPr>
            <m:ctrlPr>
              <w:rPr>
                <w:rFonts w:ascii="Cambria Math" w:hAnsi="Cambria Math"/>
                <w:b/>
                <w:bCs/>
                <w:i/>
                <w:lang w:val="en-US"/>
              </w:rPr>
            </m:ctrlPr>
          </m:sSubPr>
          <m:e>
            <m:r>
              <m:rPr>
                <m:sty m:val="bi"/>
              </m:rPr>
              <w:rPr>
                <w:rFonts w:ascii="Cambria Math" w:hAnsi="Cambria Math"/>
                <w:lang w:val="en-US"/>
              </w:rPr>
              <m:t>∆</m:t>
            </m:r>
          </m:e>
          <m:sub>
            <m:r>
              <m:rPr>
                <m:sty m:val="bi"/>
              </m:rPr>
              <w:rPr>
                <w:rFonts w:ascii="Cambria Math" w:hAnsi="Cambria Math"/>
                <w:lang w:val="en-US"/>
              </w:rPr>
              <m:t>RF_propagation</m:t>
            </m:r>
          </m:sub>
        </m:sSub>
      </m:oMath>
      <w:r>
        <w:rPr>
          <w:b/>
          <w:bCs/>
          <w:lang w:val="en-US"/>
        </w:rPr>
        <w:t xml:space="preserve"> and vice versa.</w:t>
      </w:r>
    </w:p>
    <w:p w14:paraId="3A39F718" w14:textId="77777777" w:rsidR="004272C3" w:rsidRDefault="004272C3" w:rsidP="004272C3">
      <w:pPr>
        <w:rPr>
          <w:b/>
          <w:bCs/>
          <w:lang w:val="en-US"/>
        </w:rPr>
      </w:pPr>
      <w:r>
        <w:rPr>
          <w:b/>
          <w:bCs/>
          <w:lang w:val="en-US"/>
        </w:rPr>
        <w:t xml:space="preserve">Proposal 1: Set MRTD for </w:t>
      </w:r>
      <w:r w:rsidRPr="00FF6BC4">
        <w:rPr>
          <w:b/>
          <w:bCs/>
          <w:lang w:val="en-US"/>
        </w:rPr>
        <w:t xml:space="preserve">intra-band non-collocated EN-DC/NR-CA </w:t>
      </w:r>
      <w:r>
        <w:rPr>
          <w:b/>
          <w:bCs/>
          <w:lang w:val="en-US"/>
        </w:rPr>
        <w:t>the same as for LTE, or NR CA inter band, or NR DC synchronous inter band, i.e., around 30 µs.</w:t>
      </w:r>
    </w:p>
    <w:p w14:paraId="33948DA7" w14:textId="4350BECE" w:rsidR="003D429A" w:rsidRPr="004272C3" w:rsidRDefault="004272C3" w:rsidP="003D429A">
      <w:pPr>
        <w:rPr>
          <w:b/>
          <w:bCs/>
          <w:lang w:val="en-US"/>
        </w:rPr>
      </w:pPr>
      <w:r>
        <w:rPr>
          <w:b/>
          <w:bCs/>
          <w:lang w:val="en-US"/>
        </w:rPr>
        <w:t xml:space="preserve">Proposal 2: Let MRTD be the total budget to be managed freely. This means that there is no need to specify TAE for </w:t>
      </w:r>
      <w:r w:rsidRPr="00FF6BC4">
        <w:rPr>
          <w:b/>
          <w:bCs/>
          <w:lang w:val="en-US"/>
        </w:rPr>
        <w:t>intra-band non-collocated EN-DC/NR-CA</w:t>
      </w:r>
      <w:r>
        <w:rPr>
          <w:b/>
          <w:bCs/>
          <w:lang w:val="en-US"/>
        </w:rPr>
        <w:t>.</w:t>
      </w:r>
    </w:p>
    <w:p w14:paraId="42C2E795" w14:textId="1C544FD8" w:rsidR="003D429A" w:rsidRDefault="003D429A" w:rsidP="003D429A">
      <w:pPr>
        <w:pStyle w:val="Heading1"/>
        <w:rPr>
          <w:lang w:val="en-US"/>
        </w:rPr>
      </w:pPr>
      <w:r>
        <w:rPr>
          <w:lang w:val="en-US"/>
        </w:rPr>
        <w:t>References</w:t>
      </w:r>
    </w:p>
    <w:p w14:paraId="406C1D4A" w14:textId="46C6DBB8" w:rsidR="003D429A" w:rsidRPr="0077439B" w:rsidRDefault="00C60DB6" w:rsidP="0077439B">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rPr>
      </w:pPr>
      <w:bookmarkStart w:id="11" w:name="_Ref508638450"/>
      <w:bookmarkStart w:id="12" w:name="_Ref3386619"/>
      <w:r w:rsidRPr="006D15B3">
        <w:rPr>
          <w:rFonts w:ascii="Times New Roman" w:hAnsi="Times New Roman" w:cs="Times New Roman"/>
        </w:rPr>
        <w:t>RP-2211012</w:t>
      </w:r>
      <w:r w:rsidR="006D15B3" w:rsidRPr="006D15B3">
        <w:rPr>
          <w:rFonts w:ascii="Times New Roman" w:hAnsi="Times New Roman" w:cs="Times New Roman"/>
        </w:rPr>
        <w:t>, New WID: Support of intra-band non-collocated EN-DC/NR-CA deployment, KDDI</w:t>
      </w:r>
      <w:bookmarkEnd w:id="11"/>
      <w:bookmarkEnd w:id="12"/>
    </w:p>
    <w:sectPr w:rsidR="003D429A" w:rsidRPr="0077439B">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D7AF7"/>
    <w:rsid w:val="001F0C1D"/>
    <w:rsid w:val="001F1132"/>
    <w:rsid w:val="001F168B"/>
    <w:rsid w:val="002347A2"/>
    <w:rsid w:val="002675F0"/>
    <w:rsid w:val="00275905"/>
    <w:rsid w:val="002840A1"/>
    <w:rsid w:val="002B6339"/>
    <w:rsid w:val="002E00EE"/>
    <w:rsid w:val="003172DC"/>
    <w:rsid w:val="0033338C"/>
    <w:rsid w:val="00341E43"/>
    <w:rsid w:val="0035462D"/>
    <w:rsid w:val="003765B8"/>
    <w:rsid w:val="00384CDA"/>
    <w:rsid w:val="003A71A1"/>
    <w:rsid w:val="003C3971"/>
    <w:rsid w:val="003C58BF"/>
    <w:rsid w:val="003D429A"/>
    <w:rsid w:val="00423334"/>
    <w:rsid w:val="004272C3"/>
    <w:rsid w:val="004345EC"/>
    <w:rsid w:val="0044364B"/>
    <w:rsid w:val="00465515"/>
    <w:rsid w:val="004D3578"/>
    <w:rsid w:val="004E213A"/>
    <w:rsid w:val="004F0988"/>
    <w:rsid w:val="004F3340"/>
    <w:rsid w:val="0053388B"/>
    <w:rsid w:val="00535773"/>
    <w:rsid w:val="00543E6C"/>
    <w:rsid w:val="00546D44"/>
    <w:rsid w:val="00552132"/>
    <w:rsid w:val="0056254B"/>
    <w:rsid w:val="00565087"/>
    <w:rsid w:val="0057305F"/>
    <w:rsid w:val="00586E2E"/>
    <w:rsid w:val="00597B11"/>
    <w:rsid w:val="005D2E01"/>
    <w:rsid w:val="005D7526"/>
    <w:rsid w:val="005E4BB2"/>
    <w:rsid w:val="00602AEA"/>
    <w:rsid w:val="00614FDF"/>
    <w:rsid w:val="0063543D"/>
    <w:rsid w:val="0063585B"/>
    <w:rsid w:val="00647114"/>
    <w:rsid w:val="00666631"/>
    <w:rsid w:val="006705CE"/>
    <w:rsid w:val="006A323F"/>
    <w:rsid w:val="006A6F17"/>
    <w:rsid w:val="006B30D0"/>
    <w:rsid w:val="006C1584"/>
    <w:rsid w:val="006C3D95"/>
    <w:rsid w:val="006D15B3"/>
    <w:rsid w:val="006E05B4"/>
    <w:rsid w:val="006E5C86"/>
    <w:rsid w:val="006F61D7"/>
    <w:rsid w:val="00701116"/>
    <w:rsid w:val="00713C44"/>
    <w:rsid w:val="00734A5B"/>
    <w:rsid w:val="0074026F"/>
    <w:rsid w:val="007429F6"/>
    <w:rsid w:val="00743C79"/>
    <w:rsid w:val="00744E76"/>
    <w:rsid w:val="0077439B"/>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22A2"/>
    <w:rsid w:val="0091348E"/>
    <w:rsid w:val="00917CCB"/>
    <w:rsid w:val="00942EC2"/>
    <w:rsid w:val="00973023"/>
    <w:rsid w:val="00985F99"/>
    <w:rsid w:val="00996DF4"/>
    <w:rsid w:val="009C3E5A"/>
    <w:rsid w:val="009F37B7"/>
    <w:rsid w:val="00A10F02"/>
    <w:rsid w:val="00A164B4"/>
    <w:rsid w:val="00A26956"/>
    <w:rsid w:val="00A27486"/>
    <w:rsid w:val="00A53724"/>
    <w:rsid w:val="00A55A61"/>
    <w:rsid w:val="00A56066"/>
    <w:rsid w:val="00A73129"/>
    <w:rsid w:val="00A82346"/>
    <w:rsid w:val="00A92766"/>
    <w:rsid w:val="00A92BA1"/>
    <w:rsid w:val="00AC6BC6"/>
    <w:rsid w:val="00AE0994"/>
    <w:rsid w:val="00AE65E2"/>
    <w:rsid w:val="00B15449"/>
    <w:rsid w:val="00B66DD7"/>
    <w:rsid w:val="00B93086"/>
    <w:rsid w:val="00B93FB3"/>
    <w:rsid w:val="00BA19ED"/>
    <w:rsid w:val="00BA4B8D"/>
    <w:rsid w:val="00BB0130"/>
    <w:rsid w:val="00BC0F7D"/>
    <w:rsid w:val="00BD6649"/>
    <w:rsid w:val="00BD7D31"/>
    <w:rsid w:val="00BE3255"/>
    <w:rsid w:val="00BF128E"/>
    <w:rsid w:val="00C074DD"/>
    <w:rsid w:val="00C1496A"/>
    <w:rsid w:val="00C33079"/>
    <w:rsid w:val="00C41F2A"/>
    <w:rsid w:val="00C45231"/>
    <w:rsid w:val="00C60DB6"/>
    <w:rsid w:val="00C72833"/>
    <w:rsid w:val="00C80F1D"/>
    <w:rsid w:val="00C93F40"/>
    <w:rsid w:val="00CA3D0C"/>
    <w:rsid w:val="00CB0749"/>
    <w:rsid w:val="00CF2E21"/>
    <w:rsid w:val="00D12A57"/>
    <w:rsid w:val="00D43A26"/>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3484"/>
    <w:rsid w:val="00EA5EA7"/>
    <w:rsid w:val="00EC4A25"/>
    <w:rsid w:val="00F025A2"/>
    <w:rsid w:val="00F04712"/>
    <w:rsid w:val="00F13360"/>
    <w:rsid w:val="00F16163"/>
    <w:rsid w:val="00F22EC7"/>
    <w:rsid w:val="00F325C8"/>
    <w:rsid w:val="00F653B8"/>
    <w:rsid w:val="00F76708"/>
    <w:rsid w:val="00F9008D"/>
    <w:rsid w:val="00FA1266"/>
    <w:rsid w:val="00FC1192"/>
    <w:rsid w:val="00FF6B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rsid w:val="00A92766"/>
    <w:rPr>
      <w:rFonts w:ascii="Arial" w:hAnsi="Arial"/>
      <w:sz w:val="18"/>
      <w:lang w:eastAsia="en-US"/>
    </w:rPr>
  </w:style>
  <w:style w:type="character" w:customStyle="1" w:styleId="TAHCar">
    <w:name w:val="TAH Car"/>
    <w:link w:val="TAH"/>
    <w:qFormat/>
    <w:rsid w:val="00A92766"/>
    <w:rPr>
      <w:rFonts w:ascii="Arial" w:hAnsi="Arial"/>
      <w:b/>
      <w:sz w:val="18"/>
      <w:lang w:eastAsia="en-US"/>
    </w:rPr>
  </w:style>
  <w:style w:type="character" w:customStyle="1" w:styleId="THChar">
    <w:name w:val="TH Char"/>
    <w:link w:val="TH"/>
    <w:qFormat/>
    <w:rsid w:val="00A92766"/>
    <w:rPr>
      <w:rFonts w:ascii="Arial" w:hAnsi="Arial"/>
      <w:b/>
      <w:lang w:eastAsia="en-US"/>
    </w:rPr>
  </w:style>
  <w:style w:type="character" w:customStyle="1" w:styleId="TANChar">
    <w:name w:val="TAN Char"/>
    <w:link w:val="TAN"/>
    <w:qFormat/>
    <w:rsid w:val="00A92766"/>
    <w:rPr>
      <w:rFonts w:ascii="Arial" w:hAnsi="Arial"/>
      <w:sz w:val="18"/>
      <w:lang w:eastAsia="en-US"/>
    </w:rPr>
  </w:style>
  <w:style w:type="character" w:styleId="PlaceholderText">
    <w:name w:val="Placeholder Text"/>
    <w:basedOn w:val="DefaultParagraphFont"/>
    <w:uiPriority w:val="99"/>
    <w:semiHidden/>
    <w:rsid w:val="00EA348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49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35.vsd"/><Relationship Id="rId18" Type="http://schemas.openxmlformats.org/officeDocument/2006/relationships/image" Target="media/image4.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oleObject" Target="embeddings/Microsoft_Visio_2003-2010_Drawing139.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137.vsd"/><Relationship Id="rId25" Type="http://schemas.openxmlformats.org/officeDocument/2006/relationships/image" Target="media/image9.sv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Microsoft_Visio_2003-2010_Drawing136.vsd"/><Relationship Id="rId23" Type="http://schemas.openxmlformats.org/officeDocument/2006/relationships/image" Target="media/image7.sv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oleObject" Target="embeddings/Microsoft_Visio_2003-2010_Drawing138.vsd"/><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png"/><Relationship Id="rId27" Type="http://schemas.openxmlformats.org/officeDocument/2006/relationships/image" Target="media/image11.svg"/><Relationship Id="rId30" Type="http://schemas.openxmlformats.org/officeDocument/2006/relationships/image" Target="media/image1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BDE50-87FB-4C5C-BFDA-5ACF8D86A221}">
  <ds:schemaRefs>
    <ds:schemaRef ds:uri="http://schemas.microsoft.com/office/2006/metadata/properties"/>
    <ds:schemaRef ds:uri="9b239327-9e80-40e4-b1b7-4394fed77a33"/>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d8762117-8292-4133-b1c7-eab5c6487cfd"/>
    <ds:schemaRef ds:uri="2f282d3b-eb4a-4b09-b61f-b9593442e286"/>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D0B1A8DE-E4A4-4678-A598-B22B6F880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7E08F2-0660-4B29-AC8C-763F6B330859}">
  <ds:schemaRefs>
    <ds:schemaRef ds:uri="http://schemas.microsoft.com/sharepoint/v3/contenttype/forms"/>
  </ds:schemaRefs>
</ds:datastoreItem>
</file>

<file path=customXml/itemProps4.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4</Pages>
  <Words>1638</Words>
  <Characters>8674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15</cp:revision>
  <cp:lastPrinted>2022-08-09T11:50:00Z</cp:lastPrinted>
  <dcterms:created xsi:type="dcterms:W3CDTF">2022-06-22T11:31:00Z</dcterms:created>
  <dcterms:modified xsi:type="dcterms:W3CDTF">2022-08-10T11:39:00Z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