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7C872" w14:textId="33AD8695" w:rsidR="00E90E49" w:rsidRPr="00514447" w:rsidRDefault="00E90E49" w:rsidP="00E35559">
      <w:pPr>
        <w:pStyle w:val="3GPPHeader"/>
        <w:spacing w:after="60"/>
        <w:rPr>
          <w:sz w:val="32"/>
          <w:szCs w:val="32"/>
        </w:rPr>
      </w:pPr>
      <w:r w:rsidRPr="00514447">
        <w:t>3GPP TSG-RAN WG</w:t>
      </w:r>
      <w:r w:rsidR="008934E0" w:rsidRPr="00514447">
        <w:t>4</w:t>
      </w:r>
      <w:r w:rsidRPr="00514447">
        <w:t xml:space="preserve"> #</w:t>
      </w:r>
      <w:r w:rsidR="008934E0" w:rsidRPr="00514447">
        <w:t>104</w:t>
      </w:r>
      <w:r w:rsidR="00F06075" w:rsidRPr="00514447">
        <w:t>-e</w:t>
      </w:r>
      <w:r w:rsidRPr="00514447">
        <w:tab/>
      </w:r>
      <w:r w:rsidR="00DA603C" w:rsidRPr="00DA603C">
        <w:rPr>
          <w:sz w:val="32"/>
          <w:szCs w:val="32"/>
        </w:rPr>
        <w:t>R4-2212696</w:t>
      </w:r>
    </w:p>
    <w:p w14:paraId="705192E8" w14:textId="56CC253B" w:rsidR="00E90E49" w:rsidRPr="00F6302A" w:rsidRDefault="008934E0" w:rsidP="00311702">
      <w:pPr>
        <w:pStyle w:val="3GPPHeader"/>
      </w:pPr>
      <w:r w:rsidRPr="00514447">
        <w:t>Electronic meeting</w:t>
      </w:r>
      <w:r w:rsidR="0027144F" w:rsidRPr="00514447">
        <w:t xml:space="preserve">, </w:t>
      </w:r>
      <w:r w:rsidRPr="00514447">
        <w:t>15</w:t>
      </w:r>
      <w:r w:rsidR="0027144F" w:rsidRPr="00514447">
        <w:t xml:space="preserve">th – </w:t>
      </w:r>
      <w:r w:rsidRPr="00514447">
        <w:t>26</w:t>
      </w:r>
      <w:r w:rsidR="0027144F" w:rsidRPr="00514447">
        <w:t xml:space="preserve">th </w:t>
      </w:r>
      <w:r w:rsidRPr="00514447">
        <w:t>August</w:t>
      </w:r>
      <w:r w:rsidR="0027144F" w:rsidRPr="00514447">
        <w:t xml:space="preserve"> 20</w:t>
      </w:r>
      <w:r w:rsidRPr="00514447">
        <w:t>22</w:t>
      </w:r>
    </w:p>
    <w:p w14:paraId="651A4E40" w14:textId="77777777" w:rsidR="00E90E49" w:rsidRPr="00D66155" w:rsidRDefault="00E90E49" w:rsidP="00F64C2B">
      <w:pPr>
        <w:pStyle w:val="3GPPHeader"/>
        <w:rPr>
          <w:sz w:val="22"/>
        </w:rPr>
      </w:pPr>
      <w:r w:rsidRPr="00D66155">
        <w:rPr>
          <w:sz w:val="22"/>
        </w:rPr>
        <w:t xml:space="preserve">Source: </w:t>
      </w:r>
      <w:r w:rsidRPr="00D66155">
        <w:rPr>
          <w:sz w:val="22"/>
        </w:rPr>
        <w:tab/>
      </w:r>
      <w:r w:rsidR="00F64C2B" w:rsidRPr="00D66155">
        <w:rPr>
          <w:sz w:val="22"/>
        </w:rPr>
        <w:t>Ericsson</w:t>
      </w:r>
      <w:r w:rsidRPr="00D66155">
        <w:rPr>
          <w:sz w:val="22"/>
        </w:rPr>
        <w:t xml:space="preserve"> </w:t>
      </w:r>
    </w:p>
    <w:p w14:paraId="3D38CC1C" w14:textId="4B0E9B33" w:rsidR="00E90E49" w:rsidRPr="00D66155" w:rsidRDefault="00E90E49" w:rsidP="00311702">
      <w:pPr>
        <w:pStyle w:val="3GPPHeader"/>
        <w:rPr>
          <w:sz w:val="22"/>
        </w:rPr>
      </w:pPr>
      <w:r w:rsidRPr="00D66155">
        <w:rPr>
          <w:sz w:val="22"/>
        </w:rPr>
        <w:t xml:space="preserve">Title:  </w:t>
      </w:r>
      <w:r w:rsidRPr="00D66155">
        <w:rPr>
          <w:sz w:val="22"/>
        </w:rPr>
        <w:tab/>
      </w:r>
      <w:r w:rsidR="00F06075">
        <w:rPr>
          <w:sz w:val="22"/>
        </w:rPr>
        <w:t>Discussions on A2G RRM requirements</w:t>
      </w:r>
    </w:p>
    <w:p w14:paraId="46FB265D" w14:textId="73C484FC" w:rsidR="00DE761A" w:rsidRPr="00F9187E" w:rsidRDefault="00DE761A" w:rsidP="00DE761A">
      <w:pPr>
        <w:pStyle w:val="3GPPHeader"/>
        <w:rPr>
          <w:sz w:val="22"/>
          <w:lang w:val="en-US"/>
        </w:rPr>
      </w:pPr>
      <w:r w:rsidRPr="00F06075">
        <w:rPr>
          <w:sz w:val="22"/>
        </w:rPr>
        <w:t>Agenda Item:</w:t>
      </w:r>
      <w:r w:rsidRPr="00F06075">
        <w:rPr>
          <w:sz w:val="22"/>
        </w:rPr>
        <w:tab/>
      </w:r>
      <w:r w:rsidR="00F9187E">
        <w:rPr>
          <w:sz w:val="22"/>
          <w:lang w:val="en-US"/>
        </w:rPr>
        <w:t>11.12.4</w:t>
      </w:r>
    </w:p>
    <w:p w14:paraId="2BFB8F9C" w14:textId="0A64D311" w:rsidR="00E90E49" w:rsidRPr="00D66155" w:rsidRDefault="00E90E49" w:rsidP="00D546FF">
      <w:pPr>
        <w:pStyle w:val="3GPPHeader"/>
        <w:rPr>
          <w:sz w:val="22"/>
        </w:rPr>
      </w:pPr>
      <w:r w:rsidRPr="00F1793B">
        <w:rPr>
          <w:sz w:val="22"/>
        </w:rPr>
        <w:t>Document for:</w:t>
      </w:r>
      <w:r w:rsidRPr="00F1793B">
        <w:rPr>
          <w:sz w:val="22"/>
        </w:rPr>
        <w:tab/>
        <w:t>Discussion</w:t>
      </w:r>
    </w:p>
    <w:p w14:paraId="46417733" w14:textId="77777777" w:rsidR="00E90E49" w:rsidRPr="00F6302A" w:rsidRDefault="00E90E49" w:rsidP="00E90E49">
      <w:pPr>
        <w:pStyle w:val="Heading1"/>
        <w:rPr>
          <w:lang w:val="en-US"/>
        </w:rPr>
      </w:pPr>
      <w:r w:rsidRPr="00F6302A">
        <w:rPr>
          <w:lang w:val="en-US"/>
        </w:rPr>
        <w:t>Introduction</w:t>
      </w:r>
    </w:p>
    <w:p w14:paraId="5886AC2E" w14:textId="38157E03" w:rsidR="00477768" w:rsidRPr="007348C3" w:rsidRDefault="00256807" w:rsidP="0027144F">
      <w:pPr>
        <w:pStyle w:val="BodyText"/>
      </w:pPr>
      <w:r>
        <w:t xml:space="preserve">During RAN#95-e, a WI was agreed on Air to Ground related requirements for RAN4. Air to Ground refers to </w:t>
      </w:r>
      <w:r w:rsidR="00FD510C" w:rsidRPr="007348C3">
        <w:t>service of aircraft with data. The aircraft are served from ground based BS</w:t>
      </w:r>
      <w:r w:rsidR="002C5E7A" w:rsidRPr="007348C3">
        <w:t xml:space="preserve">. It is assumed that an external UE is mounted on the aircraft. The UE may have a larger amount of power and a larger antenna gain than terrestrial </w:t>
      </w:r>
      <w:proofErr w:type="spellStart"/>
      <w:r w:rsidR="002C5E7A" w:rsidRPr="007348C3">
        <w:t>UEs</w:t>
      </w:r>
      <w:proofErr w:type="spellEnd"/>
      <w:r w:rsidR="002C5E7A" w:rsidRPr="007348C3">
        <w:t>.</w:t>
      </w:r>
    </w:p>
    <w:p w14:paraId="4CD767A5" w14:textId="722BE360" w:rsidR="00091E10" w:rsidRPr="007348C3" w:rsidRDefault="00091E10" w:rsidP="004000E8">
      <w:pPr>
        <w:pStyle w:val="Heading1"/>
        <w:rPr>
          <w:lang w:val="en-US"/>
        </w:rPr>
      </w:pPr>
      <w:r w:rsidRPr="007348C3">
        <w:rPr>
          <w:lang w:val="en-US"/>
        </w:rPr>
        <w:t>General</w:t>
      </w:r>
    </w:p>
    <w:p w14:paraId="0660FC43" w14:textId="60D0CBC5" w:rsidR="00B54B19" w:rsidRDefault="00780AB6" w:rsidP="00B54B19">
      <w:pPr>
        <w:pStyle w:val="BodyText"/>
        <w:rPr>
          <w:lang w:val="en-GB"/>
        </w:rPr>
      </w:pPr>
      <w:r w:rsidRPr="007348C3">
        <w:t xml:space="preserve">As explained in the WI, </w:t>
      </w:r>
      <w:r w:rsidR="00B54B19" w:rsidRPr="007348C3">
        <w:rPr>
          <w:rFonts w:hint="eastAsia"/>
          <w:lang w:val="en-GB"/>
        </w:rPr>
        <w:t xml:space="preserve">ATG network is basically utilizing the existing mature terrestrial techniques to build one stereoscopic network to provide high quality service for the airplane user. ATG BS is much more powerful than the legacy terrestrial BS since its coverage range could increase up to </w:t>
      </w:r>
      <w:r w:rsidR="00B54B19" w:rsidRPr="007348C3">
        <w:rPr>
          <w:lang w:val="en-GB"/>
        </w:rPr>
        <w:t>2</w:t>
      </w:r>
      <w:r w:rsidR="00B54B19" w:rsidRPr="007348C3">
        <w:rPr>
          <w:rFonts w:hint="eastAsia"/>
          <w:lang w:val="en-GB"/>
        </w:rPr>
        <w:t>00km shown in Figure 1 compared with cell coverage</w:t>
      </w:r>
      <w:r w:rsidR="00B54B19" w:rsidRPr="00BC0C63">
        <w:rPr>
          <w:rFonts w:hint="eastAsia"/>
          <w:lang w:val="en-GB"/>
        </w:rPr>
        <w:t xml:space="preserve"> up to </w:t>
      </w:r>
      <w:r w:rsidR="00B54B19" w:rsidRPr="00BC0C63">
        <w:rPr>
          <w:lang w:val="en-GB"/>
        </w:rPr>
        <w:t xml:space="preserve">hundreds of </w:t>
      </w:r>
      <w:r w:rsidR="00B54B19" w:rsidRPr="00BC0C63">
        <w:rPr>
          <w:rFonts w:hint="eastAsia"/>
          <w:lang w:val="en-GB"/>
        </w:rPr>
        <w:t>meters of the legacy terrestrial BS</w:t>
      </w:r>
      <w:r w:rsidR="00A745AC">
        <w:rPr>
          <w:lang w:val="en-GB"/>
        </w:rPr>
        <w:fldChar w:fldCharType="begin"/>
      </w:r>
      <w:r w:rsidR="00A745AC">
        <w:rPr>
          <w:lang w:val="en-GB"/>
        </w:rPr>
        <w:instrText xml:space="preserve"> </w:instrText>
      </w:r>
      <w:r w:rsidR="00A745AC">
        <w:rPr>
          <w:rFonts w:hint="eastAsia"/>
          <w:lang w:val="en-GB"/>
        </w:rPr>
        <w:instrText>REF _Ref110778841 \n \h</w:instrText>
      </w:r>
      <w:r w:rsidR="00A745AC">
        <w:rPr>
          <w:lang w:val="en-GB"/>
        </w:rPr>
        <w:instrText xml:space="preserve"> </w:instrText>
      </w:r>
      <w:r w:rsidR="00A745AC">
        <w:rPr>
          <w:lang w:val="en-GB"/>
        </w:rPr>
      </w:r>
      <w:r w:rsidR="00A745AC">
        <w:rPr>
          <w:lang w:val="en-GB"/>
        </w:rPr>
        <w:fldChar w:fldCharType="separate"/>
      </w:r>
      <w:r w:rsidR="003A196B">
        <w:rPr>
          <w:lang w:val="en-GB"/>
        </w:rPr>
        <w:t>[1]</w:t>
      </w:r>
      <w:r w:rsidR="00A745AC">
        <w:rPr>
          <w:lang w:val="en-GB"/>
        </w:rPr>
        <w:fldChar w:fldCharType="end"/>
      </w:r>
      <w:r w:rsidR="00B54B19" w:rsidRPr="00BC0C63">
        <w:rPr>
          <w:rFonts w:hint="eastAsia"/>
          <w:lang w:val="en-GB"/>
        </w:rPr>
        <w:t>. In addition, ATG BS could also support the mobility of airplane up to 1200km/h which is much faster th</w:t>
      </w:r>
      <w:r w:rsidR="00B54B19">
        <w:rPr>
          <w:lang w:val="en-GB"/>
        </w:rPr>
        <w:t>a</w:t>
      </w:r>
      <w:r w:rsidR="00B54B19" w:rsidRPr="00BC0C63">
        <w:rPr>
          <w:rFonts w:hint="eastAsia"/>
          <w:lang w:val="en-GB"/>
        </w:rPr>
        <w:t xml:space="preserve">n </w:t>
      </w:r>
      <w:r w:rsidR="00B54B19">
        <w:rPr>
          <w:lang w:val="en-GB"/>
        </w:rPr>
        <w:t>high speed train (</w:t>
      </w:r>
      <w:r w:rsidR="00B54B19" w:rsidRPr="00BC0C63">
        <w:rPr>
          <w:rFonts w:hint="eastAsia"/>
          <w:lang w:val="en-GB"/>
        </w:rPr>
        <w:t>HST</w:t>
      </w:r>
      <w:r w:rsidR="00B54B19">
        <w:rPr>
          <w:lang w:val="en-GB"/>
        </w:rPr>
        <w:t>)</w:t>
      </w:r>
      <w:r w:rsidR="00B54B19" w:rsidRPr="00BC0C63">
        <w:rPr>
          <w:rFonts w:hint="eastAsia"/>
          <w:lang w:val="en-GB"/>
        </w:rPr>
        <w:t xml:space="preserve">. </w:t>
      </w:r>
    </w:p>
    <w:p w14:paraId="60EA23ED" w14:textId="4A5679B7" w:rsidR="00A745AC" w:rsidRPr="009D7F7F" w:rsidRDefault="00A745AC" w:rsidP="00C359BB">
      <w:pPr>
        <w:pStyle w:val="Caption"/>
        <w:jc w:val="left"/>
        <w:rPr>
          <w:lang w:val="en-GB"/>
        </w:rPr>
      </w:pPr>
      <w:bookmarkStart w:id="0" w:name="_Ref110780558"/>
      <w:r w:rsidRPr="00530F92">
        <w:t xml:space="preserve">Observation </w:t>
      </w:r>
      <w:r w:rsidRPr="00530F92">
        <w:fldChar w:fldCharType="begin"/>
      </w:r>
      <w:r w:rsidRPr="00AD51CC">
        <w:instrText xml:space="preserve"> SEQ Observation \* ARABIC </w:instrText>
      </w:r>
      <w:r w:rsidRPr="00530F92">
        <w:fldChar w:fldCharType="separate"/>
      </w:r>
      <w:r w:rsidR="003A196B" w:rsidRPr="00C359BB">
        <w:rPr>
          <w:noProof/>
        </w:rPr>
        <w:t>1</w:t>
      </w:r>
      <w:r w:rsidRPr="00530F92">
        <w:fldChar w:fldCharType="end"/>
      </w:r>
      <w:r w:rsidRPr="009D7F7F">
        <w:t xml:space="preserve">: </w:t>
      </w:r>
      <w:r w:rsidR="00B546C3" w:rsidRPr="009D7F7F">
        <w:t xml:space="preserve">ISD </w:t>
      </w:r>
      <w:r w:rsidR="00A522E4" w:rsidRPr="009D7F7F">
        <w:t xml:space="preserve">can be </w:t>
      </w:r>
      <w:r w:rsidR="004A042F" w:rsidRPr="00C359BB">
        <w:t>2</w:t>
      </w:r>
      <w:r w:rsidR="00B546C3" w:rsidRPr="00530F92">
        <w:t>00km</w:t>
      </w:r>
      <w:r w:rsidR="004A042F" w:rsidRPr="00C359BB">
        <w:t>, and even up to 300km</w:t>
      </w:r>
      <w:r w:rsidR="00B546C3" w:rsidRPr="00530F92">
        <w:t xml:space="preserve"> for ATG </w:t>
      </w:r>
      <w:r w:rsidR="00A522E4" w:rsidRPr="00530F92">
        <w:t>network</w:t>
      </w:r>
      <w:r w:rsidR="00B546C3" w:rsidRPr="009D7F7F">
        <w:t>.</w:t>
      </w:r>
      <w:bookmarkEnd w:id="0"/>
    </w:p>
    <w:p w14:paraId="51BA5787" w14:textId="77777777" w:rsidR="00B54B19" w:rsidRDefault="00B54B19" w:rsidP="00B54B19">
      <w:pPr>
        <w:pStyle w:val="BodyText"/>
        <w:jc w:val="center"/>
        <w:rPr>
          <w:lang w:val="en-GB"/>
        </w:rPr>
      </w:pPr>
      <w:r>
        <w:rPr>
          <w:noProof/>
          <w:lang w:val="en-GB"/>
        </w:rPr>
        <w:drawing>
          <wp:inline distT="0" distB="0" distL="0" distR="0" wp14:anchorId="532F9B85" wp14:editId="646E29A9">
            <wp:extent cx="4162348" cy="2106694"/>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BEBA8EAE-BF5A-486C-A8C5-ECC9F3942E4B}">
                          <a14:imgProps xmlns:a14="http://schemas.microsoft.com/office/drawing/2010/main">
                            <a14:imgLayer r:embed="rId13">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4170043" cy="2110589"/>
                    </a:xfrm>
                    <a:prstGeom prst="rect">
                      <a:avLst/>
                    </a:prstGeom>
                    <a:noFill/>
                  </pic:spPr>
                </pic:pic>
              </a:graphicData>
            </a:graphic>
          </wp:inline>
        </w:drawing>
      </w:r>
    </w:p>
    <w:p w14:paraId="74BCB0EE" w14:textId="714907B4" w:rsidR="00B54B19" w:rsidRPr="00A3615B" w:rsidRDefault="00B54B19" w:rsidP="00C359BB">
      <w:pPr>
        <w:pStyle w:val="Caption"/>
        <w:rPr>
          <w:b w:val="0"/>
          <w:bCs w:val="0"/>
          <w:lang w:val="en-GB"/>
        </w:rPr>
      </w:pPr>
      <w:r w:rsidRPr="00A3615B">
        <w:rPr>
          <w:b w:val="0"/>
          <w:bCs w:val="0"/>
        </w:rPr>
        <w:t xml:space="preserve">Figure </w:t>
      </w:r>
      <w:r w:rsidRPr="00A3615B">
        <w:rPr>
          <w:b w:val="0"/>
          <w:bCs w:val="0"/>
        </w:rPr>
        <w:fldChar w:fldCharType="begin"/>
      </w:r>
      <w:r w:rsidRPr="00A3615B">
        <w:rPr>
          <w:b w:val="0"/>
          <w:bCs w:val="0"/>
        </w:rPr>
        <w:instrText xml:space="preserve"> SEQ Figure \* ARABIC </w:instrText>
      </w:r>
      <w:r w:rsidRPr="00A3615B">
        <w:rPr>
          <w:b w:val="0"/>
          <w:bCs w:val="0"/>
        </w:rPr>
        <w:fldChar w:fldCharType="separate"/>
      </w:r>
      <w:r w:rsidR="003A196B">
        <w:rPr>
          <w:b w:val="0"/>
          <w:bCs w:val="0"/>
          <w:noProof/>
        </w:rPr>
        <w:t>1</w:t>
      </w:r>
      <w:r w:rsidRPr="00A3615B">
        <w:rPr>
          <w:b w:val="0"/>
          <w:bCs w:val="0"/>
        </w:rPr>
        <w:fldChar w:fldCharType="end"/>
      </w:r>
      <w:r w:rsidRPr="00A3615B">
        <w:rPr>
          <w:b w:val="0"/>
          <w:bCs w:val="0"/>
        </w:rPr>
        <w:t>. ATG communication</w:t>
      </w:r>
      <w:r>
        <w:rPr>
          <w:b w:val="0"/>
          <w:bCs w:val="0"/>
        </w:rPr>
        <w:t xml:space="preserve"> </w:t>
      </w:r>
      <w:r w:rsidRPr="00A3615B">
        <w:rPr>
          <w:b w:val="0"/>
          <w:bCs w:val="0"/>
        </w:rPr>
        <w:t>system</w:t>
      </w:r>
    </w:p>
    <w:p w14:paraId="05DC80F7" w14:textId="0734CD8B" w:rsidR="00B54B19" w:rsidRPr="00BC0C63" w:rsidRDefault="00B54B19" w:rsidP="00B54B19">
      <w:pPr>
        <w:pStyle w:val="BodyText"/>
        <w:rPr>
          <w:lang w:val="en-GB"/>
        </w:rPr>
      </w:pPr>
      <w:r w:rsidRPr="00BC0C63">
        <w:rPr>
          <w:lang w:val="en-GB"/>
        </w:rPr>
        <w:t xml:space="preserve">Different with </w:t>
      </w:r>
      <w:r w:rsidRPr="00BC0C63">
        <w:rPr>
          <w:rFonts w:hint="eastAsia"/>
          <w:lang w:val="en-GB"/>
        </w:rPr>
        <w:t>satellite system</w:t>
      </w:r>
      <w:r w:rsidRPr="00BC0C63">
        <w:rPr>
          <w:lang w:val="en-GB"/>
        </w:rPr>
        <w:t xml:space="preserve"> which </w:t>
      </w:r>
      <w:r w:rsidRPr="00BC0C63">
        <w:rPr>
          <w:rFonts w:hint="eastAsia"/>
          <w:lang w:val="en-GB"/>
        </w:rPr>
        <w:t>occupy the dedicated channel to provide the service, ATG system could be deployed co-channel with terrestrial network which could better utilize the existing spectrum holding in hand.</w:t>
      </w:r>
      <w:r w:rsidR="00301B90">
        <w:rPr>
          <w:lang w:val="en-GB"/>
        </w:rPr>
        <w:t xml:space="preserve"> </w:t>
      </w:r>
    </w:p>
    <w:p w14:paraId="774C49C9" w14:textId="2E341B8B" w:rsidR="00B54B19" w:rsidRDefault="00301B90" w:rsidP="00B54B19">
      <w:pPr>
        <w:pStyle w:val="BodyText"/>
        <w:rPr>
          <w:lang w:val="en-GB"/>
        </w:rPr>
      </w:pPr>
      <w:r>
        <w:lastRenderedPageBreak/>
        <w:t xml:space="preserve">In Rel-17, </w:t>
      </w:r>
      <w:r w:rsidR="00280D89">
        <w:t>non-terrestrial network (NTN) is introduced. The s</w:t>
      </w:r>
      <w:r>
        <w:t>atellite link focus</w:t>
      </w:r>
      <w:r w:rsidR="00991BAD">
        <w:t>es</w:t>
      </w:r>
      <w:r>
        <w:t xml:space="preserve"> on providing everywhere connectivity (e.g., cross the sea), while ATG link focus on providing high-quality data services for all service available areas (e.g., inland and coastline area). </w:t>
      </w:r>
      <w:r w:rsidR="00B54B19" w:rsidRPr="00BC0C63">
        <w:rPr>
          <w:rFonts w:hint="eastAsia"/>
          <w:lang w:val="en-GB"/>
        </w:rPr>
        <w:t xml:space="preserve">In addition, ATG system could provide much </w:t>
      </w:r>
      <w:r w:rsidR="00B54B19">
        <w:rPr>
          <w:lang w:val="en-GB"/>
        </w:rPr>
        <w:t>high</w:t>
      </w:r>
      <w:r w:rsidR="00B54B19" w:rsidRPr="00BC0C63">
        <w:rPr>
          <w:rFonts w:hint="eastAsia"/>
          <w:lang w:val="en-GB"/>
        </w:rPr>
        <w:t>er data rate than satellite system due to its closer distance between BS and UE. In addition, high gain of antenna array equipped on airplane is also part of the reason to achieve better performance</w:t>
      </w:r>
      <w:r w:rsidR="00B54B19">
        <w:rPr>
          <w:lang w:val="en-GB"/>
        </w:rPr>
        <w:t>.</w:t>
      </w:r>
    </w:p>
    <w:p w14:paraId="0C1C4119" w14:textId="5ED30983" w:rsidR="00A77836" w:rsidRPr="00C359BB" w:rsidRDefault="00A77836" w:rsidP="00B54B19">
      <w:pPr>
        <w:pStyle w:val="BodyText"/>
        <w:rPr>
          <w:b/>
          <w:bCs/>
          <w:lang w:val="en-GB"/>
        </w:rPr>
      </w:pPr>
      <w:bookmarkStart w:id="1" w:name="_Ref110780562"/>
      <w:r w:rsidRPr="00C359BB">
        <w:rPr>
          <w:b/>
          <w:bCs/>
        </w:rPr>
        <w:t xml:space="preserve">Observation </w:t>
      </w:r>
      <w:r w:rsidRPr="00C359BB">
        <w:rPr>
          <w:b/>
          <w:bCs/>
        </w:rPr>
        <w:fldChar w:fldCharType="begin"/>
      </w:r>
      <w:r w:rsidRPr="00C359BB">
        <w:rPr>
          <w:b/>
          <w:bCs/>
        </w:rPr>
        <w:instrText xml:space="preserve"> SEQ Observation \* ARABIC </w:instrText>
      </w:r>
      <w:r w:rsidRPr="00C359BB">
        <w:rPr>
          <w:b/>
          <w:bCs/>
        </w:rPr>
        <w:fldChar w:fldCharType="separate"/>
      </w:r>
      <w:r w:rsidR="003A196B" w:rsidRPr="00C359BB">
        <w:rPr>
          <w:b/>
          <w:bCs/>
          <w:noProof/>
        </w:rPr>
        <w:t>2</w:t>
      </w:r>
      <w:r w:rsidRPr="00C359BB">
        <w:rPr>
          <w:b/>
          <w:bCs/>
        </w:rPr>
        <w:fldChar w:fldCharType="end"/>
      </w:r>
      <w:r w:rsidRPr="00C359BB">
        <w:rPr>
          <w:b/>
          <w:bCs/>
        </w:rPr>
        <w:t xml:space="preserve">: Compared to NTN system, ATG system can provide </w:t>
      </w:r>
      <w:r w:rsidRPr="00C359BB">
        <w:rPr>
          <w:b/>
          <w:bCs/>
          <w:lang w:val="en-GB"/>
        </w:rPr>
        <w:t xml:space="preserve">higher data rate due to the distance between BS and UE </w:t>
      </w:r>
      <w:r w:rsidR="00FB5E9C" w:rsidRPr="00C359BB">
        <w:rPr>
          <w:b/>
          <w:bCs/>
          <w:lang w:val="en-GB"/>
        </w:rPr>
        <w:t>only 10km.</w:t>
      </w:r>
      <w:bookmarkEnd w:id="1"/>
      <w:r w:rsidRPr="00C359BB">
        <w:rPr>
          <w:b/>
          <w:bCs/>
          <w:lang w:val="en-GB"/>
        </w:rPr>
        <w:t xml:space="preserve"> </w:t>
      </w:r>
    </w:p>
    <w:p w14:paraId="41883395" w14:textId="73924113" w:rsidR="004000E8" w:rsidRDefault="005C74A5" w:rsidP="004000E8">
      <w:pPr>
        <w:pStyle w:val="Heading1"/>
        <w:rPr>
          <w:lang w:val="en-US"/>
        </w:rPr>
      </w:pPr>
      <w:r>
        <w:rPr>
          <w:lang w:val="en-US"/>
        </w:rPr>
        <w:t>Discussions on RRM impact</w:t>
      </w:r>
    </w:p>
    <w:tbl>
      <w:tblPr>
        <w:tblStyle w:val="TableGrid"/>
        <w:tblW w:w="0" w:type="auto"/>
        <w:tblLook w:val="04A0" w:firstRow="1" w:lastRow="0" w:firstColumn="1" w:lastColumn="0" w:noHBand="0" w:noVBand="1"/>
      </w:tblPr>
      <w:tblGrid>
        <w:gridCol w:w="1792"/>
        <w:gridCol w:w="1875"/>
        <w:gridCol w:w="5962"/>
      </w:tblGrid>
      <w:tr w:rsidR="00110706" w14:paraId="51F131D7" w14:textId="77777777" w:rsidTr="00D43CB8">
        <w:tc>
          <w:tcPr>
            <w:tcW w:w="0" w:type="auto"/>
          </w:tcPr>
          <w:p w14:paraId="48295DA7" w14:textId="77777777" w:rsidR="00E66903" w:rsidRPr="00E84319" w:rsidRDefault="00E66903" w:rsidP="00D43CB8">
            <w:pPr>
              <w:rPr>
                <w:b/>
                <w:bCs/>
                <w:color w:val="000000" w:themeColor="text1"/>
                <w:u w:val="single"/>
              </w:rPr>
            </w:pPr>
            <w:r>
              <w:rPr>
                <w:b/>
                <w:bCs/>
                <w:color w:val="000000" w:themeColor="text1"/>
                <w:u w:val="single"/>
              </w:rPr>
              <w:t>RRC mode</w:t>
            </w:r>
          </w:p>
        </w:tc>
        <w:tc>
          <w:tcPr>
            <w:tcW w:w="0" w:type="auto"/>
          </w:tcPr>
          <w:p w14:paraId="75FA9D4A" w14:textId="77777777" w:rsidR="00E66903" w:rsidRPr="00E84319" w:rsidRDefault="00E66903" w:rsidP="00D43CB8">
            <w:pPr>
              <w:rPr>
                <w:b/>
                <w:bCs/>
                <w:color w:val="000000" w:themeColor="text1"/>
                <w:u w:val="single"/>
              </w:rPr>
            </w:pPr>
            <w:r w:rsidRPr="00E84319">
              <w:rPr>
                <w:b/>
                <w:bCs/>
                <w:color w:val="000000" w:themeColor="text1"/>
                <w:u w:val="single"/>
              </w:rPr>
              <w:t>Type of requirements</w:t>
            </w:r>
          </w:p>
        </w:tc>
        <w:tc>
          <w:tcPr>
            <w:tcW w:w="0" w:type="auto"/>
          </w:tcPr>
          <w:p w14:paraId="2A7126FB" w14:textId="77777777" w:rsidR="00E66903" w:rsidRPr="00E84319" w:rsidRDefault="00E66903" w:rsidP="00D43CB8">
            <w:pPr>
              <w:rPr>
                <w:b/>
                <w:bCs/>
                <w:color w:val="000000" w:themeColor="text1"/>
                <w:u w:val="single"/>
              </w:rPr>
            </w:pPr>
            <w:r w:rsidRPr="00E84319">
              <w:rPr>
                <w:b/>
                <w:bCs/>
                <w:color w:val="000000" w:themeColor="text1"/>
                <w:u w:val="single"/>
              </w:rPr>
              <w:t>Impact</w:t>
            </w:r>
          </w:p>
        </w:tc>
      </w:tr>
      <w:tr w:rsidR="00110706" w:rsidRPr="008E1550" w14:paraId="723A5B82" w14:textId="77777777" w:rsidTr="00D43CB8">
        <w:tc>
          <w:tcPr>
            <w:tcW w:w="0" w:type="auto"/>
          </w:tcPr>
          <w:p w14:paraId="2D11E9F6" w14:textId="77777777" w:rsidR="00E66903" w:rsidRDefault="00E66903" w:rsidP="00D43CB8">
            <w:pPr>
              <w:rPr>
                <w:color w:val="000000" w:themeColor="text1"/>
              </w:rPr>
            </w:pPr>
            <w:r>
              <w:rPr>
                <w:color w:val="000000" w:themeColor="text1"/>
              </w:rPr>
              <w:t>General</w:t>
            </w:r>
          </w:p>
        </w:tc>
        <w:tc>
          <w:tcPr>
            <w:tcW w:w="0" w:type="auto"/>
          </w:tcPr>
          <w:p w14:paraId="23494894" w14:textId="77777777" w:rsidR="00E66903" w:rsidRDefault="00E66903" w:rsidP="00D43CB8">
            <w:pPr>
              <w:rPr>
                <w:color w:val="000000" w:themeColor="text1"/>
              </w:rPr>
            </w:pPr>
            <w:r>
              <w:rPr>
                <w:color w:val="000000" w:themeColor="text1"/>
              </w:rPr>
              <w:t>Band groups and terminologies</w:t>
            </w:r>
          </w:p>
        </w:tc>
        <w:tc>
          <w:tcPr>
            <w:tcW w:w="0" w:type="auto"/>
          </w:tcPr>
          <w:p w14:paraId="4D7210CF" w14:textId="4E0366D4" w:rsidR="00E66903" w:rsidRDefault="00E66903" w:rsidP="00D43CB8">
            <w:pPr>
              <w:rPr>
                <w:color w:val="000000" w:themeColor="text1"/>
              </w:rPr>
            </w:pPr>
            <w:r>
              <w:rPr>
                <w:color w:val="000000" w:themeColor="text1"/>
              </w:rPr>
              <w:t xml:space="preserve">The band groups need to be updated to include the new bands for </w:t>
            </w:r>
            <w:r w:rsidR="00DA09BD">
              <w:rPr>
                <w:color w:val="000000" w:themeColor="text1"/>
              </w:rPr>
              <w:t>A2G operation</w:t>
            </w:r>
            <w:r w:rsidR="00DF4180">
              <w:rPr>
                <w:color w:val="000000" w:themeColor="text1"/>
              </w:rPr>
              <w:t xml:space="preserve"> </w:t>
            </w:r>
            <w:r>
              <w:rPr>
                <w:color w:val="000000" w:themeColor="text1"/>
              </w:rPr>
              <w:t xml:space="preserve">and </w:t>
            </w:r>
            <w:r w:rsidR="00DF4180">
              <w:rPr>
                <w:color w:val="000000" w:themeColor="text1"/>
              </w:rPr>
              <w:t>A2G</w:t>
            </w:r>
            <w:r>
              <w:rPr>
                <w:color w:val="000000" w:themeColor="text1"/>
              </w:rPr>
              <w:t xml:space="preserve"> related terminologies need to be introduced. </w:t>
            </w:r>
          </w:p>
          <w:p w14:paraId="2BFBB423" w14:textId="77777777" w:rsidR="00E66903" w:rsidRDefault="00E66903" w:rsidP="00D43CB8">
            <w:pPr>
              <w:rPr>
                <w:color w:val="000000" w:themeColor="text1"/>
              </w:rPr>
            </w:pPr>
          </w:p>
        </w:tc>
      </w:tr>
      <w:tr w:rsidR="00110706" w:rsidRPr="008E1550" w14:paraId="16A7E548" w14:textId="77777777" w:rsidTr="00D43CB8">
        <w:tc>
          <w:tcPr>
            <w:tcW w:w="0" w:type="auto"/>
            <w:vMerge w:val="restart"/>
          </w:tcPr>
          <w:p w14:paraId="3664655E" w14:textId="0B6C0837" w:rsidR="00E66903" w:rsidRPr="00093C37" w:rsidRDefault="00E66903" w:rsidP="00D43CB8">
            <w:pPr>
              <w:rPr>
                <w:color w:val="000000" w:themeColor="text1"/>
              </w:rPr>
            </w:pPr>
            <w:r w:rsidRPr="00093C37">
              <w:rPr>
                <w:color w:val="000000" w:themeColor="text1"/>
              </w:rPr>
              <w:t>IDLE</w:t>
            </w:r>
            <w:r w:rsidR="00083B7F">
              <w:rPr>
                <w:color w:val="000000" w:themeColor="text1"/>
              </w:rPr>
              <w:t>/INACTIVE</w:t>
            </w:r>
          </w:p>
        </w:tc>
        <w:tc>
          <w:tcPr>
            <w:tcW w:w="0" w:type="auto"/>
          </w:tcPr>
          <w:p w14:paraId="449196DF" w14:textId="77777777" w:rsidR="00E66903" w:rsidRPr="00093C37" w:rsidRDefault="00E66903" w:rsidP="00D43CB8">
            <w:pPr>
              <w:rPr>
                <w:color w:val="000000" w:themeColor="text1"/>
              </w:rPr>
            </w:pPr>
            <w:r w:rsidRPr="00093C37">
              <w:rPr>
                <w:color w:val="000000" w:themeColor="text1"/>
              </w:rPr>
              <w:t>Serving cell evaluation</w:t>
            </w:r>
          </w:p>
        </w:tc>
        <w:tc>
          <w:tcPr>
            <w:tcW w:w="0" w:type="auto"/>
          </w:tcPr>
          <w:p w14:paraId="2055CD0B" w14:textId="00B378BA" w:rsidR="00E66903" w:rsidRPr="00093C37" w:rsidRDefault="00D53423" w:rsidP="00D43CB8">
            <w:pPr>
              <w:rPr>
                <w:color w:val="000000" w:themeColor="text1"/>
              </w:rPr>
            </w:pPr>
            <w:r w:rsidRPr="004821AF">
              <w:rPr>
                <w:color w:val="000000" w:themeColor="text1"/>
              </w:rPr>
              <w:t>RAN4 sho</w:t>
            </w:r>
            <w:r w:rsidR="00E86D6C" w:rsidRPr="004821AF">
              <w:rPr>
                <w:color w:val="000000" w:themeColor="text1"/>
              </w:rPr>
              <w:t xml:space="preserve">uld assess if the </w:t>
            </w:r>
            <w:r w:rsidR="000C559D" w:rsidRPr="004821AF">
              <w:rPr>
                <w:color w:val="000000" w:themeColor="text1"/>
              </w:rPr>
              <w:t xml:space="preserve">principle of current </w:t>
            </w:r>
            <w:r w:rsidR="00F31409" w:rsidRPr="004821AF">
              <w:rPr>
                <w:color w:val="000000" w:themeColor="text1"/>
              </w:rPr>
              <w:t>serving cell evaluation requirements defined HST can be reused.</w:t>
            </w:r>
          </w:p>
        </w:tc>
      </w:tr>
      <w:tr w:rsidR="00110706" w:rsidRPr="008E1550" w14:paraId="0858FC1B" w14:textId="77777777" w:rsidTr="00D43CB8">
        <w:tc>
          <w:tcPr>
            <w:tcW w:w="0" w:type="auto"/>
            <w:vMerge/>
          </w:tcPr>
          <w:p w14:paraId="4213BD2B" w14:textId="77777777" w:rsidR="00E66903" w:rsidRPr="00093C37" w:rsidRDefault="00E66903" w:rsidP="00D43CB8">
            <w:pPr>
              <w:rPr>
                <w:color w:val="000000" w:themeColor="text1"/>
              </w:rPr>
            </w:pPr>
          </w:p>
        </w:tc>
        <w:tc>
          <w:tcPr>
            <w:tcW w:w="0" w:type="auto"/>
          </w:tcPr>
          <w:p w14:paraId="0A4CF570" w14:textId="77777777" w:rsidR="00E66903" w:rsidRPr="00093C37" w:rsidRDefault="00E66903" w:rsidP="00D43CB8">
            <w:pPr>
              <w:rPr>
                <w:color w:val="000000" w:themeColor="text1"/>
              </w:rPr>
            </w:pPr>
            <w:r w:rsidRPr="00093C37">
              <w:rPr>
                <w:color w:val="000000" w:themeColor="text1"/>
              </w:rPr>
              <w:t>Neighbour cell measurements</w:t>
            </w:r>
          </w:p>
        </w:tc>
        <w:tc>
          <w:tcPr>
            <w:tcW w:w="0" w:type="auto"/>
          </w:tcPr>
          <w:p w14:paraId="457082DC" w14:textId="452EED52" w:rsidR="00E66903" w:rsidRPr="00833744" w:rsidRDefault="0017164F" w:rsidP="00833744">
            <w:pPr>
              <w:tabs>
                <w:tab w:val="num" w:pos="720"/>
              </w:tabs>
            </w:pPr>
            <w:r w:rsidRPr="004821AF">
              <w:t>In A2G scenario due to very large cell siz</w:t>
            </w:r>
            <w:r w:rsidR="00A76ABE" w:rsidRPr="004821AF">
              <w:t xml:space="preserve">e </w:t>
            </w:r>
            <w:r w:rsidR="00D60697" w:rsidRPr="004821AF">
              <w:t xml:space="preserve">the UE is expected to </w:t>
            </w:r>
            <w:r w:rsidR="004F5C34" w:rsidRPr="004821AF">
              <w:t xml:space="preserve">perform cell selection or handover </w:t>
            </w:r>
            <w:r w:rsidR="00341014" w:rsidRPr="004821AF">
              <w:t xml:space="preserve">after several minutes. Furthermore, the flight path is planned and deterministic. Therefore, </w:t>
            </w:r>
            <w:r w:rsidR="00BF5535" w:rsidRPr="004821AF">
              <w:t xml:space="preserve">to reduce UE processing </w:t>
            </w:r>
            <w:r w:rsidR="008C3F6A" w:rsidRPr="004821AF">
              <w:t>and complexity,</w:t>
            </w:r>
            <w:r w:rsidR="00341014" w:rsidRPr="004821AF">
              <w:t xml:space="preserve"> the UE should not be required to perform </w:t>
            </w:r>
            <w:proofErr w:type="spellStart"/>
            <w:r w:rsidR="00341014" w:rsidRPr="004821AF">
              <w:t>neighbor</w:t>
            </w:r>
            <w:proofErr w:type="spellEnd"/>
            <w:r w:rsidR="00341014" w:rsidRPr="004821AF">
              <w:t xml:space="preserve"> cell measurement or can relax the </w:t>
            </w:r>
            <w:proofErr w:type="spellStart"/>
            <w:r w:rsidR="00341014" w:rsidRPr="004821AF">
              <w:t>neighbor</w:t>
            </w:r>
            <w:proofErr w:type="spellEnd"/>
            <w:r w:rsidR="00341014" w:rsidRPr="004821AF">
              <w:t xml:space="preserve"> cell measurements </w:t>
            </w:r>
            <w:r w:rsidR="000D32DC" w:rsidRPr="004821AF">
              <w:t xml:space="preserve">while well inside the serving cell. On the other </w:t>
            </w:r>
            <w:proofErr w:type="gramStart"/>
            <w:r w:rsidR="000D32DC" w:rsidRPr="004821AF">
              <w:t>hand</w:t>
            </w:r>
            <w:proofErr w:type="gramEnd"/>
            <w:r w:rsidR="000D32DC" w:rsidRPr="004821AF">
              <w:t xml:space="preserve"> if there is any </w:t>
            </w:r>
            <w:r w:rsidR="00410302" w:rsidRPr="004821AF">
              <w:t xml:space="preserve">unpredictable </w:t>
            </w:r>
            <w:r w:rsidR="00960929" w:rsidRPr="004821AF">
              <w:t xml:space="preserve">change in flight path </w:t>
            </w:r>
            <w:r w:rsidR="003B0FE1" w:rsidRPr="004821AF">
              <w:t xml:space="preserve">or sudden drop in height </w:t>
            </w:r>
            <w:r w:rsidR="00960929" w:rsidRPr="004821AF">
              <w:t xml:space="preserve">due to </w:t>
            </w:r>
            <w:r w:rsidR="003B0FE1" w:rsidRPr="004821AF">
              <w:t xml:space="preserve">any critical or emergency situation then </w:t>
            </w:r>
            <w:r w:rsidR="00960929" w:rsidRPr="004821AF">
              <w:t xml:space="preserve">the </w:t>
            </w:r>
            <w:r w:rsidR="003B0FE1" w:rsidRPr="004821AF">
              <w:t xml:space="preserve">UE should </w:t>
            </w:r>
            <w:r w:rsidR="00EC5EA8" w:rsidRPr="004821AF">
              <w:t xml:space="preserve">resume the </w:t>
            </w:r>
            <w:proofErr w:type="spellStart"/>
            <w:r w:rsidR="00EC5EA8" w:rsidRPr="004821AF">
              <w:t>neighbor</w:t>
            </w:r>
            <w:proofErr w:type="spellEnd"/>
            <w:r w:rsidR="00EC5EA8" w:rsidRPr="004821AF">
              <w:t xml:space="preserve"> cell measurement </w:t>
            </w:r>
            <w:r w:rsidR="003C1077" w:rsidRPr="004821AF">
              <w:t xml:space="preserve">in normal </w:t>
            </w:r>
            <w:r w:rsidR="00BF5535" w:rsidRPr="004821AF">
              <w:t xml:space="preserve">manner </w:t>
            </w:r>
            <w:r w:rsidR="00EC5EA8" w:rsidRPr="004821AF">
              <w:t xml:space="preserve">without any </w:t>
            </w:r>
            <w:r w:rsidR="003C1077" w:rsidRPr="004821AF">
              <w:t>relaxation</w:t>
            </w:r>
            <w:r w:rsidR="003B0FE1" w:rsidRPr="004821AF">
              <w:t xml:space="preserve">. </w:t>
            </w:r>
            <w:r w:rsidR="00BF5535" w:rsidRPr="004821AF">
              <w:t>The UE</w:t>
            </w:r>
            <w:r w:rsidR="008C3F6A" w:rsidRPr="004821AF">
              <w:t xml:space="preserve"> can determine the sudden change in the flight path autonomously (</w:t>
            </w:r>
            <w:proofErr w:type="gramStart"/>
            <w:r w:rsidR="008C3F6A" w:rsidRPr="004821AF">
              <w:t>e.g.</w:t>
            </w:r>
            <w:proofErr w:type="gramEnd"/>
            <w:r w:rsidR="008C3F6A" w:rsidRPr="004821AF">
              <w:t xml:space="preserve"> internally from flight data) or </w:t>
            </w:r>
            <w:r w:rsidR="00F2084F" w:rsidRPr="004821AF">
              <w:t xml:space="preserve">based on assistance information from the ground base station. </w:t>
            </w:r>
          </w:p>
        </w:tc>
      </w:tr>
      <w:tr w:rsidR="00110706" w:rsidRPr="008E1550" w14:paraId="16956F22" w14:textId="77777777" w:rsidTr="00D43CB8">
        <w:tc>
          <w:tcPr>
            <w:tcW w:w="0" w:type="auto"/>
            <w:vMerge/>
          </w:tcPr>
          <w:p w14:paraId="0E318035" w14:textId="77777777" w:rsidR="00E66903" w:rsidRPr="00093C37" w:rsidRDefault="00E66903" w:rsidP="00D43CB8">
            <w:pPr>
              <w:rPr>
                <w:color w:val="000000" w:themeColor="text1"/>
              </w:rPr>
            </w:pPr>
          </w:p>
        </w:tc>
        <w:tc>
          <w:tcPr>
            <w:tcW w:w="0" w:type="auto"/>
          </w:tcPr>
          <w:p w14:paraId="1C103BBC" w14:textId="77777777" w:rsidR="00E66903" w:rsidRPr="00093C37" w:rsidRDefault="00E66903" w:rsidP="00D43CB8">
            <w:pPr>
              <w:rPr>
                <w:color w:val="000000" w:themeColor="text1"/>
              </w:rPr>
            </w:pPr>
            <w:r w:rsidRPr="00093C37">
              <w:rPr>
                <w:color w:val="000000" w:themeColor="text1"/>
              </w:rPr>
              <w:t>Paging reception</w:t>
            </w:r>
          </w:p>
        </w:tc>
        <w:tc>
          <w:tcPr>
            <w:tcW w:w="0" w:type="auto"/>
          </w:tcPr>
          <w:p w14:paraId="35D063E7" w14:textId="538EB508" w:rsidR="00E66903" w:rsidRPr="00601C7B" w:rsidRDefault="00FE34D5" w:rsidP="00D43CB8">
            <w:pPr>
              <w:rPr>
                <w:color w:val="000000" w:themeColor="text1"/>
              </w:rPr>
            </w:pPr>
            <w:r w:rsidRPr="00FE34D5">
              <w:rPr>
                <w:color w:val="000000" w:themeColor="text1"/>
              </w:rPr>
              <w:t xml:space="preserve">The current </w:t>
            </w:r>
            <w:r>
              <w:rPr>
                <w:color w:val="000000" w:themeColor="text1"/>
              </w:rPr>
              <w:t>paging reception requirements which define the maximum interruption</w:t>
            </w:r>
            <w:r w:rsidR="007625B2">
              <w:rPr>
                <w:color w:val="000000" w:themeColor="text1"/>
              </w:rPr>
              <w:t xml:space="preserve"> time in monitoring the downlink channels for paging during cell </w:t>
            </w:r>
            <w:r w:rsidR="004844F6">
              <w:rPr>
                <w:color w:val="000000" w:themeColor="text1"/>
              </w:rPr>
              <w:t>re-selection can be reused.</w:t>
            </w:r>
            <w:r w:rsidR="00755640">
              <w:rPr>
                <w:color w:val="000000" w:themeColor="text1"/>
              </w:rPr>
              <w:t xml:space="preserve"> The reason being tha</w:t>
            </w:r>
            <w:r w:rsidR="000D3DC9">
              <w:rPr>
                <w:color w:val="000000" w:themeColor="text1"/>
              </w:rPr>
              <w:t>t the paging behaviour is not expected to be changed since the A2G UE is to provide service to multitude</w:t>
            </w:r>
            <w:r w:rsidR="00C52D35">
              <w:rPr>
                <w:color w:val="000000" w:themeColor="text1"/>
              </w:rPr>
              <w:t xml:space="preserve"> in-flight </w:t>
            </w:r>
            <w:proofErr w:type="gramStart"/>
            <w:r w:rsidR="00C52D35">
              <w:rPr>
                <w:color w:val="000000" w:themeColor="text1"/>
              </w:rPr>
              <w:t>users</w:t>
            </w:r>
            <w:proofErr w:type="gramEnd"/>
            <w:r w:rsidR="00C52D35">
              <w:rPr>
                <w:color w:val="000000" w:themeColor="text1"/>
              </w:rPr>
              <w:t xml:space="preserve"> and </w:t>
            </w:r>
            <w:r w:rsidR="00D65E1F">
              <w:rPr>
                <w:color w:val="000000" w:themeColor="text1"/>
              </w:rPr>
              <w:t xml:space="preserve">they define the interruption time during cell re-selection which is also not likely to be impacted. </w:t>
            </w:r>
            <w:r w:rsidR="004844F6">
              <w:rPr>
                <w:color w:val="000000" w:themeColor="text1"/>
              </w:rPr>
              <w:t xml:space="preserve">However, the inter-RAT related requirements can be excluded as inter-RAT is in the scope.  </w:t>
            </w:r>
          </w:p>
        </w:tc>
      </w:tr>
      <w:tr w:rsidR="00110706" w:rsidRPr="008E1550" w14:paraId="3FA7612E" w14:textId="77777777" w:rsidTr="00D43CB8">
        <w:tc>
          <w:tcPr>
            <w:tcW w:w="0" w:type="auto"/>
            <w:vMerge/>
          </w:tcPr>
          <w:p w14:paraId="0BEBF31C" w14:textId="77777777" w:rsidR="00083B7F" w:rsidRPr="00093C37" w:rsidRDefault="00083B7F" w:rsidP="00D43CB8">
            <w:pPr>
              <w:rPr>
                <w:color w:val="000000" w:themeColor="text1"/>
              </w:rPr>
            </w:pPr>
          </w:p>
        </w:tc>
        <w:tc>
          <w:tcPr>
            <w:tcW w:w="0" w:type="auto"/>
          </w:tcPr>
          <w:p w14:paraId="75DA37BC" w14:textId="11AC813F" w:rsidR="00083B7F" w:rsidRPr="00093C37" w:rsidRDefault="00083B7F" w:rsidP="00D43CB8">
            <w:pPr>
              <w:rPr>
                <w:color w:val="000000" w:themeColor="text1"/>
              </w:rPr>
            </w:pPr>
            <w:r>
              <w:rPr>
                <w:color w:val="000000" w:themeColor="text1"/>
              </w:rPr>
              <w:t>SDT</w:t>
            </w:r>
          </w:p>
        </w:tc>
        <w:tc>
          <w:tcPr>
            <w:tcW w:w="0" w:type="auto"/>
          </w:tcPr>
          <w:p w14:paraId="4F991AD6" w14:textId="57F46F5B" w:rsidR="008072FB" w:rsidRPr="00FE34D5" w:rsidRDefault="00AE4581" w:rsidP="00833744">
            <w:pPr>
              <w:rPr>
                <w:color w:val="000000" w:themeColor="text1"/>
              </w:rPr>
            </w:pPr>
            <w:r>
              <w:rPr>
                <w:color w:val="000000" w:themeColor="text1"/>
              </w:rPr>
              <w:t>Small data transmission (SDT) is supported from Rel-16 NR</w:t>
            </w:r>
            <w:r w:rsidR="002804A2">
              <w:rPr>
                <w:color w:val="000000" w:themeColor="text1"/>
              </w:rPr>
              <w:t xml:space="preserve"> and there are two types </w:t>
            </w:r>
            <w:r w:rsidR="002016BF">
              <w:rPr>
                <w:color w:val="000000" w:themeColor="text1"/>
              </w:rPr>
              <w:t xml:space="preserve">SDT: RA-SDT and CG-SDT. </w:t>
            </w:r>
            <w:r w:rsidR="007F4A47">
              <w:rPr>
                <w:color w:val="000000" w:themeColor="text1"/>
              </w:rPr>
              <w:t xml:space="preserve">SDT can be important feature to support A2G as it can be used to provide the NW with critical or important flight mode information </w:t>
            </w:r>
            <w:r w:rsidR="007F4A47">
              <w:rPr>
                <w:color w:val="000000" w:themeColor="text1"/>
              </w:rPr>
              <w:lastRenderedPageBreak/>
              <w:t xml:space="preserve">without switching to CONNECTED mode. </w:t>
            </w:r>
            <w:proofErr w:type="gramStart"/>
            <w:r w:rsidR="007F4A47">
              <w:rPr>
                <w:color w:val="000000" w:themeColor="text1"/>
              </w:rPr>
              <w:t>Therefore</w:t>
            </w:r>
            <w:proofErr w:type="gramEnd"/>
            <w:r w:rsidR="007F4A47">
              <w:rPr>
                <w:color w:val="000000" w:themeColor="text1"/>
              </w:rPr>
              <w:t xml:space="preserve"> o</w:t>
            </w:r>
            <w:r w:rsidR="002016BF">
              <w:rPr>
                <w:color w:val="000000" w:themeColor="text1"/>
              </w:rPr>
              <w:t>ur view is tha</w:t>
            </w:r>
            <w:r w:rsidR="0083373D">
              <w:rPr>
                <w:color w:val="000000" w:themeColor="text1"/>
              </w:rPr>
              <w:t xml:space="preserve">t SDT can be </w:t>
            </w:r>
            <w:r w:rsidR="00C15891">
              <w:rPr>
                <w:color w:val="000000" w:themeColor="text1"/>
              </w:rPr>
              <w:t>supported</w:t>
            </w:r>
            <w:r w:rsidR="00154AC7">
              <w:rPr>
                <w:color w:val="000000" w:themeColor="text1"/>
              </w:rPr>
              <w:t>. However</w:t>
            </w:r>
            <w:r w:rsidR="00651589">
              <w:rPr>
                <w:color w:val="000000" w:themeColor="text1"/>
              </w:rPr>
              <w:t>, RAN4 needs to further discuss th</w:t>
            </w:r>
            <w:r w:rsidR="00254769">
              <w:rPr>
                <w:color w:val="000000" w:themeColor="text1"/>
              </w:rPr>
              <w:t xml:space="preserve">e update of the </w:t>
            </w:r>
            <w:r w:rsidR="0058395D">
              <w:rPr>
                <w:color w:val="000000" w:themeColor="text1"/>
              </w:rPr>
              <w:t>TA for SDT</w:t>
            </w:r>
            <w:r w:rsidR="00254769">
              <w:rPr>
                <w:color w:val="000000" w:themeColor="text1"/>
              </w:rPr>
              <w:t xml:space="preserve"> in ATG scenario after the progress on the UE timing requirements</w:t>
            </w:r>
            <w:r w:rsidR="00BB3882">
              <w:rPr>
                <w:color w:val="000000" w:themeColor="text1"/>
              </w:rPr>
              <w:t xml:space="preserve">. </w:t>
            </w:r>
          </w:p>
        </w:tc>
      </w:tr>
      <w:tr w:rsidR="00110706" w:rsidRPr="008E1550" w14:paraId="3A4DBDBE" w14:textId="77777777" w:rsidTr="00D43CB8">
        <w:tc>
          <w:tcPr>
            <w:tcW w:w="0" w:type="auto"/>
            <w:vMerge/>
          </w:tcPr>
          <w:p w14:paraId="7DD53980" w14:textId="77777777" w:rsidR="00E66903" w:rsidRPr="00093C37" w:rsidRDefault="00E66903" w:rsidP="00D43CB8">
            <w:pPr>
              <w:rPr>
                <w:color w:val="000000" w:themeColor="text1"/>
              </w:rPr>
            </w:pPr>
          </w:p>
        </w:tc>
        <w:tc>
          <w:tcPr>
            <w:tcW w:w="0" w:type="auto"/>
          </w:tcPr>
          <w:p w14:paraId="780BCEA5" w14:textId="77777777" w:rsidR="00E66903" w:rsidRPr="00093C37" w:rsidRDefault="00E66903" w:rsidP="00D43CB8">
            <w:pPr>
              <w:rPr>
                <w:color w:val="000000" w:themeColor="text1"/>
              </w:rPr>
            </w:pPr>
            <w:r w:rsidRPr="00093C37">
              <w:rPr>
                <w:color w:val="000000" w:themeColor="text1"/>
              </w:rPr>
              <w:t>Measurement capability</w:t>
            </w:r>
          </w:p>
        </w:tc>
        <w:tc>
          <w:tcPr>
            <w:tcW w:w="0" w:type="auto"/>
          </w:tcPr>
          <w:p w14:paraId="7803868D" w14:textId="517C2707" w:rsidR="00E66903" w:rsidRPr="008921DD" w:rsidRDefault="00DF05C1" w:rsidP="00D43CB8">
            <w:pPr>
              <w:rPr>
                <w:color w:val="000000" w:themeColor="text1"/>
              </w:rPr>
            </w:pPr>
            <w:proofErr w:type="gramStart"/>
            <w:r>
              <w:rPr>
                <w:color w:val="000000" w:themeColor="text1"/>
              </w:rPr>
              <w:t>Taking into account</w:t>
            </w:r>
            <w:proofErr w:type="gramEnd"/>
            <w:r>
              <w:rPr>
                <w:color w:val="000000" w:themeColor="text1"/>
              </w:rPr>
              <w:t xml:space="preserve"> that the serving cell has sign</w:t>
            </w:r>
            <w:r w:rsidR="00191339">
              <w:rPr>
                <w:color w:val="000000" w:themeColor="text1"/>
              </w:rPr>
              <w:t>i</w:t>
            </w:r>
            <w:r>
              <w:rPr>
                <w:color w:val="000000" w:themeColor="text1"/>
              </w:rPr>
              <w:t xml:space="preserve">ficantly wider coverage than the </w:t>
            </w:r>
            <w:r w:rsidR="00A33994">
              <w:rPr>
                <w:color w:val="000000" w:themeColor="text1"/>
              </w:rPr>
              <w:t xml:space="preserve">cell sizes of Rel-15 NR, it is reasonable to relax the </w:t>
            </w:r>
            <w:r>
              <w:rPr>
                <w:color w:val="000000" w:themeColor="text1"/>
              </w:rPr>
              <w:t xml:space="preserve">measurement capability requirements </w:t>
            </w:r>
            <w:r w:rsidR="00A33994">
              <w:rPr>
                <w:color w:val="000000" w:themeColor="text1"/>
              </w:rPr>
              <w:t xml:space="preserve">which defines the number of </w:t>
            </w:r>
            <w:r w:rsidR="00BF1BC7" w:rsidRPr="00BF1BC7">
              <w:rPr>
                <w:color w:val="000000" w:themeColor="text1"/>
              </w:rPr>
              <w:t xml:space="preserve">carriers </w:t>
            </w:r>
            <w:r>
              <w:rPr>
                <w:color w:val="000000" w:themeColor="text1"/>
              </w:rPr>
              <w:t>to identify and monitor.</w:t>
            </w:r>
            <w:r w:rsidR="009E0879">
              <w:rPr>
                <w:color w:val="000000" w:themeColor="text1"/>
              </w:rPr>
              <w:t xml:space="preserve"> Another reason to reduce the number of carriers to monitor is that no inter-RAT bands are going to be defined for A2G. </w:t>
            </w:r>
            <w:r w:rsidR="008921DD">
              <w:rPr>
                <w:color w:val="000000" w:themeColor="text1"/>
                <w:lang w:val="en-US"/>
              </w:rPr>
              <w:t>On the other hand, there can be scenarios with many aircraft in same areas in which case multiple cells may be needed to provide service. Therefore</w:t>
            </w:r>
            <w:r w:rsidR="004821AF">
              <w:rPr>
                <w:color w:val="000000" w:themeColor="text1"/>
                <w:lang w:val="en-US"/>
              </w:rPr>
              <w:t>,</w:t>
            </w:r>
            <w:r w:rsidR="008921DD">
              <w:rPr>
                <w:color w:val="000000" w:themeColor="text1"/>
                <w:lang w:val="en-US"/>
              </w:rPr>
              <w:t xml:space="preserve"> </w:t>
            </w:r>
            <w:r w:rsidR="00C733E2">
              <w:rPr>
                <w:color w:val="000000" w:themeColor="text1"/>
                <w:lang w:val="en-US"/>
              </w:rPr>
              <w:t>the number carriers to identify and monitor needs more discussions and can be kept as FFS</w:t>
            </w:r>
            <w:r w:rsidR="00035BED">
              <w:rPr>
                <w:color w:val="000000" w:themeColor="text1"/>
                <w:lang w:val="en-US"/>
              </w:rPr>
              <w:t>.</w:t>
            </w:r>
          </w:p>
        </w:tc>
      </w:tr>
      <w:tr w:rsidR="00110706" w:rsidRPr="008E1550" w14:paraId="5A1997FE" w14:textId="77777777" w:rsidTr="00D43CB8">
        <w:tc>
          <w:tcPr>
            <w:tcW w:w="0" w:type="auto"/>
            <w:vMerge w:val="restart"/>
          </w:tcPr>
          <w:p w14:paraId="7FFD8E47" w14:textId="77777777" w:rsidR="00E66903" w:rsidRPr="000A0408" w:rsidRDefault="00E66903" w:rsidP="00D43CB8">
            <w:pPr>
              <w:rPr>
                <w:color w:val="000000" w:themeColor="text1"/>
              </w:rPr>
            </w:pPr>
            <w:r w:rsidRPr="000A0408">
              <w:rPr>
                <w:color w:val="000000" w:themeColor="text1"/>
              </w:rPr>
              <w:t>CONNECTED mode mobility</w:t>
            </w:r>
          </w:p>
        </w:tc>
        <w:tc>
          <w:tcPr>
            <w:tcW w:w="0" w:type="auto"/>
          </w:tcPr>
          <w:p w14:paraId="3D4834FA" w14:textId="77777777" w:rsidR="00E66903" w:rsidRPr="00AF7284" w:rsidRDefault="00E66903" w:rsidP="00D43CB8">
            <w:pPr>
              <w:rPr>
                <w:color w:val="000000" w:themeColor="text1"/>
              </w:rPr>
            </w:pPr>
            <w:r w:rsidRPr="00AF7284">
              <w:rPr>
                <w:color w:val="000000" w:themeColor="text1"/>
              </w:rPr>
              <w:t>Handover</w:t>
            </w:r>
          </w:p>
        </w:tc>
        <w:tc>
          <w:tcPr>
            <w:tcW w:w="0" w:type="auto"/>
          </w:tcPr>
          <w:p w14:paraId="2A2EA26A" w14:textId="2087F836" w:rsidR="00E66903" w:rsidRPr="00833744" w:rsidRDefault="00750E64" w:rsidP="00833744">
            <w:pPr>
              <w:tabs>
                <w:tab w:val="num" w:pos="720"/>
              </w:tabs>
            </w:pPr>
            <w:r w:rsidRPr="004821AF">
              <w:t xml:space="preserve">In A2G scenario due to very large cell size the UE is expected to perform cell selection or handover after several minutes. Furthermore, the flight path is planned and deterministic. Therefore, to reduce UE processing and complexity, the UE should not be required to perform </w:t>
            </w:r>
            <w:proofErr w:type="spellStart"/>
            <w:r w:rsidRPr="004821AF">
              <w:t>neighbor</w:t>
            </w:r>
            <w:proofErr w:type="spellEnd"/>
            <w:r w:rsidRPr="004821AF">
              <w:t xml:space="preserve"> cell measurement or can relax the </w:t>
            </w:r>
            <w:proofErr w:type="spellStart"/>
            <w:r w:rsidRPr="004821AF">
              <w:t>neighbor</w:t>
            </w:r>
            <w:proofErr w:type="spellEnd"/>
            <w:r w:rsidRPr="004821AF">
              <w:t xml:space="preserve"> cell measurements while well inside the serving cell. On the other </w:t>
            </w:r>
            <w:proofErr w:type="gramStart"/>
            <w:r w:rsidRPr="004821AF">
              <w:t>hand</w:t>
            </w:r>
            <w:proofErr w:type="gramEnd"/>
            <w:r w:rsidRPr="004821AF">
              <w:t xml:space="preserve"> if there is any unpredictable change in flight path or sudden drop in height due to any critical or emergency situation then the UE should resume the </w:t>
            </w:r>
            <w:proofErr w:type="spellStart"/>
            <w:r w:rsidRPr="004821AF">
              <w:t>neighbor</w:t>
            </w:r>
            <w:proofErr w:type="spellEnd"/>
            <w:r w:rsidRPr="004821AF">
              <w:t xml:space="preserve"> cell measurement in normal manner without any relaxation. The UE can determine the sudden change in the flight path autonomously (</w:t>
            </w:r>
            <w:proofErr w:type="gramStart"/>
            <w:r w:rsidRPr="004821AF">
              <w:t>e.g.</w:t>
            </w:r>
            <w:proofErr w:type="gramEnd"/>
            <w:r w:rsidRPr="004821AF">
              <w:t xml:space="preserve"> internally from flight data) or based on assistance information from the ground base station. </w:t>
            </w:r>
          </w:p>
        </w:tc>
      </w:tr>
      <w:tr w:rsidR="00110706" w:rsidRPr="008E1550" w14:paraId="5C285E79" w14:textId="77777777" w:rsidTr="00D43CB8">
        <w:tc>
          <w:tcPr>
            <w:tcW w:w="0" w:type="auto"/>
            <w:vMerge/>
          </w:tcPr>
          <w:p w14:paraId="22E8E329" w14:textId="77777777" w:rsidR="00E66903" w:rsidRPr="000A0408" w:rsidRDefault="00E66903" w:rsidP="00D43CB8">
            <w:pPr>
              <w:rPr>
                <w:color w:val="000000" w:themeColor="text1"/>
              </w:rPr>
            </w:pPr>
          </w:p>
        </w:tc>
        <w:tc>
          <w:tcPr>
            <w:tcW w:w="0" w:type="auto"/>
          </w:tcPr>
          <w:p w14:paraId="5B5F6759" w14:textId="77777777" w:rsidR="00E66903" w:rsidRPr="006704E0" w:rsidRDefault="00E66903" w:rsidP="00D43CB8">
            <w:pPr>
              <w:rPr>
                <w:color w:val="000000" w:themeColor="text1"/>
              </w:rPr>
            </w:pPr>
            <w:r w:rsidRPr="006704E0">
              <w:rPr>
                <w:color w:val="000000" w:themeColor="text1"/>
              </w:rPr>
              <w:t>RRC re-establishment</w:t>
            </w:r>
          </w:p>
        </w:tc>
        <w:tc>
          <w:tcPr>
            <w:tcW w:w="0" w:type="auto"/>
          </w:tcPr>
          <w:p w14:paraId="760C97CC" w14:textId="10C8D2E6" w:rsidR="00E66903" w:rsidRPr="00133964" w:rsidRDefault="001F79D4" w:rsidP="00D43CB8">
            <w:pPr>
              <w:rPr>
                <w:color w:val="000000" w:themeColor="text1"/>
              </w:rPr>
            </w:pPr>
            <w:r w:rsidRPr="007F52D6">
              <w:rPr>
                <w:color w:val="000000" w:themeColor="text1"/>
              </w:rPr>
              <w:t xml:space="preserve">The principle from the legacy RRC re-establishment requirements can be reused. </w:t>
            </w:r>
          </w:p>
        </w:tc>
      </w:tr>
      <w:tr w:rsidR="00110706" w:rsidRPr="008E1550" w14:paraId="56367A27" w14:textId="77777777" w:rsidTr="00D43CB8">
        <w:tc>
          <w:tcPr>
            <w:tcW w:w="0" w:type="auto"/>
            <w:vMerge/>
          </w:tcPr>
          <w:p w14:paraId="13BD416B" w14:textId="77777777" w:rsidR="001F79D4" w:rsidRPr="000A0408" w:rsidRDefault="001F79D4" w:rsidP="001F79D4">
            <w:pPr>
              <w:rPr>
                <w:color w:val="000000" w:themeColor="text1"/>
              </w:rPr>
            </w:pPr>
          </w:p>
        </w:tc>
        <w:tc>
          <w:tcPr>
            <w:tcW w:w="0" w:type="auto"/>
          </w:tcPr>
          <w:p w14:paraId="5E836A34" w14:textId="77777777" w:rsidR="001F79D4" w:rsidRPr="006704E0" w:rsidRDefault="001F79D4" w:rsidP="001F79D4">
            <w:pPr>
              <w:rPr>
                <w:color w:val="000000" w:themeColor="text1"/>
              </w:rPr>
            </w:pPr>
            <w:r w:rsidRPr="006704E0">
              <w:rPr>
                <w:color w:val="000000" w:themeColor="text1"/>
              </w:rPr>
              <w:t>Random access</w:t>
            </w:r>
          </w:p>
        </w:tc>
        <w:tc>
          <w:tcPr>
            <w:tcW w:w="0" w:type="auto"/>
          </w:tcPr>
          <w:p w14:paraId="728E3FE7" w14:textId="28C2CD7C" w:rsidR="001F79D4" w:rsidRPr="007F52D6" w:rsidRDefault="001F79D4" w:rsidP="001F79D4">
            <w:pPr>
              <w:rPr>
                <w:color w:val="000000" w:themeColor="text1"/>
              </w:rPr>
            </w:pPr>
            <w:r w:rsidRPr="007F52D6">
              <w:rPr>
                <w:color w:val="000000" w:themeColor="text1"/>
              </w:rPr>
              <w:t xml:space="preserve">The principle from the legacy RRC re-establishment requirements can be reused. </w:t>
            </w:r>
            <w:r w:rsidR="00EC50F4" w:rsidRPr="00133964">
              <w:rPr>
                <w:color w:val="000000" w:themeColor="text1"/>
                <w:lang w:val="en-US"/>
              </w:rPr>
              <w:t xml:space="preserve">RAN4 should further discuss </w:t>
            </w:r>
            <w:r w:rsidR="00EC50F4" w:rsidRPr="00C359BB">
              <w:rPr>
                <w:color w:val="000000" w:themeColor="text1"/>
                <w:lang w:val="en-US"/>
              </w:rPr>
              <w:t xml:space="preserve">whether </w:t>
            </w:r>
            <w:r w:rsidR="00F2778E" w:rsidRPr="00C359BB">
              <w:rPr>
                <w:color w:val="000000" w:themeColor="text1"/>
              </w:rPr>
              <w:t xml:space="preserve">2-step RA which was originally designed for small cells </w:t>
            </w:r>
            <w:r w:rsidR="00D74D00" w:rsidRPr="00C359BB">
              <w:rPr>
                <w:color w:val="000000" w:themeColor="text1"/>
                <w:lang w:val="en-US"/>
              </w:rPr>
              <w:t xml:space="preserve">useful for A2G. </w:t>
            </w:r>
          </w:p>
        </w:tc>
      </w:tr>
      <w:tr w:rsidR="00110706" w:rsidRPr="008E1550" w14:paraId="2A51AC1A" w14:textId="77777777" w:rsidTr="00D43CB8">
        <w:tc>
          <w:tcPr>
            <w:tcW w:w="0" w:type="auto"/>
            <w:vMerge/>
          </w:tcPr>
          <w:p w14:paraId="02F9001D" w14:textId="77777777" w:rsidR="001F79D4" w:rsidRPr="000A0408" w:rsidRDefault="001F79D4" w:rsidP="001F79D4">
            <w:pPr>
              <w:rPr>
                <w:color w:val="000000" w:themeColor="text1"/>
              </w:rPr>
            </w:pPr>
          </w:p>
        </w:tc>
        <w:tc>
          <w:tcPr>
            <w:tcW w:w="0" w:type="auto"/>
          </w:tcPr>
          <w:p w14:paraId="25861920" w14:textId="77777777" w:rsidR="001F79D4" w:rsidRPr="006704E0" w:rsidRDefault="001F79D4" w:rsidP="001F79D4">
            <w:pPr>
              <w:rPr>
                <w:color w:val="000000" w:themeColor="text1"/>
              </w:rPr>
            </w:pPr>
            <w:r w:rsidRPr="006704E0">
              <w:rPr>
                <w:color w:val="000000" w:themeColor="text1"/>
              </w:rPr>
              <w:t>RRC connection release with redirection</w:t>
            </w:r>
          </w:p>
        </w:tc>
        <w:tc>
          <w:tcPr>
            <w:tcW w:w="0" w:type="auto"/>
          </w:tcPr>
          <w:p w14:paraId="247EAA22" w14:textId="1D260C59" w:rsidR="001F79D4" w:rsidRPr="00BC00C8" w:rsidRDefault="001F79D4" w:rsidP="001F79D4">
            <w:pPr>
              <w:rPr>
                <w:color w:val="000000" w:themeColor="text1"/>
              </w:rPr>
            </w:pPr>
            <w:r w:rsidRPr="00BC00C8">
              <w:rPr>
                <w:color w:val="000000" w:themeColor="text1"/>
              </w:rPr>
              <w:t xml:space="preserve">The principle from the legacy RRC re-establishment requirements can be reused. </w:t>
            </w:r>
          </w:p>
        </w:tc>
      </w:tr>
      <w:tr w:rsidR="00ED6450" w:rsidRPr="007B5043" w14:paraId="4C644963" w14:textId="77777777" w:rsidTr="006904F3">
        <w:trPr>
          <w:trHeight w:val="1659"/>
        </w:trPr>
        <w:tc>
          <w:tcPr>
            <w:tcW w:w="0" w:type="auto"/>
          </w:tcPr>
          <w:p w14:paraId="1A441B71" w14:textId="77777777" w:rsidR="00ED6450" w:rsidRPr="0060277A" w:rsidRDefault="00ED6450" w:rsidP="00D43CB8">
            <w:pPr>
              <w:rPr>
                <w:color w:val="000000" w:themeColor="text1"/>
              </w:rPr>
            </w:pPr>
            <w:r w:rsidRPr="0060277A">
              <w:rPr>
                <w:color w:val="000000" w:themeColor="text1"/>
              </w:rPr>
              <w:t xml:space="preserve">Timing and </w:t>
            </w:r>
            <w:proofErr w:type="spellStart"/>
            <w:r w:rsidRPr="0060277A">
              <w:rPr>
                <w:color w:val="000000" w:themeColor="text1"/>
              </w:rPr>
              <w:t>signaling</w:t>
            </w:r>
            <w:proofErr w:type="spellEnd"/>
            <w:r w:rsidRPr="0060277A">
              <w:rPr>
                <w:color w:val="000000" w:themeColor="text1"/>
              </w:rPr>
              <w:t xml:space="preserve"> characteristics</w:t>
            </w:r>
          </w:p>
        </w:tc>
        <w:tc>
          <w:tcPr>
            <w:tcW w:w="0" w:type="auto"/>
          </w:tcPr>
          <w:p w14:paraId="3F8E340B" w14:textId="77777777" w:rsidR="00ED6450" w:rsidRPr="0060277A" w:rsidRDefault="00ED6450" w:rsidP="00D43CB8">
            <w:pPr>
              <w:rPr>
                <w:color w:val="000000" w:themeColor="text1"/>
              </w:rPr>
            </w:pPr>
            <w:r w:rsidRPr="0060277A">
              <w:rPr>
                <w:color w:val="000000" w:themeColor="text1"/>
              </w:rPr>
              <w:t>UE transmit timing</w:t>
            </w:r>
          </w:p>
          <w:p w14:paraId="4D6F5EBD" w14:textId="77777777" w:rsidR="00ED6450" w:rsidRPr="0060277A" w:rsidRDefault="00ED6450" w:rsidP="00D43CB8">
            <w:pPr>
              <w:rPr>
                <w:color w:val="000000" w:themeColor="text1"/>
              </w:rPr>
            </w:pPr>
            <w:r w:rsidRPr="0060277A">
              <w:rPr>
                <w:color w:val="000000" w:themeColor="text1"/>
              </w:rPr>
              <w:t>Timer accuracy</w:t>
            </w:r>
          </w:p>
          <w:p w14:paraId="41DD8828" w14:textId="44926335" w:rsidR="00ED6450" w:rsidRPr="0060277A" w:rsidRDefault="00ED6450" w:rsidP="00D43CB8">
            <w:pPr>
              <w:rPr>
                <w:color w:val="000000" w:themeColor="text1"/>
              </w:rPr>
            </w:pPr>
            <w:r w:rsidRPr="0060277A">
              <w:rPr>
                <w:color w:val="000000" w:themeColor="text1"/>
              </w:rPr>
              <w:t>Timing advance</w:t>
            </w:r>
          </w:p>
        </w:tc>
        <w:tc>
          <w:tcPr>
            <w:tcW w:w="0" w:type="auto"/>
          </w:tcPr>
          <w:p w14:paraId="24DB5102" w14:textId="6D47E847" w:rsidR="00ED6450" w:rsidRPr="00C359BB" w:rsidRDefault="00AF7FBD" w:rsidP="003F0F8A">
            <w:pPr>
              <w:rPr>
                <w:color w:val="000000" w:themeColor="text1"/>
                <w:lang w:val="en-US"/>
              </w:rPr>
            </w:pPr>
            <w:r>
              <w:rPr>
                <w:color w:val="000000" w:themeColor="text1"/>
                <w:lang w:val="en-US"/>
              </w:rPr>
              <w:t>See below section.</w:t>
            </w:r>
          </w:p>
          <w:p w14:paraId="2A6DABCB" w14:textId="7DBA5302" w:rsidR="00ED6450" w:rsidRPr="0060277A" w:rsidRDefault="00ED6450" w:rsidP="00D43CB8">
            <w:pPr>
              <w:rPr>
                <w:color w:val="000000" w:themeColor="text1"/>
              </w:rPr>
            </w:pPr>
          </w:p>
        </w:tc>
      </w:tr>
      <w:tr w:rsidR="00110706" w:rsidRPr="008E1550" w14:paraId="7D46EE31" w14:textId="77777777" w:rsidTr="00D43CB8">
        <w:tc>
          <w:tcPr>
            <w:tcW w:w="0" w:type="auto"/>
          </w:tcPr>
          <w:p w14:paraId="6726714A" w14:textId="77777777" w:rsidR="00E66903" w:rsidRDefault="00E66903" w:rsidP="00D43CB8">
            <w:pPr>
              <w:rPr>
                <w:color w:val="000000" w:themeColor="text1"/>
              </w:rPr>
            </w:pPr>
            <w:r>
              <w:rPr>
                <w:color w:val="000000" w:themeColor="text1"/>
              </w:rPr>
              <w:t>RLM</w:t>
            </w:r>
          </w:p>
        </w:tc>
        <w:tc>
          <w:tcPr>
            <w:tcW w:w="0" w:type="auto"/>
          </w:tcPr>
          <w:p w14:paraId="48D502E4" w14:textId="77777777" w:rsidR="00E66903" w:rsidRDefault="00E66903" w:rsidP="00D43CB8">
            <w:pPr>
              <w:rPr>
                <w:color w:val="000000" w:themeColor="text1"/>
                <w:highlight w:val="yellow"/>
              </w:rPr>
            </w:pPr>
            <w:r w:rsidRPr="00C660B7">
              <w:rPr>
                <w:color w:val="000000" w:themeColor="text1"/>
              </w:rPr>
              <w:t>Radio link monitoring</w:t>
            </w:r>
          </w:p>
        </w:tc>
        <w:tc>
          <w:tcPr>
            <w:tcW w:w="0" w:type="auto"/>
          </w:tcPr>
          <w:p w14:paraId="2EDCCAF5" w14:textId="36BB2174" w:rsidR="00E66903" w:rsidRPr="00F66BA2" w:rsidRDefault="00E66903" w:rsidP="00D43CB8">
            <w:pPr>
              <w:rPr>
                <w:color w:val="000000" w:themeColor="text1"/>
              </w:rPr>
            </w:pPr>
            <w:r w:rsidRPr="00F66BA2">
              <w:rPr>
                <w:color w:val="000000" w:themeColor="text1"/>
              </w:rPr>
              <w:t xml:space="preserve">The RLM requirements comprises the general control channel transmission parameters to evaluate in-sync and out-of-sync, </w:t>
            </w:r>
            <w:r w:rsidRPr="00F66BA2">
              <w:rPr>
                <w:color w:val="000000" w:themeColor="text1"/>
              </w:rPr>
              <w:lastRenderedPageBreak/>
              <w:t xml:space="preserve">evaluation period and associated UE </w:t>
            </w:r>
            <w:proofErr w:type="spellStart"/>
            <w:r w:rsidRPr="00F66BA2">
              <w:rPr>
                <w:color w:val="000000" w:themeColor="text1"/>
              </w:rPr>
              <w:t>behavior</w:t>
            </w:r>
            <w:proofErr w:type="spellEnd"/>
            <w:r w:rsidRPr="00F66BA2">
              <w:rPr>
                <w:color w:val="000000" w:themeColor="text1"/>
              </w:rPr>
              <w:t xml:space="preserve">. Our view is that most of these requirements are reusable for </w:t>
            </w:r>
            <w:r w:rsidR="00DA1EDC">
              <w:rPr>
                <w:color w:val="000000" w:themeColor="text1"/>
              </w:rPr>
              <w:t>A2G</w:t>
            </w:r>
            <w:r w:rsidRPr="00F66BA2">
              <w:rPr>
                <w:color w:val="000000" w:themeColor="text1"/>
              </w:rPr>
              <w:t xml:space="preserve">. </w:t>
            </w:r>
          </w:p>
          <w:p w14:paraId="579B5634" w14:textId="552B44E3" w:rsidR="00E66903" w:rsidRPr="003B7840" w:rsidRDefault="00E66903" w:rsidP="003B7840">
            <w:pPr>
              <w:tabs>
                <w:tab w:val="num" w:pos="720"/>
              </w:tabs>
              <w:rPr>
                <w:color w:val="000000" w:themeColor="text1"/>
              </w:rPr>
            </w:pPr>
          </w:p>
        </w:tc>
      </w:tr>
      <w:tr w:rsidR="008E6489" w:rsidRPr="008E1550" w14:paraId="089EB34E" w14:textId="77777777" w:rsidTr="00D43CB8">
        <w:tc>
          <w:tcPr>
            <w:tcW w:w="0" w:type="auto"/>
          </w:tcPr>
          <w:p w14:paraId="6DD59A39" w14:textId="77777777" w:rsidR="008E6489" w:rsidRDefault="008E6489" w:rsidP="00D43CB8">
            <w:pPr>
              <w:rPr>
                <w:color w:val="000000" w:themeColor="text1"/>
              </w:rPr>
            </w:pPr>
          </w:p>
        </w:tc>
        <w:tc>
          <w:tcPr>
            <w:tcW w:w="0" w:type="auto"/>
          </w:tcPr>
          <w:p w14:paraId="368A67EE" w14:textId="46304310" w:rsidR="008E6489" w:rsidRDefault="008E6489" w:rsidP="00D43CB8">
            <w:r>
              <w:rPr>
                <w:color w:val="000000" w:themeColor="text1"/>
              </w:rPr>
              <w:t>Interruption</w:t>
            </w:r>
          </w:p>
        </w:tc>
        <w:tc>
          <w:tcPr>
            <w:tcW w:w="0" w:type="auto"/>
          </w:tcPr>
          <w:p w14:paraId="76C1EC99" w14:textId="0322DCA8" w:rsidR="008E6489" w:rsidRPr="00F66BA2" w:rsidRDefault="002A768F" w:rsidP="005C675A">
            <w:pPr>
              <w:tabs>
                <w:tab w:val="num" w:pos="720"/>
              </w:tabs>
              <w:rPr>
                <w:color w:val="000000" w:themeColor="text1"/>
              </w:rPr>
            </w:pPr>
            <w:r w:rsidRPr="002A768F">
              <w:rPr>
                <w:color w:val="000000" w:themeColor="text1"/>
              </w:rPr>
              <w:t xml:space="preserve">No </w:t>
            </w:r>
            <w:r>
              <w:rPr>
                <w:color w:val="000000" w:themeColor="text1"/>
              </w:rPr>
              <w:t xml:space="preserve">need to </w:t>
            </w:r>
            <w:r w:rsidR="00B22211">
              <w:rPr>
                <w:color w:val="000000" w:themeColor="text1"/>
              </w:rPr>
              <w:t xml:space="preserve">allow </w:t>
            </w:r>
            <w:r w:rsidRPr="002A768F">
              <w:rPr>
                <w:color w:val="000000" w:themeColor="text1"/>
              </w:rPr>
              <w:t>interruption if single carrier i</w:t>
            </w:r>
            <w:r>
              <w:rPr>
                <w:color w:val="000000" w:themeColor="text1"/>
              </w:rPr>
              <w:t xml:space="preserve">s </w:t>
            </w:r>
            <w:r w:rsidR="00B22211">
              <w:rPr>
                <w:color w:val="000000" w:themeColor="text1"/>
              </w:rPr>
              <w:t xml:space="preserve">considered for A2G in this release. </w:t>
            </w:r>
            <w:r w:rsidRPr="002A768F">
              <w:rPr>
                <w:color w:val="000000" w:themeColor="text1"/>
              </w:rPr>
              <w:t>Otherwise, it might be possible to reuse existing interruption req</w:t>
            </w:r>
            <w:r w:rsidR="006D41CF">
              <w:rPr>
                <w:color w:val="000000" w:themeColor="text1"/>
              </w:rPr>
              <w:t xml:space="preserve">uirements. </w:t>
            </w:r>
            <w:r w:rsidR="00F610D6">
              <w:rPr>
                <w:color w:val="000000" w:themeColor="text1"/>
              </w:rPr>
              <w:t>Needs clarif</w:t>
            </w:r>
            <w:r w:rsidR="00C1464F">
              <w:rPr>
                <w:color w:val="000000" w:themeColor="text1"/>
              </w:rPr>
              <w:t>ic</w:t>
            </w:r>
            <w:r w:rsidR="00F610D6">
              <w:rPr>
                <w:color w:val="000000" w:themeColor="text1"/>
              </w:rPr>
              <w:t>ation on whether multiple carriers are supported...</w:t>
            </w:r>
          </w:p>
        </w:tc>
      </w:tr>
      <w:tr w:rsidR="008B421F" w:rsidRPr="008E1550" w14:paraId="2C2480E4" w14:textId="77777777" w:rsidTr="00D43CB8">
        <w:tc>
          <w:tcPr>
            <w:tcW w:w="0" w:type="auto"/>
          </w:tcPr>
          <w:p w14:paraId="474A2B55" w14:textId="77777777" w:rsidR="008B421F" w:rsidRDefault="008B421F" w:rsidP="00D43CB8">
            <w:pPr>
              <w:rPr>
                <w:color w:val="000000" w:themeColor="text1"/>
              </w:rPr>
            </w:pPr>
          </w:p>
        </w:tc>
        <w:tc>
          <w:tcPr>
            <w:tcW w:w="0" w:type="auto"/>
          </w:tcPr>
          <w:p w14:paraId="036D3559" w14:textId="5A40EF3D" w:rsidR="008B421F" w:rsidRPr="007C0F7A" w:rsidRDefault="007C0F7A" w:rsidP="00D43CB8">
            <w:pPr>
              <w:rPr>
                <w:color w:val="000000" w:themeColor="text1"/>
              </w:rPr>
            </w:pPr>
            <w:r>
              <w:t>Link recovery</w:t>
            </w:r>
          </w:p>
        </w:tc>
        <w:tc>
          <w:tcPr>
            <w:tcW w:w="0" w:type="auto"/>
          </w:tcPr>
          <w:p w14:paraId="0FA4462A" w14:textId="35882E66" w:rsidR="008B421F" w:rsidRPr="00F66BA2" w:rsidRDefault="00A0719A" w:rsidP="00D43CB8">
            <w:pPr>
              <w:rPr>
                <w:color w:val="000000" w:themeColor="text1"/>
              </w:rPr>
            </w:pPr>
            <w:r>
              <w:rPr>
                <w:color w:val="000000" w:themeColor="text1"/>
              </w:rPr>
              <w:t xml:space="preserve">FR1 bands are assumed for A2G in this release for which the existing requirements can be used as baseline. </w:t>
            </w:r>
          </w:p>
        </w:tc>
      </w:tr>
      <w:tr w:rsidR="00B83DDF" w:rsidRPr="008E1550" w14:paraId="21E8C1BC" w14:textId="77777777" w:rsidTr="00D43CB8">
        <w:tc>
          <w:tcPr>
            <w:tcW w:w="0" w:type="auto"/>
          </w:tcPr>
          <w:p w14:paraId="45022891" w14:textId="77777777" w:rsidR="00B83DDF" w:rsidRDefault="00B83DDF" w:rsidP="00D43CB8">
            <w:pPr>
              <w:rPr>
                <w:color w:val="000000" w:themeColor="text1"/>
              </w:rPr>
            </w:pPr>
          </w:p>
        </w:tc>
        <w:tc>
          <w:tcPr>
            <w:tcW w:w="0" w:type="auto"/>
          </w:tcPr>
          <w:p w14:paraId="7EDB2401" w14:textId="62B9849F" w:rsidR="00B83DDF" w:rsidRDefault="00B83DDF" w:rsidP="00D43CB8">
            <w:r>
              <w:t>Active BWP switch delay</w:t>
            </w:r>
          </w:p>
        </w:tc>
        <w:tc>
          <w:tcPr>
            <w:tcW w:w="0" w:type="auto"/>
          </w:tcPr>
          <w:p w14:paraId="380138B1" w14:textId="055587B3" w:rsidR="00B83DDF" w:rsidRPr="00F66BA2" w:rsidRDefault="00E04517" w:rsidP="00D43CB8">
            <w:pPr>
              <w:rPr>
                <w:color w:val="000000" w:themeColor="text1"/>
              </w:rPr>
            </w:pPr>
            <w:r w:rsidRPr="00BC00C8">
              <w:rPr>
                <w:color w:val="000000" w:themeColor="text1"/>
              </w:rPr>
              <w:t xml:space="preserve">The principle from the legacy </w:t>
            </w:r>
            <w:r w:rsidR="00557C93">
              <w:rPr>
                <w:color w:val="000000" w:themeColor="text1"/>
              </w:rPr>
              <w:t xml:space="preserve">active BWP switch delay </w:t>
            </w:r>
            <w:r w:rsidRPr="00BC00C8">
              <w:rPr>
                <w:color w:val="000000" w:themeColor="text1"/>
              </w:rPr>
              <w:t>requirements can be reused.</w:t>
            </w:r>
          </w:p>
        </w:tc>
      </w:tr>
      <w:tr w:rsidR="005E2337" w:rsidRPr="008E1550" w14:paraId="1FF11D65" w14:textId="77777777" w:rsidTr="00D43CB8">
        <w:tc>
          <w:tcPr>
            <w:tcW w:w="0" w:type="auto"/>
          </w:tcPr>
          <w:p w14:paraId="62BF70DF" w14:textId="77777777" w:rsidR="005E2337" w:rsidRDefault="005E2337" w:rsidP="00D43CB8">
            <w:pPr>
              <w:rPr>
                <w:color w:val="000000" w:themeColor="text1"/>
              </w:rPr>
            </w:pPr>
          </w:p>
        </w:tc>
        <w:tc>
          <w:tcPr>
            <w:tcW w:w="0" w:type="auto"/>
          </w:tcPr>
          <w:p w14:paraId="655A087B" w14:textId="7E0775B4" w:rsidR="005E2337" w:rsidRDefault="005E2337" w:rsidP="00D43CB8">
            <w:r>
              <w:t>Active TCI state switch delay</w:t>
            </w:r>
          </w:p>
        </w:tc>
        <w:tc>
          <w:tcPr>
            <w:tcW w:w="0" w:type="auto"/>
          </w:tcPr>
          <w:p w14:paraId="4A043EFC" w14:textId="6A56DAA2" w:rsidR="005E2337" w:rsidRPr="00F66BA2" w:rsidRDefault="00E04517" w:rsidP="00D43CB8">
            <w:pPr>
              <w:rPr>
                <w:color w:val="000000" w:themeColor="text1"/>
              </w:rPr>
            </w:pPr>
            <w:r w:rsidRPr="00BC00C8">
              <w:rPr>
                <w:color w:val="000000" w:themeColor="text1"/>
              </w:rPr>
              <w:t xml:space="preserve">The principle from the legacy </w:t>
            </w:r>
            <w:r w:rsidR="00F321F9">
              <w:rPr>
                <w:color w:val="000000" w:themeColor="text1"/>
              </w:rPr>
              <w:t xml:space="preserve">active TCI state switch delay </w:t>
            </w:r>
            <w:r w:rsidRPr="00BC00C8">
              <w:rPr>
                <w:color w:val="000000" w:themeColor="text1"/>
              </w:rPr>
              <w:t>can be reused.</w:t>
            </w:r>
          </w:p>
        </w:tc>
      </w:tr>
      <w:tr w:rsidR="002157A2" w:rsidRPr="008E1550" w14:paraId="23DD0239" w14:textId="77777777" w:rsidTr="00D43CB8">
        <w:tc>
          <w:tcPr>
            <w:tcW w:w="0" w:type="auto"/>
          </w:tcPr>
          <w:p w14:paraId="576C2F68" w14:textId="77777777" w:rsidR="002157A2" w:rsidRDefault="002157A2" w:rsidP="00D43CB8">
            <w:pPr>
              <w:rPr>
                <w:color w:val="000000" w:themeColor="text1"/>
              </w:rPr>
            </w:pPr>
          </w:p>
        </w:tc>
        <w:tc>
          <w:tcPr>
            <w:tcW w:w="0" w:type="auto"/>
          </w:tcPr>
          <w:p w14:paraId="6C6394D3" w14:textId="0C9231F9" w:rsidR="002157A2" w:rsidRDefault="002157A2" w:rsidP="00D43CB8">
            <w:r>
              <w:t>Active spatial relation switch delay</w:t>
            </w:r>
          </w:p>
        </w:tc>
        <w:tc>
          <w:tcPr>
            <w:tcW w:w="0" w:type="auto"/>
          </w:tcPr>
          <w:p w14:paraId="43516002" w14:textId="26E1E418" w:rsidR="002157A2" w:rsidRPr="00F66BA2" w:rsidRDefault="00E04517" w:rsidP="00D43CB8">
            <w:pPr>
              <w:rPr>
                <w:color w:val="000000" w:themeColor="text1"/>
              </w:rPr>
            </w:pPr>
            <w:r w:rsidRPr="00BC00C8">
              <w:rPr>
                <w:color w:val="000000" w:themeColor="text1"/>
              </w:rPr>
              <w:t xml:space="preserve">The principle from the legacy </w:t>
            </w:r>
            <w:r w:rsidR="00E66893">
              <w:rPr>
                <w:color w:val="000000" w:themeColor="text1"/>
              </w:rPr>
              <w:t xml:space="preserve">active spatial relation switch delay </w:t>
            </w:r>
            <w:r w:rsidRPr="00BC00C8">
              <w:rPr>
                <w:color w:val="000000" w:themeColor="text1"/>
              </w:rPr>
              <w:t>requirements can be reused.</w:t>
            </w:r>
          </w:p>
        </w:tc>
      </w:tr>
      <w:tr w:rsidR="007F3EFE" w:rsidRPr="008E1550" w14:paraId="4E10D669" w14:textId="77777777" w:rsidTr="00D43CB8">
        <w:tc>
          <w:tcPr>
            <w:tcW w:w="0" w:type="auto"/>
          </w:tcPr>
          <w:p w14:paraId="5328A2CB" w14:textId="77777777" w:rsidR="007F3EFE" w:rsidRDefault="007F3EFE" w:rsidP="00D43CB8">
            <w:pPr>
              <w:rPr>
                <w:color w:val="000000" w:themeColor="text1"/>
              </w:rPr>
            </w:pPr>
          </w:p>
        </w:tc>
        <w:tc>
          <w:tcPr>
            <w:tcW w:w="0" w:type="auto"/>
          </w:tcPr>
          <w:p w14:paraId="58FA365D" w14:textId="10C2D895" w:rsidR="007F3EFE" w:rsidRDefault="007F3EFE" w:rsidP="00D43CB8">
            <w:r>
              <w:t xml:space="preserve">UE specific </w:t>
            </w:r>
            <w:r w:rsidR="00BB1601">
              <w:t xml:space="preserve">CBW </w:t>
            </w:r>
            <w:r w:rsidR="006B5771">
              <w:t>change</w:t>
            </w:r>
          </w:p>
        </w:tc>
        <w:tc>
          <w:tcPr>
            <w:tcW w:w="0" w:type="auto"/>
          </w:tcPr>
          <w:p w14:paraId="120467DA" w14:textId="6A6E1B6D" w:rsidR="007F3EFE" w:rsidRPr="00F66BA2" w:rsidRDefault="00E04517" w:rsidP="00D43CB8">
            <w:pPr>
              <w:rPr>
                <w:color w:val="000000" w:themeColor="text1"/>
              </w:rPr>
            </w:pPr>
            <w:r w:rsidRPr="00BC00C8">
              <w:rPr>
                <w:color w:val="000000" w:themeColor="text1"/>
              </w:rPr>
              <w:t xml:space="preserve">The principle from the legacy </w:t>
            </w:r>
            <w:r w:rsidR="00267A6E">
              <w:rPr>
                <w:color w:val="000000" w:themeColor="text1"/>
              </w:rPr>
              <w:t xml:space="preserve">UE specific CBW change </w:t>
            </w:r>
            <w:r w:rsidRPr="00BC00C8">
              <w:rPr>
                <w:color w:val="000000" w:themeColor="text1"/>
              </w:rPr>
              <w:t>requirements can be reused.</w:t>
            </w:r>
          </w:p>
        </w:tc>
      </w:tr>
      <w:tr w:rsidR="009F7636" w:rsidRPr="008E1550" w14:paraId="5B5983F2" w14:textId="77777777" w:rsidTr="00D43CB8">
        <w:tc>
          <w:tcPr>
            <w:tcW w:w="0" w:type="auto"/>
          </w:tcPr>
          <w:p w14:paraId="2FFF8E94" w14:textId="77777777" w:rsidR="009F7636" w:rsidRDefault="009F7636" w:rsidP="00D43CB8">
            <w:pPr>
              <w:rPr>
                <w:color w:val="000000" w:themeColor="text1"/>
              </w:rPr>
            </w:pPr>
          </w:p>
        </w:tc>
        <w:tc>
          <w:tcPr>
            <w:tcW w:w="0" w:type="auto"/>
          </w:tcPr>
          <w:p w14:paraId="7A0DA0D3" w14:textId="3B4BF60D" w:rsidR="009F7636" w:rsidRDefault="009F7636" w:rsidP="00D43CB8">
            <w:r>
              <w:t xml:space="preserve">Pathloss reference </w:t>
            </w:r>
            <w:r w:rsidR="00721BA2">
              <w:t>signal switch delay</w:t>
            </w:r>
          </w:p>
        </w:tc>
        <w:tc>
          <w:tcPr>
            <w:tcW w:w="0" w:type="auto"/>
          </w:tcPr>
          <w:p w14:paraId="77DFAF6B" w14:textId="78CCB1DC" w:rsidR="009F7636" w:rsidRPr="00F66BA2" w:rsidRDefault="00E04517" w:rsidP="00D43CB8">
            <w:pPr>
              <w:rPr>
                <w:color w:val="000000" w:themeColor="text1"/>
              </w:rPr>
            </w:pPr>
            <w:r>
              <w:rPr>
                <w:color w:val="000000" w:themeColor="text1"/>
              </w:rPr>
              <w:t xml:space="preserve">This feature is related to </w:t>
            </w:r>
            <w:proofErr w:type="spellStart"/>
            <w:r>
              <w:rPr>
                <w:color w:val="000000" w:themeColor="text1"/>
              </w:rPr>
              <w:t>eMIMO</w:t>
            </w:r>
            <w:proofErr w:type="spellEnd"/>
            <w:r>
              <w:rPr>
                <w:color w:val="000000" w:themeColor="text1"/>
              </w:rPr>
              <w:t xml:space="preserve"> and thus no need to consider for A2G.  </w:t>
            </w:r>
          </w:p>
        </w:tc>
      </w:tr>
      <w:tr w:rsidR="00B272EB" w:rsidRPr="008E1550" w14:paraId="036DC452" w14:textId="77777777" w:rsidTr="00D43CB8">
        <w:tc>
          <w:tcPr>
            <w:tcW w:w="0" w:type="auto"/>
          </w:tcPr>
          <w:p w14:paraId="1FD0968B" w14:textId="77777777" w:rsidR="00B272EB" w:rsidRDefault="00B272EB" w:rsidP="00D43CB8">
            <w:pPr>
              <w:rPr>
                <w:color w:val="000000" w:themeColor="text1"/>
              </w:rPr>
            </w:pPr>
          </w:p>
        </w:tc>
        <w:tc>
          <w:tcPr>
            <w:tcW w:w="0" w:type="auto"/>
          </w:tcPr>
          <w:p w14:paraId="202C242C" w14:textId="1951E80F" w:rsidR="00B272EB" w:rsidRDefault="00F60282" w:rsidP="00D43CB8">
            <w:pPr>
              <w:rPr>
                <w:color w:val="000000" w:themeColor="text1"/>
              </w:rPr>
            </w:pPr>
            <w:proofErr w:type="spellStart"/>
            <w:r>
              <w:rPr>
                <w:color w:val="000000" w:themeColor="text1"/>
              </w:rPr>
              <w:t>SCell</w:t>
            </w:r>
            <w:proofErr w:type="spellEnd"/>
            <w:r>
              <w:rPr>
                <w:color w:val="000000" w:themeColor="text1"/>
              </w:rPr>
              <w:t xml:space="preserve"> activation </w:t>
            </w:r>
            <w:r w:rsidR="00110706">
              <w:rPr>
                <w:color w:val="000000" w:themeColor="text1"/>
              </w:rPr>
              <w:t xml:space="preserve">and deactivation </w:t>
            </w:r>
            <w:r>
              <w:rPr>
                <w:color w:val="000000" w:themeColor="text1"/>
              </w:rPr>
              <w:t>delay</w:t>
            </w:r>
          </w:p>
        </w:tc>
        <w:tc>
          <w:tcPr>
            <w:tcW w:w="0" w:type="auto"/>
          </w:tcPr>
          <w:p w14:paraId="58745F02" w14:textId="3F7832C9" w:rsidR="00B272EB" w:rsidRPr="00F66BA2" w:rsidRDefault="0037027E" w:rsidP="00D43CB8">
            <w:pPr>
              <w:rPr>
                <w:color w:val="000000" w:themeColor="text1"/>
              </w:rPr>
            </w:pPr>
            <w:r>
              <w:rPr>
                <w:color w:val="000000" w:themeColor="text1"/>
              </w:rPr>
              <w:t>Depends on the scope of WI. If CA/</w:t>
            </w:r>
            <w:proofErr w:type="spellStart"/>
            <w:r>
              <w:rPr>
                <w:color w:val="000000" w:themeColor="text1"/>
              </w:rPr>
              <w:t>multicarriers</w:t>
            </w:r>
            <w:proofErr w:type="spellEnd"/>
            <w:r>
              <w:rPr>
                <w:color w:val="000000" w:themeColor="text1"/>
              </w:rPr>
              <w:t xml:space="preserve"> are </w:t>
            </w:r>
            <w:proofErr w:type="gramStart"/>
            <w:r>
              <w:rPr>
                <w:color w:val="000000" w:themeColor="text1"/>
              </w:rPr>
              <w:t>supported</w:t>
            </w:r>
            <w:proofErr w:type="gramEnd"/>
            <w:r>
              <w:rPr>
                <w:color w:val="000000" w:themeColor="text1"/>
              </w:rPr>
              <w:t xml:space="preserve"> then the existing requirements can be used as baseline. </w:t>
            </w:r>
          </w:p>
        </w:tc>
      </w:tr>
      <w:tr w:rsidR="00F87B5C" w:rsidRPr="008E1550" w14:paraId="1E0BED9F" w14:textId="77777777" w:rsidTr="008C547C">
        <w:tc>
          <w:tcPr>
            <w:tcW w:w="0" w:type="auto"/>
            <w:vMerge w:val="restart"/>
          </w:tcPr>
          <w:p w14:paraId="02FF5D0E" w14:textId="1AD24B23" w:rsidR="00F87B5C" w:rsidRPr="00BD0817" w:rsidRDefault="00F87B5C" w:rsidP="008C547C">
            <w:pPr>
              <w:rPr>
                <w:color w:val="000000" w:themeColor="text1"/>
              </w:rPr>
            </w:pPr>
            <w:r w:rsidRPr="00C359BB">
              <w:rPr>
                <w:color w:val="000000" w:themeColor="text1"/>
              </w:rPr>
              <w:t>Measurement</w:t>
            </w:r>
          </w:p>
        </w:tc>
        <w:tc>
          <w:tcPr>
            <w:tcW w:w="0" w:type="auto"/>
          </w:tcPr>
          <w:p w14:paraId="19A18814" w14:textId="46E2A5CF" w:rsidR="00F87B5C" w:rsidRDefault="00F87B5C" w:rsidP="008C547C">
            <w:pPr>
              <w:rPr>
                <w:color w:val="000000" w:themeColor="text1"/>
              </w:rPr>
            </w:pPr>
            <w:r>
              <w:rPr>
                <w:color w:val="000000" w:themeColor="text1"/>
              </w:rPr>
              <w:t>Measurement gap</w:t>
            </w:r>
          </w:p>
        </w:tc>
        <w:tc>
          <w:tcPr>
            <w:tcW w:w="0" w:type="auto"/>
          </w:tcPr>
          <w:p w14:paraId="64EE1E43" w14:textId="49257D76" w:rsidR="00F87B5C" w:rsidRDefault="00F87B5C" w:rsidP="00BD0817">
            <w:pPr>
              <w:rPr>
                <w:color w:val="000000" w:themeColor="text1"/>
              </w:rPr>
            </w:pPr>
            <w:r>
              <w:rPr>
                <w:color w:val="000000" w:themeColor="text1"/>
              </w:rPr>
              <w:t>Only FR1 MG is considered in ATG network.</w:t>
            </w:r>
          </w:p>
        </w:tc>
      </w:tr>
      <w:tr w:rsidR="00110706" w:rsidRPr="008E1550" w14:paraId="098A3B41" w14:textId="77777777" w:rsidTr="008C547C">
        <w:tc>
          <w:tcPr>
            <w:tcW w:w="0" w:type="auto"/>
            <w:vMerge/>
          </w:tcPr>
          <w:p w14:paraId="252CBDD2" w14:textId="3B92559C" w:rsidR="00E66903" w:rsidRDefault="00E66903" w:rsidP="00D43CB8">
            <w:pPr>
              <w:rPr>
                <w:color w:val="000000" w:themeColor="text1"/>
              </w:rPr>
            </w:pPr>
          </w:p>
        </w:tc>
        <w:tc>
          <w:tcPr>
            <w:tcW w:w="0" w:type="auto"/>
          </w:tcPr>
          <w:p w14:paraId="407AEA0B" w14:textId="7CEAA9F8" w:rsidR="00E66903" w:rsidRPr="00C660B7" w:rsidRDefault="00F87B5C" w:rsidP="00D43CB8">
            <w:pPr>
              <w:rPr>
                <w:color w:val="000000" w:themeColor="text1"/>
              </w:rPr>
            </w:pPr>
            <w:r>
              <w:rPr>
                <w:color w:val="000000" w:themeColor="text1"/>
              </w:rPr>
              <w:t>Intra-frequency measurement</w:t>
            </w:r>
          </w:p>
        </w:tc>
        <w:tc>
          <w:tcPr>
            <w:tcW w:w="0" w:type="auto"/>
          </w:tcPr>
          <w:p w14:paraId="72485075" w14:textId="77777777" w:rsidR="00F87B5C" w:rsidRDefault="00F87B5C" w:rsidP="00BD0817">
            <w:pPr>
              <w:rPr>
                <w:color w:val="000000" w:themeColor="text1"/>
              </w:rPr>
            </w:pPr>
            <w:r>
              <w:rPr>
                <w:color w:val="000000" w:themeColor="text1"/>
              </w:rPr>
              <w:t xml:space="preserve">CSSF needs update if single carrier is supported, such as no deactivated </w:t>
            </w:r>
            <w:proofErr w:type="spellStart"/>
            <w:r>
              <w:rPr>
                <w:color w:val="000000" w:themeColor="text1"/>
              </w:rPr>
              <w:t>SCell</w:t>
            </w:r>
            <w:proofErr w:type="spellEnd"/>
            <w:r>
              <w:rPr>
                <w:color w:val="000000" w:themeColor="text1"/>
              </w:rPr>
              <w:t xml:space="preserve"> measurement, no SCCs, </w:t>
            </w:r>
            <w:proofErr w:type="spellStart"/>
            <w:r>
              <w:rPr>
                <w:color w:val="000000" w:themeColor="text1"/>
              </w:rPr>
              <w:t>PSCell</w:t>
            </w:r>
            <w:proofErr w:type="spellEnd"/>
            <w:r>
              <w:rPr>
                <w:color w:val="000000" w:themeColor="text1"/>
              </w:rPr>
              <w:t xml:space="preserve"> measurement.</w:t>
            </w:r>
          </w:p>
          <w:p w14:paraId="75FD17E2" w14:textId="14B33C8F" w:rsidR="00E66903" w:rsidRPr="00C359BB" w:rsidRDefault="00F87B5C" w:rsidP="00C359BB">
            <w:pPr>
              <w:rPr>
                <w:color w:val="000000" w:themeColor="text1"/>
                <w:lang w:val="en-US"/>
              </w:rPr>
            </w:pPr>
            <w:proofErr w:type="spellStart"/>
            <w:r>
              <w:rPr>
                <w:color w:val="000000" w:themeColor="text1"/>
              </w:rPr>
              <w:t>RedCap</w:t>
            </w:r>
            <w:proofErr w:type="spellEnd"/>
            <w:r>
              <w:rPr>
                <w:color w:val="000000" w:themeColor="text1"/>
              </w:rPr>
              <w:t xml:space="preserve"> measurement requirement can be a reference. </w:t>
            </w:r>
          </w:p>
        </w:tc>
      </w:tr>
      <w:tr w:rsidR="00F87B5C" w:rsidRPr="008E1550" w14:paraId="5F1C6308" w14:textId="77777777" w:rsidTr="008C547C">
        <w:tc>
          <w:tcPr>
            <w:tcW w:w="0" w:type="auto"/>
            <w:vMerge/>
          </w:tcPr>
          <w:p w14:paraId="372A7F49" w14:textId="77777777" w:rsidR="00F87B5C" w:rsidRPr="00BD0817" w:rsidRDefault="00F87B5C" w:rsidP="008C547C">
            <w:pPr>
              <w:rPr>
                <w:color w:val="000000" w:themeColor="text1"/>
              </w:rPr>
            </w:pPr>
          </w:p>
        </w:tc>
        <w:tc>
          <w:tcPr>
            <w:tcW w:w="0" w:type="auto"/>
          </w:tcPr>
          <w:p w14:paraId="7461DDB2" w14:textId="33E4203A" w:rsidR="00F87B5C" w:rsidRDefault="00F87B5C" w:rsidP="008C547C">
            <w:pPr>
              <w:rPr>
                <w:color w:val="000000" w:themeColor="text1"/>
              </w:rPr>
            </w:pPr>
            <w:r>
              <w:rPr>
                <w:color w:val="000000" w:themeColor="text1"/>
              </w:rPr>
              <w:t>Inter-frequency measurement</w:t>
            </w:r>
          </w:p>
        </w:tc>
        <w:tc>
          <w:tcPr>
            <w:tcW w:w="0" w:type="auto"/>
          </w:tcPr>
          <w:p w14:paraId="6982EF1F" w14:textId="048513A3" w:rsidR="00F87B5C" w:rsidRPr="00C359BB" w:rsidDel="00BD0817" w:rsidRDefault="00F87B5C" w:rsidP="00BD0817">
            <w:pPr>
              <w:rPr>
                <w:color w:val="000000" w:themeColor="text1"/>
              </w:rPr>
            </w:pPr>
            <w:r>
              <w:rPr>
                <w:color w:val="000000" w:themeColor="text1"/>
              </w:rPr>
              <w:t xml:space="preserve">RAN4 can further study the trade-off between Inter-frequency measurement within MG and the throughput due to large cell coverage. </w:t>
            </w:r>
          </w:p>
        </w:tc>
      </w:tr>
      <w:tr w:rsidR="00F87B5C" w:rsidRPr="008E1550" w14:paraId="23D6BE58" w14:textId="77777777" w:rsidTr="008C547C">
        <w:tc>
          <w:tcPr>
            <w:tcW w:w="0" w:type="auto"/>
            <w:vMerge/>
          </w:tcPr>
          <w:p w14:paraId="5EB67C29" w14:textId="77777777" w:rsidR="00F87B5C" w:rsidRPr="00BD0817" w:rsidRDefault="00F87B5C" w:rsidP="008C547C">
            <w:pPr>
              <w:rPr>
                <w:color w:val="000000" w:themeColor="text1"/>
              </w:rPr>
            </w:pPr>
          </w:p>
        </w:tc>
        <w:tc>
          <w:tcPr>
            <w:tcW w:w="0" w:type="auto"/>
          </w:tcPr>
          <w:p w14:paraId="19C60976" w14:textId="3195125F" w:rsidR="00F87B5C" w:rsidRDefault="00F87B5C" w:rsidP="008C547C">
            <w:pPr>
              <w:rPr>
                <w:color w:val="000000" w:themeColor="text1"/>
              </w:rPr>
            </w:pPr>
            <w:r>
              <w:rPr>
                <w:color w:val="000000" w:themeColor="text1"/>
              </w:rPr>
              <w:t>Inter-RAT measurement</w:t>
            </w:r>
          </w:p>
        </w:tc>
        <w:tc>
          <w:tcPr>
            <w:tcW w:w="0" w:type="auto"/>
          </w:tcPr>
          <w:p w14:paraId="5D65C22A" w14:textId="69DF2DA5" w:rsidR="00F87B5C" w:rsidRPr="00C359BB" w:rsidDel="00BD0817" w:rsidRDefault="00F87B5C" w:rsidP="00BD0817">
            <w:pPr>
              <w:rPr>
                <w:color w:val="000000" w:themeColor="text1"/>
              </w:rPr>
            </w:pPr>
            <w:r>
              <w:rPr>
                <w:color w:val="000000" w:themeColor="text1"/>
              </w:rPr>
              <w:t xml:space="preserve">UE doesn’t need to support any inter-RAT measurement in </w:t>
            </w:r>
            <w:r w:rsidRPr="00C359BB">
              <w:rPr>
                <w:color w:val="000000" w:themeColor="text1"/>
              </w:rPr>
              <w:t>ATG</w:t>
            </w:r>
            <w:r>
              <w:rPr>
                <w:color w:val="000000" w:themeColor="text1"/>
              </w:rPr>
              <w:t xml:space="preserve"> system.</w:t>
            </w:r>
            <w:r w:rsidRPr="00C359BB">
              <w:rPr>
                <w:color w:val="000000" w:themeColor="text1"/>
              </w:rPr>
              <w:t xml:space="preserve"> </w:t>
            </w:r>
          </w:p>
        </w:tc>
      </w:tr>
      <w:tr w:rsidR="00F87B5C" w:rsidRPr="008E1550" w14:paraId="09ECA588" w14:textId="77777777" w:rsidTr="008C547C">
        <w:tc>
          <w:tcPr>
            <w:tcW w:w="0" w:type="auto"/>
            <w:vMerge/>
          </w:tcPr>
          <w:p w14:paraId="4B564794" w14:textId="77777777" w:rsidR="00F87B5C" w:rsidRPr="00BD0817" w:rsidRDefault="00F87B5C" w:rsidP="008C547C">
            <w:pPr>
              <w:rPr>
                <w:color w:val="000000" w:themeColor="text1"/>
              </w:rPr>
            </w:pPr>
          </w:p>
        </w:tc>
        <w:tc>
          <w:tcPr>
            <w:tcW w:w="0" w:type="auto"/>
          </w:tcPr>
          <w:p w14:paraId="4804D560" w14:textId="78D507A6" w:rsidR="00F87B5C" w:rsidRDefault="00F87B5C" w:rsidP="008C547C">
            <w:pPr>
              <w:rPr>
                <w:color w:val="000000" w:themeColor="text1"/>
              </w:rPr>
            </w:pPr>
            <w:r>
              <w:rPr>
                <w:color w:val="000000" w:themeColor="text1"/>
              </w:rPr>
              <w:t>CGI reading</w:t>
            </w:r>
          </w:p>
        </w:tc>
        <w:tc>
          <w:tcPr>
            <w:tcW w:w="0" w:type="auto"/>
          </w:tcPr>
          <w:p w14:paraId="7C7AB131" w14:textId="1CDBC109" w:rsidR="00F87B5C" w:rsidRDefault="00F87B5C" w:rsidP="00BD0817">
            <w:pPr>
              <w:rPr>
                <w:color w:val="000000" w:themeColor="text1"/>
              </w:rPr>
            </w:pPr>
            <w:r>
              <w:rPr>
                <w:color w:val="000000" w:themeColor="text1"/>
              </w:rPr>
              <w:t>RAN4 to further discuss whether UE supports CGI reading in ATG system.</w:t>
            </w:r>
          </w:p>
        </w:tc>
      </w:tr>
    </w:tbl>
    <w:p w14:paraId="371B817D" w14:textId="23AFF83E" w:rsidR="005C74A5" w:rsidRDefault="005C74A5" w:rsidP="005C74A5"/>
    <w:p w14:paraId="78261904" w14:textId="581FB113" w:rsidR="00C26AD5" w:rsidRDefault="00C26AD5" w:rsidP="005C74A5">
      <w:pPr>
        <w:rPr>
          <w:lang w:val="en-US"/>
        </w:rPr>
      </w:pPr>
      <w:r>
        <w:rPr>
          <w:lang w:val="en-US"/>
        </w:rPr>
        <w:t>Based on the above analysis following proposals are made:</w:t>
      </w:r>
    </w:p>
    <w:p w14:paraId="19A180C7" w14:textId="77777777" w:rsidR="00C26AD5" w:rsidRDefault="00C26AD5" w:rsidP="00C26AD5">
      <w:pPr>
        <w:pStyle w:val="Caption"/>
        <w:jc w:val="left"/>
      </w:pPr>
      <w:r>
        <w:t xml:space="preserve">Proposal </w:t>
      </w:r>
      <w:r>
        <w:fldChar w:fldCharType="begin"/>
      </w:r>
      <w:r>
        <w:instrText xml:space="preserve"> SEQ Proposal \* ARABIC </w:instrText>
      </w:r>
      <w:r>
        <w:fldChar w:fldCharType="separate"/>
      </w:r>
      <w:r>
        <w:rPr>
          <w:noProof/>
        </w:rPr>
        <w:t>1</w:t>
      </w:r>
      <w:r>
        <w:rPr>
          <w:noProof/>
        </w:rPr>
        <w:fldChar w:fldCharType="end"/>
      </w:r>
      <w:r>
        <w:tab/>
        <w:t xml:space="preserve">General section on bands and terminologies are updated with A2G bands and terminologies. </w:t>
      </w:r>
    </w:p>
    <w:p w14:paraId="63D61D72" w14:textId="77777777" w:rsidR="00C26AD5" w:rsidRPr="00ED6450" w:rsidRDefault="00C26AD5" w:rsidP="00C26AD5">
      <w:pPr>
        <w:pStyle w:val="Caption"/>
        <w:ind w:left="1134" w:hanging="1134"/>
        <w:jc w:val="left"/>
      </w:pPr>
      <w:r>
        <w:lastRenderedPageBreak/>
        <w:t xml:space="preserve">Proposal </w:t>
      </w:r>
      <w:r>
        <w:fldChar w:fldCharType="begin"/>
      </w:r>
      <w:r>
        <w:instrText xml:space="preserve"> SEQ Proposal \* ARABIC </w:instrText>
      </w:r>
      <w:r>
        <w:fldChar w:fldCharType="separate"/>
      </w:r>
      <w:r>
        <w:rPr>
          <w:noProof/>
        </w:rPr>
        <w:t>2</w:t>
      </w:r>
      <w:r>
        <w:rPr>
          <w:noProof/>
        </w:rPr>
        <w:fldChar w:fldCharType="end"/>
      </w:r>
      <w:r>
        <w:tab/>
        <w:t xml:space="preserve">RAN4 to assess if existing IDLE/INACTIVE requirements on serving cell evaluation from HST </w:t>
      </w:r>
      <w:r w:rsidRPr="00216EDF">
        <w:t>can be reused</w:t>
      </w:r>
      <w:r w:rsidRPr="00ED6450">
        <w:t xml:space="preserve"> for A2G.</w:t>
      </w:r>
    </w:p>
    <w:p w14:paraId="28347F60" w14:textId="77777777" w:rsidR="00C26AD5" w:rsidRPr="00A862AF" w:rsidRDefault="00C26AD5" w:rsidP="00C26AD5">
      <w:pPr>
        <w:pStyle w:val="Caption"/>
        <w:ind w:left="1134" w:hanging="1134"/>
        <w:jc w:val="left"/>
      </w:pPr>
      <w:r w:rsidRPr="00C359BB">
        <w:t xml:space="preserve">Proposal </w:t>
      </w:r>
      <w:r>
        <w:fldChar w:fldCharType="begin"/>
      </w:r>
      <w:r>
        <w:instrText xml:space="preserve"> SEQ Proposal \* ARABIC </w:instrText>
      </w:r>
      <w:r>
        <w:fldChar w:fldCharType="separate"/>
      </w:r>
      <w:r>
        <w:rPr>
          <w:noProof/>
        </w:rPr>
        <w:t>3</w:t>
      </w:r>
      <w:r>
        <w:rPr>
          <w:noProof/>
        </w:rPr>
        <w:fldChar w:fldCharType="end"/>
      </w:r>
      <w:r w:rsidRPr="00C359BB">
        <w:tab/>
        <w:t>The A2G UE is allowed to not measure on the neighbour cells based on the coverage</w:t>
      </w:r>
      <w:r w:rsidRPr="00216EDF">
        <w:t xml:space="preserve"> information of the serving cell</w:t>
      </w:r>
      <w:r w:rsidRPr="00C359BB">
        <w:t xml:space="preserve"> </w:t>
      </w:r>
      <w:proofErr w:type="gramStart"/>
      <w:r w:rsidRPr="00C359BB">
        <w:t>e.g.</w:t>
      </w:r>
      <w:proofErr w:type="gramEnd"/>
      <w:r w:rsidRPr="00C359BB">
        <w:t xml:space="preserve"> if serving cell RSRP is above threshold.</w:t>
      </w:r>
      <w:r>
        <w:t xml:space="preserve"> </w:t>
      </w:r>
    </w:p>
    <w:p w14:paraId="01073B01" w14:textId="77777777" w:rsidR="00C26AD5" w:rsidRPr="00216EDF" w:rsidRDefault="00C26AD5" w:rsidP="00C26AD5">
      <w:pPr>
        <w:rPr>
          <w:b/>
        </w:rPr>
      </w:pPr>
      <w:r w:rsidRPr="00216EDF">
        <w:rPr>
          <w:b/>
        </w:rPr>
        <w:t xml:space="preserve">Proposal </w:t>
      </w:r>
      <w:r w:rsidRPr="00216EDF">
        <w:rPr>
          <w:b/>
        </w:rPr>
        <w:fldChar w:fldCharType="begin"/>
      </w:r>
      <w:r w:rsidRPr="00216EDF">
        <w:rPr>
          <w:b/>
        </w:rPr>
        <w:instrText xml:space="preserve"> SEQ Proposal \* ARABIC </w:instrText>
      </w:r>
      <w:r w:rsidRPr="00216EDF">
        <w:rPr>
          <w:b/>
        </w:rPr>
        <w:fldChar w:fldCharType="separate"/>
      </w:r>
      <w:r>
        <w:rPr>
          <w:b/>
          <w:noProof/>
        </w:rPr>
        <w:t>4</w:t>
      </w:r>
      <w:r w:rsidRPr="00216EDF">
        <w:rPr>
          <w:b/>
        </w:rPr>
        <w:fldChar w:fldCharType="end"/>
      </w:r>
      <w:r>
        <w:rPr>
          <w:b/>
        </w:rPr>
        <w:tab/>
      </w:r>
      <w:r>
        <w:rPr>
          <w:b/>
          <w:lang w:val="en-US"/>
        </w:rPr>
        <w:t>For cell reselection and handover, t</w:t>
      </w:r>
      <w:r w:rsidRPr="00216EDF">
        <w:rPr>
          <w:b/>
        </w:rPr>
        <w:t xml:space="preserve">he A2G UE should resume the </w:t>
      </w:r>
      <w:proofErr w:type="spellStart"/>
      <w:r w:rsidRPr="00216EDF">
        <w:rPr>
          <w:b/>
        </w:rPr>
        <w:t>neighbor</w:t>
      </w:r>
      <w:proofErr w:type="spellEnd"/>
      <w:r w:rsidRPr="00216EDF">
        <w:rPr>
          <w:b/>
        </w:rPr>
        <w:t xml:space="preserve"> cell measurement in normal manner without any relaxation if there is any unpredictable change in flight path or sudden drop in </w:t>
      </w:r>
      <w:r>
        <w:rPr>
          <w:b/>
          <w:bCs/>
        </w:rPr>
        <w:t xml:space="preserve">aircraft </w:t>
      </w:r>
      <w:r w:rsidRPr="00216EDF">
        <w:rPr>
          <w:b/>
        </w:rPr>
        <w:t xml:space="preserve">height due to any critical or </w:t>
      </w:r>
      <w:proofErr w:type="gramStart"/>
      <w:r w:rsidRPr="00216EDF">
        <w:rPr>
          <w:b/>
        </w:rPr>
        <w:t>emergency situation</w:t>
      </w:r>
      <w:proofErr w:type="gramEnd"/>
      <w:r w:rsidRPr="00216EDF">
        <w:rPr>
          <w:b/>
        </w:rPr>
        <w:t>.</w:t>
      </w:r>
    </w:p>
    <w:p w14:paraId="0D6F4087" w14:textId="77777777" w:rsidR="00C26AD5" w:rsidRPr="00116B0C" w:rsidRDefault="00C26AD5" w:rsidP="00C26AD5">
      <w:r w:rsidRPr="00116B0C">
        <w:rPr>
          <w:b/>
        </w:rPr>
        <w:t xml:space="preserve">Proposal </w:t>
      </w:r>
      <w:r w:rsidRPr="00216EDF">
        <w:rPr>
          <w:b/>
        </w:rPr>
        <w:fldChar w:fldCharType="begin"/>
      </w:r>
      <w:r w:rsidRPr="00116B0C">
        <w:rPr>
          <w:b/>
        </w:rPr>
        <w:instrText xml:space="preserve"> SEQ Proposal \* ARABIC </w:instrText>
      </w:r>
      <w:r w:rsidRPr="00216EDF">
        <w:rPr>
          <w:b/>
        </w:rPr>
        <w:fldChar w:fldCharType="separate"/>
      </w:r>
      <w:r>
        <w:rPr>
          <w:b/>
          <w:noProof/>
        </w:rPr>
        <w:t>5</w:t>
      </w:r>
      <w:r w:rsidRPr="00216EDF">
        <w:rPr>
          <w:b/>
        </w:rPr>
        <w:fldChar w:fldCharType="end"/>
      </w:r>
      <w:r w:rsidRPr="00116B0C">
        <w:rPr>
          <w:b/>
        </w:rPr>
        <w:tab/>
      </w:r>
      <w:r>
        <w:rPr>
          <w:b/>
          <w:lang w:val="en-US"/>
        </w:rPr>
        <w:t xml:space="preserve">For cell reselection and </w:t>
      </w:r>
      <w:proofErr w:type="gramStart"/>
      <w:r>
        <w:rPr>
          <w:b/>
          <w:lang w:val="en-US"/>
        </w:rPr>
        <w:t xml:space="preserve">handover, </w:t>
      </w:r>
      <w:r w:rsidRPr="00116B0C">
        <w:rPr>
          <w:b/>
        </w:rPr>
        <w:t xml:space="preserve"> UE</w:t>
      </w:r>
      <w:proofErr w:type="gramEnd"/>
      <w:r w:rsidRPr="00116B0C">
        <w:rPr>
          <w:b/>
        </w:rPr>
        <w:t xml:space="preserve"> can determine the sudden change in the flight path autonomously (e.g. internally from flight data) or based on assistance information from the ground base station. Details are FFS.</w:t>
      </w:r>
    </w:p>
    <w:p w14:paraId="000B2023" w14:textId="77777777" w:rsidR="00C26AD5" w:rsidRPr="00A862AF" w:rsidRDefault="00C26AD5" w:rsidP="00C26AD5">
      <w:pPr>
        <w:pStyle w:val="Caption"/>
        <w:ind w:left="1134" w:hanging="1134"/>
        <w:jc w:val="left"/>
      </w:pPr>
      <w:r>
        <w:t xml:space="preserve">Proposal </w:t>
      </w:r>
      <w:r>
        <w:fldChar w:fldCharType="begin"/>
      </w:r>
      <w:r>
        <w:instrText xml:space="preserve"> SEQ Proposal \* ARABIC </w:instrText>
      </w:r>
      <w:r>
        <w:fldChar w:fldCharType="separate"/>
      </w:r>
      <w:r>
        <w:rPr>
          <w:noProof/>
        </w:rPr>
        <w:t>6</w:t>
      </w:r>
      <w:r>
        <w:rPr>
          <w:noProof/>
        </w:rPr>
        <w:fldChar w:fldCharType="end"/>
      </w:r>
      <w:r>
        <w:tab/>
        <w:t xml:space="preserve">The measurement capability requirements </w:t>
      </w:r>
      <w:r>
        <w:rPr>
          <w:lang w:val="en-US"/>
        </w:rPr>
        <w:t>of A2G is FFS</w:t>
      </w:r>
      <w:r>
        <w:t xml:space="preserve">. </w:t>
      </w:r>
    </w:p>
    <w:p w14:paraId="45DC9A52" w14:textId="77777777" w:rsidR="00C26AD5" w:rsidRPr="00A862AF" w:rsidRDefault="00C26AD5" w:rsidP="00C26AD5">
      <w:pPr>
        <w:pStyle w:val="Caption"/>
        <w:ind w:left="1134" w:hanging="1134"/>
        <w:jc w:val="left"/>
      </w:pPr>
      <w:r>
        <w:t xml:space="preserve">Proposal </w:t>
      </w:r>
      <w:r>
        <w:fldChar w:fldCharType="begin"/>
      </w:r>
      <w:r>
        <w:instrText xml:space="preserve"> SEQ Proposal \* ARABIC </w:instrText>
      </w:r>
      <w:r>
        <w:fldChar w:fldCharType="separate"/>
      </w:r>
      <w:r>
        <w:rPr>
          <w:noProof/>
        </w:rPr>
        <w:t>7</w:t>
      </w:r>
      <w:r>
        <w:rPr>
          <w:noProof/>
        </w:rPr>
        <w:fldChar w:fldCharType="end"/>
      </w:r>
      <w:r>
        <w:tab/>
        <w:t xml:space="preserve">The current IDLE/INACTIVE paging reception requirements, excluding inter-RAT, are reused for A2G. </w:t>
      </w:r>
    </w:p>
    <w:p w14:paraId="3B191571" w14:textId="77777777" w:rsidR="00C26AD5" w:rsidRPr="00A862AF" w:rsidRDefault="00C26AD5" w:rsidP="00C26AD5">
      <w:pPr>
        <w:pStyle w:val="Caption"/>
        <w:ind w:left="1134" w:hanging="1134"/>
        <w:jc w:val="left"/>
      </w:pPr>
      <w:r>
        <w:t xml:space="preserve">Proposal </w:t>
      </w:r>
      <w:r>
        <w:fldChar w:fldCharType="begin"/>
      </w:r>
      <w:r>
        <w:instrText xml:space="preserve"> SEQ Proposal \* ARABIC </w:instrText>
      </w:r>
      <w:r>
        <w:fldChar w:fldCharType="separate"/>
      </w:r>
      <w:r>
        <w:rPr>
          <w:noProof/>
        </w:rPr>
        <w:t>8</w:t>
      </w:r>
      <w:r>
        <w:rPr>
          <w:noProof/>
        </w:rPr>
        <w:fldChar w:fldCharType="end"/>
      </w:r>
      <w:r>
        <w:tab/>
        <w:t xml:space="preserve">SDT requirements are defined for A2G. Details are FSS.  </w:t>
      </w:r>
    </w:p>
    <w:p w14:paraId="4C587128" w14:textId="77777777" w:rsidR="00C26AD5" w:rsidRPr="00A862AF" w:rsidRDefault="00C26AD5" w:rsidP="00C26AD5">
      <w:pPr>
        <w:pStyle w:val="Caption"/>
        <w:ind w:left="1134" w:hanging="1134"/>
        <w:jc w:val="left"/>
      </w:pPr>
      <w:r>
        <w:t xml:space="preserve">Proposal </w:t>
      </w:r>
      <w:r>
        <w:fldChar w:fldCharType="begin"/>
      </w:r>
      <w:r>
        <w:instrText xml:space="preserve"> SEQ Proposal \* ARABIC </w:instrText>
      </w:r>
      <w:r>
        <w:fldChar w:fldCharType="separate"/>
      </w:r>
      <w:r>
        <w:rPr>
          <w:noProof/>
        </w:rPr>
        <w:t>9</w:t>
      </w:r>
      <w:r>
        <w:rPr>
          <w:noProof/>
        </w:rPr>
        <w:fldChar w:fldCharType="end"/>
      </w:r>
      <w:r>
        <w:tab/>
      </w:r>
      <w:r w:rsidRPr="00BC00C8">
        <w:rPr>
          <w:color w:val="000000" w:themeColor="text1"/>
        </w:rPr>
        <w:t>The principle from the legacy RRC re-establishment requirements can be reused</w:t>
      </w:r>
      <w:r>
        <w:rPr>
          <w:color w:val="000000" w:themeColor="text1"/>
          <w:lang w:val="en-US"/>
        </w:rPr>
        <w:t xml:space="preserve"> as baseline for A2G, and any further impact is FFS</w:t>
      </w:r>
      <w:r>
        <w:t xml:space="preserve">.  </w:t>
      </w:r>
    </w:p>
    <w:p w14:paraId="77F9F4F4" w14:textId="77777777" w:rsidR="00C26AD5" w:rsidRPr="00A862AF" w:rsidRDefault="00C26AD5" w:rsidP="00C26AD5">
      <w:pPr>
        <w:pStyle w:val="Caption"/>
        <w:ind w:left="1134" w:hanging="1134"/>
        <w:jc w:val="left"/>
      </w:pPr>
      <w:r>
        <w:t xml:space="preserve">Proposal </w:t>
      </w:r>
      <w:r>
        <w:fldChar w:fldCharType="begin"/>
      </w:r>
      <w:r>
        <w:instrText xml:space="preserve"> SEQ Proposal \* ARABIC </w:instrText>
      </w:r>
      <w:r>
        <w:fldChar w:fldCharType="separate"/>
      </w:r>
      <w:r>
        <w:rPr>
          <w:noProof/>
        </w:rPr>
        <w:t>10</w:t>
      </w:r>
      <w:r>
        <w:rPr>
          <w:noProof/>
        </w:rPr>
        <w:fldChar w:fldCharType="end"/>
      </w:r>
      <w:r>
        <w:tab/>
      </w:r>
      <w:r w:rsidRPr="00BC00C8">
        <w:rPr>
          <w:color w:val="000000" w:themeColor="text1"/>
        </w:rPr>
        <w:t xml:space="preserve">The principle from the </w:t>
      </w:r>
      <w:proofErr w:type="gramStart"/>
      <w:r>
        <w:rPr>
          <w:color w:val="000000" w:themeColor="text1"/>
          <w:lang w:val="en-US"/>
        </w:rPr>
        <w:t>random access</w:t>
      </w:r>
      <w:proofErr w:type="gramEnd"/>
      <w:r>
        <w:rPr>
          <w:color w:val="000000" w:themeColor="text1"/>
          <w:lang w:val="en-US"/>
        </w:rPr>
        <w:t xml:space="preserve"> </w:t>
      </w:r>
      <w:r w:rsidRPr="00BC00C8">
        <w:rPr>
          <w:color w:val="000000" w:themeColor="text1"/>
        </w:rPr>
        <w:t>requirements can be reused</w:t>
      </w:r>
      <w:r>
        <w:rPr>
          <w:color w:val="000000" w:themeColor="text1"/>
          <w:lang w:val="en-US"/>
        </w:rPr>
        <w:t xml:space="preserve"> as baseline for A2G, and any further impact is FFS</w:t>
      </w:r>
      <w:r>
        <w:t xml:space="preserve">.  </w:t>
      </w:r>
    </w:p>
    <w:p w14:paraId="4B372449" w14:textId="77777777" w:rsidR="00C26AD5" w:rsidRPr="00A862AF" w:rsidRDefault="00C26AD5" w:rsidP="00C26AD5">
      <w:pPr>
        <w:pStyle w:val="Caption"/>
        <w:ind w:left="1134" w:hanging="1134"/>
        <w:jc w:val="left"/>
      </w:pPr>
      <w:r>
        <w:t xml:space="preserve">Proposal </w:t>
      </w:r>
      <w:r>
        <w:fldChar w:fldCharType="begin"/>
      </w:r>
      <w:r>
        <w:instrText xml:space="preserve"> SEQ Proposal \* ARABIC </w:instrText>
      </w:r>
      <w:r>
        <w:fldChar w:fldCharType="separate"/>
      </w:r>
      <w:r>
        <w:rPr>
          <w:noProof/>
        </w:rPr>
        <w:t>11</w:t>
      </w:r>
      <w:r>
        <w:rPr>
          <w:noProof/>
        </w:rPr>
        <w:fldChar w:fldCharType="end"/>
      </w:r>
      <w:r>
        <w:tab/>
      </w:r>
      <w:r>
        <w:rPr>
          <w:color w:val="000000" w:themeColor="text1"/>
          <w:lang w:val="en-US"/>
        </w:rPr>
        <w:t xml:space="preserve">RAN4 to discuss whether to define requirements for 2-step RA for A2G. </w:t>
      </w:r>
    </w:p>
    <w:p w14:paraId="1D77D0E0" w14:textId="77777777" w:rsidR="00C26AD5" w:rsidRPr="00A862AF" w:rsidRDefault="00C26AD5" w:rsidP="00C26AD5">
      <w:pPr>
        <w:pStyle w:val="Caption"/>
        <w:ind w:left="1134" w:hanging="1134"/>
        <w:jc w:val="left"/>
      </w:pPr>
      <w:r>
        <w:t xml:space="preserve">Proposal </w:t>
      </w:r>
      <w:r>
        <w:fldChar w:fldCharType="begin"/>
      </w:r>
      <w:r>
        <w:instrText xml:space="preserve"> SEQ Proposal \* ARABIC </w:instrText>
      </w:r>
      <w:r>
        <w:fldChar w:fldCharType="separate"/>
      </w:r>
      <w:r>
        <w:rPr>
          <w:noProof/>
        </w:rPr>
        <w:t>12</w:t>
      </w:r>
      <w:r>
        <w:rPr>
          <w:noProof/>
        </w:rPr>
        <w:fldChar w:fldCharType="end"/>
      </w:r>
      <w:r>
        <w:tab/>
      </w:r>
      <w:r w:rsidRPr="00BC00C8">
        <w:rPr>
          <w:color w:val="000000" w:themeColor="text1"/>
        </w:rPr>
        <w:t xml:space="preserve">The principle from the </w:t>
      </w:r>
      <w:r>
        <w:rPr>
          <w:color w:val="000000" w:themeColor="text1"/>
          <w:lang w:val="en-US"/>
        </w:rPr>
        <w:t>RRC connection release with redirection for A2G, and any further impact is FFS</w:t>
      </w:r>
      <w:r>
        <w:t xml:space="preserve">.  </w:t>
      </w:r>
    </w:p>
    <w:p w14:paraId="1894D860" w14:textId="77777777" w:rsidR="00C26AD5" w:rsidRPr="00E352E3" w:rsidRDefault="00C26AD5" w:rsidP="00C26AD5"/>
    <w:p w14:paraId="213D9ACB" w14:textId="77777777" w:rsidR="00C26AD5" w:rsidRPr="00A862AF" w:rsidRDefault="00C26AD5" w:rsidP="00C26AD5">
      <w:pPr>
        <w:pStyle w:val="Caption"/>
        <w:ind w:left="1134" w:hanging="1134"/>
        <w:jc w:val="left"/>
      </w:pPr>
      <w:r>
        <w:t xml:space="preserve">Proposal </w:t>
      </w:r>
      <w:r>
        <w:fldChar w:fldCharType="begin"/>
      </w:r>
      <w:r>
        <w:instrText xml:space="preserve"> SEQ Proposal \* ARABIC </w:instrText>
      </w:r>
      <w:r>
        <w:fldChar w:fldCharType="separate"/>
      </w:r>
      <w:r>
        <w:rPr>
          <w:noProof/>
        </w:rPr>
        <w:t>13</w:t>
      </w:r>
      <w:r>
        <w:rPr>
          <w:noProof/>
        </w:rPr>
        <w:fldChar w:fldCharType="end"/>
      </w:r>
      <w:r>
        <w:tab/>
        <w:t xml:space="preserve">Interruption requirements defined in section 8.2 are not applicable assuming that single carrier is considered for A2G in this release.  </w:t>
      </w:r>
    </w:p>
    <w:p w14:paraId="53680EE6" w14:textId="77777777" w:rsidR="00C26AD5" w:rsidRPr="00A862AF" w:rsidRDefault="00C26AD5" w:rsidP="00C26AD5">
      <w:pPr>
        <w:pStyle w:val="Caption"/>
        <w:ind w:left="1134" w:hanging="1134"/>
        <w:jc w:val="left"/>
      </w:pPr>
      <w:r>
        <w:t xml:space="preserve"> Proposal </w:t>
      </w:r>
      <w:r>
        <w:fldChar w:fldCharType="begin"/>
      </w:r>
      <w:r>
        <w:instrText xml:space="preserve"> SEQ Proposal \* ARABIC </w:instrText>
      </w:r>
      <w:r>
        <w:fldChar w:fldCharType="separate"/>
      </w:r>
      <w:r>
        <w:rPr>
          <w:noProof/>
        </w:rPr>
        <w:t>14</w:t>
      </w:r>
      <w:r>
        <w:rPr>
          <w:noProof/>
        </w:rPr>
        <w:fldChar w:fldCharType="end"/>
      </w:r>
      <w:r>
        <w:tab/>
        <w:t xml:space="preserve">The existing link recovery requirements defined for FR1 are used as baseline for A2G.   </w:t>
      </w:r>
    </w:p>
    <w:p w14:paraId="5A106D63" w14:textId="77777777" w:rsidR="00C26AD5" w:rsidRPr="00A862AF" w:rsidRDefault="00C26AD5" w:rsidP="00C26AD5">
      <w:pPr>
        <w:pStyle w:val="Caption"/>
        <w:ind w:left="1134" w:hanging="1134"/>
        <w:jc w:val="left"/>
      </w:pPr>
      <w:r>
        <w:t xml:space="preserve">Proposal </w:t>
      </w:r>
      <w:r>
        <w:fldChar w:fldCharType="begin"/>
      </w:r>
      <w:r>
        <w:instrText xml:space="preserve"> SEQ Proposal \* ARABIC </w:instrText>
      </w:r>
      <w:r>
        <w:fldChar w:fldCharType="separate"/>
      </w:r>
      <w:r>
        <w:rPr>
          <w:noProof/>
        </w:rPr>
        <w:t>15</w:t>
      </w:r>
      <w:r>
        <w:rPr>
          <w:noProof/>
        </w:rPr>
        <w:fldChar w:fldCharType="end"/>
      </w:r>
      <w:r>
        <w:tab/>
        <w:t xml:space="preserve">The existing active BWP switch delay requirements defined for FR1 are used as baseline for A2G.   </w:t>
      </w:r>
    </w:p>
    <w:p w14:paraId="43415504" w14:textId="77777777" w:rsidR="00C26AD5" w:rsidRDefault="00C26AD5" w:rsidP="00C26AD5">
      <w:pPr>
        <w:pStyle w:val="Caption"/>
        <w:ind w:left="1134" w:hanging="1134"/>
        <w:jc w:val="left"/>
      </w:pPr>
      <w:r>
        <w:t xml:space="preserve">Proposal </w:t>
      </w:r>
      <w:r>
        <w:fldChar w:fldCharType="begin"/>
      </w:r>
      <w:r>
        <w:instrText xml:space="preserve"> SEQ Proposal \* ARABIC </w:instrText>
      </w:r>
      <w:r>
        <w:fldChar w:fldCharType="separate"/>
      </w:r>
      <w:r>
        <w:rPr>
          <w:noProof/>
        </w:rPr>
        <w:t>16</w:t>
      </w:r>
      <w:r>
        <w:rPr>
          <w:noProof/>
        </w:rPr>
        <w:fldChar w:fldCharType="end"/>
      </w:r>
      <w:r>
        <w:tab/>
        <w:t xml:space="preserve">The existing active TCI state switch delay requirements defined for FR1 are used as baseline for A2G.   </w:t>
      </w:r>
    </w:p>
    <w:p w14:paraId="3C67636E" w14:textId="77777777" w:rsidR="00C26AD5" w:rsidRPr="00A862AF" w:rsidRDefault="00C26AD5" w:rsidP="00C26AD5">
      <w:pPr>
        <w:pStyle w:val="Caption"/>
        <w:ind w:left="1134" w:hanging="1134"/>
        <w:jc w:val="left"/>
      </w:pPr>
      <w:r>
        <w:t xml:space="preserve">Proposal </w:t>
      </w:r>
      <w:r>
        <w:fldChar w:fldCharType="begin"/>
      </w:r>
      <w:r>
        <w:instrText xml:space="preserve"> SEQ Proposal \* ARABIC </w:instrText>
      </w:r>
      <w:r>
        <w:fldChar w:fldCharType="separate"/>
      </w:r>
      <w:r>
        <w:rPr>
          <w:noProof/>
        </w:rPr>
        <w:t>17</w:t>
      </w:r>
      <w:r>
        <w:rPr>
          <w:noProof/>
        </w:rPr>
        <w:fldChar w:fldCharType="end"/>
      </w:r>
      <w:r>
        <w:tab/>
        <w:t xml:space="preserve">The existing active spatial relation switch delay requirements defined for FR1 are used as baseline for A2G.   </w:t>
      </w:r>
    </w:p>
    <w:p w14:paraId="655E38CB" w14:textId="77777777" w:rsidR="00C26AD5" w:rsidRPr="00A862AF" w:rsidRDefault="00C26AD5" w:rsidP="00C26AD5">
      <w:pPr>
        <w:pStyle w:val="Caption"/>
        <w:ind w:left="1134" w:hanging="1134"/>
        <w:jc w:val="left"/>
      </w:pPr>
      <w:r>
        <w:t xml:space="preserve">Proposal </w:t>
      </w:r>
      <w:r>
        <w:fldChar w:fldCharType="begin"/>
      </w:r>
      <w:r>
        <w:instrText xml:space="preserve"> SEQ Proposal \* ARABIC </w:instrText>
      </w:r>
      <w:r>
        <w:fldChar w:fldCharType="separate"/>
      </w:r>
      <w:r>
        <w:rPr>
          <w:noProof/>
        </w:rPr>
        <w:t>18</w:t>
      </w:r>
      <w:r>
        <w:rPr>
          <w:noProof/>
        </w:rPr>
        <w:fldChar w:fldCharType="end"/>
      </w:r>
      <w:r>
        <w:tab/>
        <w:t xml:space="preserve">The existing UE specific CBW change requirements defined for FR1 are used as baseline for A2G.   </w:t>
      </w:r>
    </w:p>
    <w:p w14:paraId="6AB5A8AC" w14:textId="77777777" w:rsidR="00C26AD5" w:rsidRDefault="00C26AD5" w:rsidP="00C26AD5">
      <w:pPr>
        <w:pStyle w:val="Caption"/>
        <w:ind w:left="1134" w:hanging="1134"/>
        <w:jc w:val="left"/>
      </w:pPr>
      <w:r>
        <w:t xml:space="preserve">Proposal </w:t>
      </w:r>
      <w:r>
        <w:fldChar w:fldCharType="begin"/>
      </w:r>
      <w:r>
        <w:instrText xml:space="preserve"> SEQ Proposal \* ARABIC </w:instrText>
      </w:r>
      <w:r>
        <w:fldChar w:fldCharType="separate"/>
      </w:r>
      <w:r>
        <w:rPr>
          <w:noProof/>
        </w:rPr>
        <w:t>19</w:t>
      </w:r>
      <w:r>
        <w:rPr>
          <w:noProof/>
        </w:rPr>
        <w:fldChar w:fldCharType="end"/>
      </w:r>
      <w:r>
        <w:tab/>
        <w:t xml:space="preserve">No need to consider pathloss reference signal switch delay requirements for A2G in Rel-18.   </w:t>
      </w:r>
    </w:p>
    <w:p w14:paraId="5614C206" w14:textId="77777777" w:rsidR="00C26AD5" w:rsidRDefault="00C26AD5" w:rsidP="00C26AD5">
      <w:pPr>
        <w:pStyle w:val="Caption"/>
        <w:ind w:left="1134" w:hanging="1134"/>
        <w:jc w:val="left"/>
      </w:pPr>
      <w:r>
        <w:lastRenderedPageBreak/>
        <w:t xml:space="preserve">Proposal </w:t>
      </w:r>
      <w:r>
        <w:fldChar w:fldCharType="begin"/>
      </w:r>
      <w:r>
        <w:instrText xml:space="preserve"> SEQ Proposal \* ARABIC </w:instrText>
      </w:r>
      <w:r>
        <w:fldChar w:fldCharType="separate"/>
      </w:r>
      <w:r>
        <w:rPr>
          <w:noProof/>
        </w:rPr>
        <w:t>20</w:t>
      </w:r>
      <w:r>
        <w:rPr>
          <w:noProof/>
        </w:rPr>
        <w:fldChar w:fldCharType="end"/>
      </w:r>
      <w:r>
        <w:tab/>
        <w:t xml:space="preserve">The existing requirements on </w:t>
      </w:r>
      <w:proofErr w:type="spellStart"/>
      <w:r>
        <w:t>SCell</w:t>
      </w:r>
      <w:proofErr w:type="spellEnd"/>
      <w:r>
        <w:t xml:space="preserve"> activation and deactivation are used as baseline for A2G provided that CA/multiple carriers are supported for A2G.</w:t>
      </w:r>
    </w:p>
    <w:p w14:paraId="75643D76" w14:textId="77777777" w:rsidR="00C26AD5" w:rsidRPr="00C359BB" w:rsidRDefault="00C26AD5" w:rsidP="00C26AD5">
      <w:pPr>
        <w:rPr>
          <w:b/>
        </w:rPr>
      </w:pPr>
      <w:r w:rsidRPr="00C359BB">
        <w:rPr>
          <w:b/>
        </w:rPr>
        <w:t xml:space="preserve">Proposal </w:t>
      </w:r>
      <w:r w:rsidRPr="00C359BB">
        <w:rPr>
          <w:b/>
          <w:bCs/>
        </w:rPr>
        <w:fldChar w:fldCharType="begin"/>
      </w:r>
      <w:r w:rsidRPr="00C359BB">
        <w:rPr>
          <w:b/>
        </w:rPr>
        <w:instrText xml:space="preserve"> SEQ Proposal \* ARABIC </w:instrText>
      </w:r>
      <w:r w:rsidRPr="00C359BB">
        <w:rPr>
          <w:b/>
          <w:bCs/>
        </w:rPr>
        <w:fldChar w:fldCharType="separate"/>
      </w:r>
      <w:r>
        <w:rPr>
          <w:b/>
          <w:noProof/>
        </w:rPr>
        <w:t>21</w:t>
      </w:r>
      <w:r w:rsidRPr="00C359BB">
        <w:rPr>
          <w:b/>
          <w:bCs/>
        </w:rPr>
        <w:fldChar w:fldCharType="end"/>
      </w:r>
      <w:r w:rsidRPr="00C359BB">
        <w:rPr>
          <w:b/>
        </w:rPr>
        <w:tab/>
      </w:r>
      <w:r w:rsidRPr="00C359BB">
        <w:rPr>
          <w:b/>
          <w:bCs/>
          <w:color w:val="000000" w:themeColor="text1"/>
        </w:rPr>
        <w:t>Only FR1 MG is considered in ATG network</w:t>
      </w:r>
      <w:r w:rsidRPr="00C359BB">
        <w:rPr>
          <w:b/>
          <w:bCs/>
        </w:rPr>
        <w:t>.</w:t>
      </w:r>
    </w:p>
    <w:p w14:paraId="2196DD8B" w14:textId="77777777" w:rsidR="00C26AD5" w:rsidRDefault="00C26AD5" w:rsidP="00C26AD5">
      <w:r w:rsidRPr="003A196B">
        <w:rPr>
          <w:b/>
          <w:bCs/>
        </w:rPr>
        <w:t xml:space="preserve">Proposal </w:t>
      </w:r>
      <w:r w:rsidRPr="00C359BB">
        <w:rPr>
          <w:b/>
        </w:rPr>
        <w:fldChar w:fldCharType="begin"/>
      </w:r>
      <w:r w:rsidRPr="003A196B">
        <w:rPr>
          <w:b/>
          <w:bCs/>
        </w:rPr>
        <w:instrText xml:space="preserve"> SEQ Proposal \* ARABIC </w:instrText>
      </w:r>
      <w:r w:rsidRPr="00C359BB">
        <w:rPr>
          <w:b/>
          <w:bCs/>
        </w:rPr>
        <w:fldChar w:fldCharType="separate"/>
      </w:r>
      <w:r>
        <w:rPr>
          <w:b/>
          <w:bCs/>
          <w:noProof/>
        </w:rPr>
        <w:t>22</w:t>
      </w:r>
      <w:r w:rsidRPr="00C359BB">
        <w:rPr>
          <w:b/>
          <w:bCs/>
        </w:rPr>
        <w:fldChar w:fldCharType="end"/>
      </w:r>
      <w:r w:rsidRPr="00C359BB">
        <w:rPr>
          <w:b/>
          <w:bCs/>
        </w:rPr>
        <w:t xml:space="preserve"> CSSF needs update if single carrier is supported, such as no deactivated </w:t>
      </w:r>
      <w:proofErr w:type="spellStart"/>
      <w:r w:rsidRPr="00C359BB">
        <w:rPr>
          <w:b/>
          <w:bCs/>
        </w:rPr>
        <w:t>SCell</w:t>
      </w:r>
      <w:proofErr w:type="spellEnd"/>
      <w:r w:rsidRPr="00C359BB">
        <w:rPr>
          <w:b/>
          <w:bCs/>
        </w:rPr>
        <w:t xml:space="preserve"> measurement, no SCCs, </w:t>
      </w:r>
      <w:proofErr w:type="spellStart"/>
      <w:r w:rsidRPr="00C359BB">
        <w:rPr>
          <w:b/>
          <w:bCs/>
        </w:rPr>
        <w:t>PSCell</w:t>
      </w:r>
      <w:proofErr w:type="spellEnd"/>
      <w:r w:rsidRPr="00C359BB">
        <w:rPr>
          <w:b/>
          <w:bCs/>
        </w:rPr>
        <w:t xml:space="preserve"> measurement.</w:t>
      </w:r>
      <w:r>
        <w:rPr>
          <w:b/>
          <w:bCs/>
        </w:rPr>
        <w:t xml:space="preserve"> </w:t>
      </w:r>
      <w:proofErr w:type="spellStart"/>
      <w:r w:rsidRPr="00C359BB">
        <w:rPr>
          <w:b/>
          <w:bCs/>
        </w:rPr>
        <w:t>RedCap</w:t>
      </w:r>
      <w:proofErr w:type="spellEnd"/>
      <w:r w:rsidRPr="00C359BB">
        <w:rPr>
          <w:b/>
          <w:bCs/>
        </w:rPr>
        <w:t xml:space="preserve"> single carrier measurement requirement can be a reference.</w:t>
      </w:r>
      <w:r w:rsidRPr="00C359BB">
        <w:t xml:space="preserve"> </w:t>
      </w:r>
      <w:r>
        <w:t xml:space="preserve">  </w:t>
      </w:r>
    </w:p>
    <w:p w14:paraId="33BDD2C5" w14:textId="77777777" w:rsidR="00C26AD5" w:rsidRPr="00A862AF" w:rsidRDefault="00C26AD5" w:rsidP="00C26AD5">
      <w:r w:rsidRPr="00AB5FA8">
        <w:rPr>
          <w:b/>
          <w:bCs/>
        </w:rPr>
        <w:t xml:space="preserve">Proposal </w:t>
      </w:r>
      <w:r w:rsidRPr="00AB5FA8">
        <w:rPr>
          <w:b/>
          <w:bCs/>
        </w:rPr>
        <w:fldChar w:fldCharType="begin"/>
      </w:r>
      <w:r w:rsidRPr="00AB5FA8">
        <w:rPr>
          <w:b/>
          <w:bCs/>
        </w:rPr>
        <w:instrText xml:space="preserve"> SEQ Proposal \* ARABIC </w:instrText>
      </w:r>
      <w:r w:rsidRPr="00AB5FA8">
        <w:rPr>
          <w:b/>
          <w:bCs/>
        </w:rPr>
        <w:fldChar w:fldCharType="separate"/>
      </w:r>
      <w:r>
        <w:rPr>
          <w:b/>
          <w:bCs/>
          <w:noProof/>
        </w:rPr>
        <w:t>23</w:t>
      </w:r>
      <w:r w:rsidRPr="00AB5FA8">
        <w:rPr>
          <w:b/>
          <w:bCs/>
        </w:rPr>
        <w:fldChar w:fldCharType="end"/>
      </w:r>
      <w:r>
        <w:rPr>
          <w:b/>
          <w:bCs/>
        </w:rPr>
        <w:t xml:space="preserve"> </w:t>
      </w:r>
      <w:r w:rsidRPr="00C359BB">
        <w:rPr>
          <w:b/>
          <w:bCs/>
        </w:rPr>
        <w:t>RAN4 can further study the trade-off between Inter-frequency measurement within MG and the throughput due to large cell coverage.</w:t>
      </w:r>
      <w:r>
        <w:rPr>
          <w:b/>
          <w:bCs/>
        </w:rPr>
        <w:t xml:space="preserve"> </w:t>
      </w:r>
    </w:p>
    <w:p w14:paraId="144BAF07" w14:textId="77777777" w:rsidR="00C26AD5" w:rsidRPr="00C359BB" w:rsidRDefault="00C26AD5" w:rsidP="00C26AD5">
      <w:pPr>
        <w:rPr>
          <w:b/>
        </w:rPr>
      </w:pPr>
      <w:r w:rsidRPr="00AB5FA8">
        <w:rPr>
          <w:b/>
          <w:bCs/>
        </w:rPr>
        <w:t xml:space="preserve">Proposal </w:t>
      </w:r>
      <w:r w:rsidRPr="00AB5FA8">
        <w:rPr>
          <w:b/>
          <w:bCs/>
        </w:rPr>
        <w:fldChar w:fldCharType="begin"/>
      </w:r>
      <w:r w:rsidRPr="00AB5FA8">
        <w:rPr>
          <w:b/>
          <w:bCs/>
        </w:rPr>
        <w:instrText xml:space="preserve"> SEQ Proposal \* ARABIC </w:instrText>
      </w:r>
      <w:r w:rsidRPr="00AB5FA8">
        <w:rPr>
          <w:b/>
          <w:bCs/>
        </w:rPr>
        <w:fldChar w:fldCharType="separate"/>
      </w:r>
      <w:r>
        <w:rPr>
          <w:b/>
          <w:bCs/>
          <w:noProof/>
        </w:rPr>
        <w:t>24</w:t>
      </w:r>
      <w:r w:rsidRPr="00AB5FA8">
        <w:rPr>
          <w:b/>
          <w:bCs/>
        </w:rPr>
        <w:fldChar w:fldCharType="end"/>
      </w:r>
      <w:r>
        <w:rPr>
          <w:b/>
          <w:bCs/>
        </w:rPr>
        <w:t xml:space="preserve"> </w:t>
      </w:r>
      <w:r w:rsidRPr="00C359BB">
        <w:rPr>
          <w:b/>
          <w:bCs/>
        </w:rPr>
        <w:t>UE doesn’t need to support any inter-RAT measurement in ATG system.</w:t>
      </w:r>
    </w:p>
    <w:p w14:paraId="368662C1" w14:textId="77777777" w:rsidR="00C26AD5" w:rsidRDefault="00C26AD5" w:rsidP="00C26AD5">
      <w:pPr>
        <w:rPr>
          <w:b/>
          <w:bCs/>
        </w:rPr>
      </w:pPr>
      <w:r w:rsidRPr="00AB5FA8">
        <w:rPr>
          <w:b/>
          <w:bCs/>
        </w:rPr>
        <w:t xml:space="preserve">Proposal </w:t>
      </w:r>
      <w:r w:rsidRPr="00AB5FA8">
        <w:rPr>
          <w:b/>
          <w:bCs/>
        </w:rPr>
        <w:fldChar w:fldCharType="begin"/>
      </w:r>
      <w:r w:rsidRPr="00AB5FA8">
        <w:rPr>
          <w:b/>
          <w:bCs/>
        </w:rPr>
        <w:instrText xml:space="preserve"> SEQ Proposal \* ARABIC </w:instrText>
      </w:r>
      <w:r w:rsidRPr="00AB5FA8">
        <w:rPr>
          <w:b/>
          <w:bCs/>
        </w:rPr>
        <w:fldChar w:fldCharType="separate"/>
      </w:r>
      <w:r>
        <w:rPr>
          <w:b/>
          <w:bCs/>
          <w:noProof/>
        </w:rPr>
        <w:t>25</w:t>
      </w:r>
      <w:r w:rsidRPr="00AB5FA8">
        <w:rPr>
          <w:b/>
          <w:bCs/>
        </w:rPr>
        <w:fldChar w:fldCharType="end"/>
      </w:r>
      <w:r>
        <w:rPr>
          <w:b/>
          <w:bCs/>
        </w:rPr>
        <w:t xml:space="preserve"> </w:t>
      </w:r>
      <w:r w:rsidRPr="00C359BB">
        <w:rPr>
          <w:b/>
          <w:bCs/>
        </w:rPr>
        <w:t>RAN4 to further discuss whether UE supports CGI reading in ATG system.</w:t>
      </w:r>
    </w:p>
    <w:p w14:paraId="6AE62189" w14:textId="77777777" w:rsidR="00C26AD5" w:rsidRPr="00C26AD5" w:rsidRDefault="00C26AD5" w:rsidP="005C74A5">
      <w:pPr>
        <w:rPr>
          <w:lang w:val="en-US"/>
        </w:rPr>
      </w:pPr>
    </w:p>
    <w:p w14:paraId="2394826A" w14:textId="17A1AC39" w:rsidR="0048157E" w:rsidRDefault="0048157E" w:rsidP="0048157E">
      <w:pPr>
        <w:pStyle w:val="Heading1"/>
        <w:rPr>
          <w:lang w:val="en-US"/>
        </w:rPr>
      </w:pPr>
      <w:r>
        <w:rPr>
          <w:lang w:val="en-US"/>
        </w:rPr>
        <w:t>Discussions on timing requirements</w:t>
      </w:r>
    </w:p>
    <w:p w14:paraId="172986CA" w14:textId="77777777" w:rsidR="0031400E" w:rsidRDefault="0031400E" w:rsidP="0031400E">
      <w:pPr>
        <w:rPr>
          <w:lang w:val="en-US"/>
        </w:rPr>
      </w:pPr>
      <w:r>
        <w:rPr>
          <w:lang w:val="en-US"/>
        </w:rPr>
        <w:t>The basic set of requirements given by ATG in the WID [1] are:</w:t>
      </w:r>
    </w:p>
    <w:p w14:paraId="2F24C0EF" w14:textId="77777777" w:rsidR="0031400E" w:rsidRPr="00DE11BB" w:rsidRDefault="0031400E" w:rsidP="0031400E">
      <w:pPr>
        <w:widowControl w:val="0"/>
        <w:spacing w:after="0"/>
        <w:ind w:left="568"/>
        <w:rPr>
          <w:kern w:val="2"/>
          <w:lang w:val="en-US" w:eastAsia="zh-CN"/>
        </w:rPr>
      </w:pPr>
      <w:r w:rsidRPr="00DE11BB">
        <w:rPr>
          <w:kern w:val="2"/>
          <w:lang w:val="en-US" w:eastAsia="zh-CN"/>
        </w:rPr>
        <w:t>Considering the particularity of ATG network deployment, the following aspects should be addressed in a new ATG work item.</w:t>
      </w:r>
    </w:p>
    <w:p w14:paraId="300A6A97" w14:textId="77777777" w:rsidR="0031400E" w:rsidRPr="00171D3D" w:rsidRDefault="0031400E" w:rsidP="0031400E">
      <w:pPr>
        <w:widowControl w:val="0"/>
        <w:spacing w:after="0"/>
        <w:rPr>
          <w:kern w:val="2"/>
          <w:highlight w:val="yellow"/>
          <w:lang w:val="en-US" w:eastAsia="zh-CN"/>
        </w:rPr>
      </w:pPr>
      <w:r w:rsidRPr="00171D3D">
        <w:rPr>
          <w:kern w:val="2"/>
          <w:highlight w:val="yellow"/>
          <w:lang w:val="en-US" w:eastAsia="zh-CN"/>
        </w:rPr>
        <w:t xml:space="preserve">Extreme large cell coverage range (e.g., up to 300 kilometers) and flight speed (e.g., up to 1200km/h). </w:t>
      </w:r>
    </w:p>
    <w:p w14:paraId="1AA7ED90" w14:textId="77777777" w:rsidR="0031400E" w:rsidRPr="00DE11BB" w:rsidRDefault="0031400E" w:rsidP="0031400E">
      <w:pPr>
        <w:widowControl w:val="0"/>
        <w:spacing w:after="0"/>
        <w:rPr>
          <w:kern w:val="2"/>
          <w:lang w:val="en-US" w:eastAsia="zh-CN"/>
        </w:rPr>
      </w:pPr>
      <w:r w:rsidRPr="00DE11BB">
        <w:rPr>
          <w:kern w:val="2"/>
          <w:lang w:val="en-US" w:eastAsia="zh-CN"/>
        </w:rPr>
        <w:t xml:space="preserve">Coexistence requirements between ATG and terrestrial network. </w:t>
      </w:r>
    </w:p>
    <w:p w14:paraId="37516476" w14:textId="77777777" w:rsidR="0031400E" w:rsidRPr="00DE11BB" w:rsidRDefault="0031400E" w:rsidP="0031400E">
      <w:pPr>
        <w:widowControl w:val="0"/>
        <w:spacing w:after="0"/>
        <w:rPr>
          <w:kern w:val="2"/>
          <w:lang w:val="en-US" w:eastAsia="zh-CN"/>
        </w:rPr>
      </w:pPr>
      <w:r w:rsidRPr="00DE11BB">
        <w:rPr>
          <w:kern w:val="2"/>
          <w:lang w:val="en-US" w:eastAsia="zh-CN"/>
        </w:rPr>
        <w:t>ATG BS/UE core and performance requirement</w:t>
      </w:r>
    </w:p>
    <w:p w14:paraId="4887D0B8" w14:textId="77777777" w:rsidR="0031400E" w:rsidRDefault="0031400E" w:rsidP="0031400E">
      <w:pPr>
        <w:rPr>
          <w:lang w:val="en-US"/>
        </w:rPr>
      </w:pPr>
      <w:r>
        <w:rPr>
          <w:lang w:val="en-US"/>
        </w:rPr>
        <w:br/>
        <w:t xml:space="preserve">The </w:t>
      </w:r>
      <w:bookmarkStart w:id="2" w:name="_Hlk109746714"/>
      <w:r>
        <w:rPr>
          <w:lang w:val="en-US"/>
        </w:rPr>
        <w:t xml:space="preserve">Air-to-ground network (ATG) for NR WI is a RAN4 only WI. This means that we </w:t>
      </w:r>
      <w:proofErr w:type="gramStart"/>
      <w:r>
        <w:rPr>
          <w:lang w:val="en-US"/>
        </w:rPr>
        <w:t>have to</w:t>
      </w:r>
      <w:proofErr w:type="gramEnd"/>
      <w:r>
        <w:rPr>
          <w:lang w:val="en-US"/>
        </w:rPr>
        <w:t xml:space="preserve"> rely on the existing procedures up to and including rel-17</w:t>
      </w:r>
      <w:bookmarkEnd w:id="2"/>
      <w:r>
        <w:rPr>
          <w:lang w:val="en-US"/>
        </w:rPr>
        <w:t>. This gives us two options when analyzing ATG requirements:</w:t>
      </w:r>
    </w:p>
    <w:p w14:paraId="1D5EF21F" w14:textId="77777777" w:rsidR="0031400E" w:rsidRPr="00B07949" w:rsidRDefault="0031400E" w:rsidP="0031400E">
      <w:pPr>
        <w:pStyle w:val="Index2"/>
        <w:rPr>
          <w:lang w:val="en-US"/>
        </w:rPr>
      </w:pPr>
      <w:r>
        <w:rPr>
          <w:rFonts w:ascii="Times New Roman" w:hAnsi="Times New Roman" w:cs="Times New Roman"/>
          <w:sz w:val="20"/>
          <w:szCs w:val="20"/>
          <w:lang w:val="en-US"/>
        </w:rPr>
        <w:t>Terrestrial Network procedures (TN)</w:t>
      </w:r>
    </w:p>
    <w:p w14:paraId="5E7B497B" w14:textId="77777777" w:rsidR="0031400E" w:rsidRDefault="0031400E" w:rsidP="0031400E">
      <w:pPr>
        <w:pStyle w:val="Index2"/>
        <w:rPr>
          <w:lang w:val="en-US"/>
        </w:rPr>
      </w:pPr>
      <w:r>
        <w:rPr>
          <w:rFonts w:ascii="Times New Roman" w:hAnsi="Times New Roman" w:cs="Times New Roman"/>
          <w:sz w:val="20"/>
          <w:szCs w:val="20"/>
          <w:lang w:val="en-US"/>
        </w:rPr>
        <w:t>Non-terrestrial Network procedures (NTN)</w:t>
      </w:r>
      <w:r w:rsidRPr="00E346CF">
        <w:rPr>
          <w:lang w:val="en-US"/>
        </w:rPr>
        <w:t xml:space="preserve"> </w:t>
      </w:r>
    </w:p>
    <w:p w14:paraId="27E50F8F" w14:textId="77777777" w:rsidR="0031400E" w:rsidRDefault="0031400E" w:rsidP="0031400E">
      <w:pPr>
        <w:pStyle w:val="Index2"/>
        <w:rPr>
          <w:lang w:val="en-US"/>
        </w:rPr>
      </w:pPr>
    </w:p>
    <w:p w14:paraId="3ABED2B1" w14:textId="5AF54D39" w:rsidR="0031400E" w:rsidRPr="00C70E3A" w:rsidRDefault="0031400E" w:rsidP="0031400E">
      <w:pPr>
        <w:rPr>
          <w:b/>
          <w:bCs/>
          <w:lang w:val="en-US"/>
        </w:rPr>
      </w:pPr>
      <w:bookmarkStart w:id="3" w:name="_Hlk110498029"/>
      <w:r w:rsidRPr="00C70E3A">
        <w:rPr>
          <w:b/>
          <w:bCs/>
          <w:lang w:val="en-US"/>
        </w:rPr>
        <w:t xml:space="preserve">Observation </w:t>
      </w:r>
      <w:r w:rsidR="004A4335">
        <w:rPr>
          <w:b/>
          <w:bCs/>
          <w:lang w:val="en-US"/>
        </w:rPr>
        <w:t>3</w:t>
      </w:r>
      <w:r w:rsidRPr="00C70E3A">
        <w:rPr>
          <w:b/>
          <w:bCs/>
          <w:lang w:val="en-US"/>
        </w:rPr>
        <w:t xml:space="preserve">: </w:t>
      </w:r>
      <w:bookmarkEnd w:id="3"/>
      <w:r w:rsidRPr="00C70E3A">
        <w:rPr>
          <w:b/>
          <w:bCs/>
          <w:lang w:val="en-US"/>
        </w:rPr>
        <w:t xml:space="preserve">Air-to-ground network (ATG) for NR WI is a RAN4 only WI. This means that we </w:t>
      </w:r>
      <w:proofErr w:type="gramStart"/>
      <w:r w:rsidRPr="00C70E3A">
        <w:rPr>
          <w:b/>
          <w:bCs/>
          <w:lang w:val="en-US"/>
        </w:rPr>
        <w:t>have to</w:t>
      </w:r>
      <w:proofErr w:type="gramEnd"/>
      <w:r w:rsidRPr="00C70E3A">
        <w:rPr>
          <w:b/>
          <w:bCs/>
          <w:lang w:val="en-US"/>
        </w:rPr>
        <w:t xml:space="preserve"> rely on the existing procedures up to an</w:t>
      </w:r>
      <w:r>
        <w:rPr>
          <w:b/>
          <w:bCs/>
          <w:lang w:val="en-US"/>
        </w:rPr>
        <w:t>d</w:t>
      </w:r>
      <w:r w:rsidRPr="00C70E3A">
        <w:rPr>
          <w:b/>
          <w:bCs/>
          <w:lang w:val="en-US"/>
        </w:rPr>
        <w:t xml:space="preserve"> including rel-17</w:t>
      </w:r>
      <w:r>
        <w:rPr>
          <w:b/>
          <w:bCs/>
          <w:lang w:val="en-US"/>
        </w:rPr>
        <w:t>, that is TN and NTN procedures up to and including release-17, for random access and Timing Advance.</w:t>
      </w:r>
    </w:p>
    <w:p w14:paraId="055D6326" w14:textId="5C75318B" w:rsidR="00CB169C" w:rsidRPr="00CB169C" w:rsidRDefault="00CB169C" w:rsidP="00CB169C">
      <w:pPr>
        <w:pStyle w:val="Heading2"/>
      </w:pPr>
      <w:r w:rsidRPr="00CB169C">
        <w:t>Maximal cell range and Doppler in Terrestrial Networks</w:t>
      </w:r>
    </w:p>
    <w:p w14:paraId="6AB15BC1" w14:textId="77777777" w:rsidR="00CB169C" w:rsidRDefault="00CB169C" w:rsidP="00CB169C">
      <w:pPr>
        <w:rPr>
          <w:lang w:val="en-US" w:eastAsia="zh-CN"/>
        </w:rPr>
      </w:pPr>
      <w:r>
        <w:rPr>
          <w:lang w:val="en-US" w:eastAsia="zh-CN"/>
        </w:rPr>
        <w:t>The WID states:</w:t>
      </w:r>
    </w:p>
    <w:p w14:paraId="3119E8BC" w14:textId="77777777" w:rsidR="00CB169C" w:rsidRDefault="00CB169C" w:rsidP="00CB169C">
      <w:pPr>
        <w:ind w:left="284"/>
        <w:rPr>
          <w:lang w:val="en-US" w:eastAsia="zh-CN"/>
        </w:rPr>
      </w:pPr>
      <w:r>
        <w:rPr>
          <w:lang w:val="en-US" w:eastAsia="zh-CN"/>
        </w:rPr>
        <w:t>“</w:t>
      </w:r>
      <w:r w:rsidRPr="009869F1">
        <w:rPr>
          <w:kern w:val="2"/>
          <w:lang w:val="en-US" w:eastAsia="zh-CN"/>
        </w:rPr>
        <w:t>ATG will operate within existing bands and does not need new bands and band properties to be identified.</w:t>
      </w:r>
      <w:r>
        <w:rPr>
          <w:lang w:val="en-US" w:eastAsia="zh-CN"/>
        </w:rPr>
        <w:t>” and “</w:t>
      </w:r>
      <w:r w:rsidRPr="007F024D">
        <w:rPr>
          <w:lang w:val="en-US" w:eastAsia="zh-CN"/>
        </w:rPr>
        <w:t>Example bands include n1, n78 and n79</w:t>
      </w:r>
      <w:r>
        <w:rPr>
          <w:lang w:val="en-US" w:eastAsia="zh-CN"/>
        </w:rPr>
        <w:t>”.</w:t>
      </w:r>
    </w:p>
    <w:p w14:paraId="4A02442C" w14:textId="77777777" w:rsidR="00CB169C" w:rsidRDefault="00CB169C" w:rsidP="00CB169C">
      <w:pPr>
        <w:widowControl w:val="0"/>
        <w:spacing w:after="0"/>
        <w:rPr>
          <w:lang w:val="en-US" w:eastAsia="zh-CN"/>
        </w:rPr>
      </w:pPr>
      <w:r>
        <w:rPr>
          <w:lang w:val="en-US" w:eastAsia="zh-CN"/>
        </w:rPr>
        <w:t>We can then translate the requirements to range and Doppler frequency using:</w:t>
      </w:r>
      <w:r>
        <w:rPr>
          <w:lang w:val="en-US" w:eastAsia="zh-CN"/>
        </w:rPr>
        <w:br/>
      </w:r>
    </w:p>
    <w:p w14:paraId="53FE1796" w14:textId="77777777" w:rsidR="00CB169C" w:rsidRDefault="00CB169C" w:rsidP="00CB169C">
      <w:pPr>
        <w:widowControl w:val="0"/>
        <w:spacing w:after="0"/>
        <w:ind w:left="3408" w:firstLine="284"/>
        <w:rPr>
          <w:lang w:val="en-US" w:eastAsia="zh-CN"/>
        </w:rPr>
      </w:pPr>
      <m:oMath>
        <m:r>
          <w:rPr>
            <w:rFonts w:ascii="Cambria Math" w:hAnsi="Cambria Math"/>
            <w:lang w:val="en-US" w:eastAsia="zh-CN"/>
          </w:rPr>
          <m:t>∆f_D  =  ∆v/c f_0</m:t>
        </m:r>
      </m:oMath>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(1)</w:t>
      </w:r>
      <w:r>
        <w:rPr>
          <w:lang w:val="en-US" w:eastAsia="zh-CN"/>
        </w:rPr>
        <w:tab/>
      </w:r>
      <w:r>
        <w:rPr>
          <w:lang w:val="en-US" w:eastAsia="zh-CN"/>
        </w:rPr>
        <w:tab/>
      </w:r>
      <m:oMath>
        <m:r>
          <m:rPr>
            <m:sty m:val="p"/>
          </m:rPr>
          <w:rPr>
            <w:lang w:val="en-US" w:eastAsia="zh-CN"/>
          </w:rPr>
          <w:br/>
        </m:r>
      </m:oMath>
    </w:p>
    <w:p w14:paraId="55DBB9E5" w14:textId="77777777" w:rsidR="00CB169C" w:rsidRDefault="00CB169C" w:rsidP="00CB169C">
      <w:pPr>
        <w:widowControl w:val="0"/>
        <w:spacing w:after="0"/>
        <w:rPr>
          <w:lang w:val="en-US" w:eastAsia="zh-CN"/>
        </w:rPr>
      </w:pPr>
      <w:r>
        <w:rPr>
          <w:lang w:val="en-US" w:eastAsia="zh-CN"/>
        </w:rPr>
        <w:t xml:space="preserve">Where </w:t>
      </w:r>
      <m:oMath>
        <m:r>
          <w:rPr>
            <w:rFonts w:ascii="Cambria Math" w:hAnsi="Cambria Math"/>
            <w:lang w:val="en-US" w:eastAsia="zh-CN"/>
          </w:rPr>
          <m:t>∆f_D</m:t>
        </m:r>
      </m:oMath>
      <w:r w:rsidRPr="007F024D">
        <w:rPr>
          <w:lang w:val="en-US" w:eastAsia="zh-CN"/>
        </w:rPr>
        <w:t xml:space="preserve"> </w:t>
      </w:r>
      <w:r>
        <w:rPr>
          <w:lang w:val="en-US" w:eastAsia="zh-CN"/>
        </w:rPr>
        <w:t xml:space="preserve"> is Doppler frequency, </w:t>
      </w:r>
      <m:oMath>
        <m:r>
          <w:rPr>
            <w:rFonts w:ascii="Cambria Math" w:hAnsi="Cambria Math"/>
            <w:lang w:val="en-US" w:eastAsia="zh-CN"/>
          </w:rPr>
          <m:t>∆v</m:t>
        </m:r>
      </m:oMath>
      <w:r>
        <w:rPr>
          <w:lang w:val="en-US" w:eastAsia="zh-CN"/>
        </w:rPr>
        <w:t xml:space="preserve"> is the speed of the aircraft and </w:t>
      </w:r>
      <m:oMath>
        <m:r>
          <w:rPr>
            <w:rFonts w:ascii="Cambria Math" w:hAnsi="Cambria Math"/>
            <w:lang w:val="en-US" w:eastAsia="zh-CN"/>
          </w:rPr>
          <m:t>f_0</m:t>
        </m:r>
      </m:oMath>
      <w:r>
        <w:rPr>
          <w:lang w:val="en-US" w:eastAsia="zh-CN"/>
        </w:rPr>
        <w:t xml:space="preserve"> is the carrier frequency. If we plug in band n79 and </w:t>
      </w:r>
      <m:oMath>
        <m:r>
          <w:rPr>
            <w:rFonts w:ascii="Cambria Math" w:hAnsi="Cambria Math"/>
            <w:lang w:val="en-US" w:eastAsia="zh-CN"/>
          </w:rPr>
          <m:t>f_0</m:t>
        </m:r>
      </m:oMath>
      <w:r>
        <w:rPr>
          <w:lang w:val="en-US" w:eastAsia="zh-CN"/>
        </w:rPr>
        <w:t xml:space="preserve"> = 5 GHz and </w:t>
      </w:r>
      <m:oMath>
        <m:r>
          <w:rPr>
            <w:rFonts w:ascii="Cambria Math" w:hAnsi="Cambria Math"/>
            <w:lang w:val="en-US" w:eastAsia="zh-CN"/>
          </w:rPr>
          <m:t>∆v</m:t>
        </m:r>
      </m:oMath>
      <w:r>
        <w:rPr>
          <w:lang w:val="en-US" w:eastAsia="zh-CN"/>
        </w:rPr>
        <w:t xml:space="preserve"> = 1200 km/h into (1), we get </w:t>
      </w:r>
      <m:oMath>
        <m:r>
          <w:rPr>
            <w:rFonts w:ascii="Cambria Math" w:hAnsi="Cambria Math"/>
            <w:lang w:val="en-US" w:eastAsia="zh-CN"/>
          </w:rPr>
          <m:t>∆f_D</m:t>
        </m:r>
      </m:oMath>
      <w:r>
        <w:rPr>
          <w:lang w:val="en-US" w:eastAsia="zh-CN"/>
        </w:rPr>
        <w:t xml:space="preserve"> ≈ 5.6 kHz. This means that the aspects to be addressed in ATG WI are 300 kilometers cell coverage and 5.6 kHz Doppler. There are existing bands in FR1 up to 7.125 MHz and FR2 with even higher carrier frequency i</w:t>
      </w:r>
      <w:proofErr w:type="spellStart"/>
      <w:r>
        <w:rPr>
          <w:lang w:val="en-US" w:eastAsia="zh-CN"/>
        </w:rPr>
        <w:t>n</w:t>
      </w:r>
      <w:proofErr w:type="spellEnd"/>
      <w:r>
        <w:rPr>
          <w:lang w:val="en-US" w:eastAsia="zh-CN"/>
        </w:rPr>
        <w:t xml:space="preserve"> the 52.6-71 GHz range, </w:t>
      </w:r>
      <w:r>
        <w:rPr>
          <w:lang w:val="en-US" w:eastAsia="zh-CN"/>
        </w:rPr>
        <w:lastRenderedPageBreak/>
        <w:t xml:space="preserve">but for ATG we restrict analysis to frequencies up to n79. </w:t>
      </w:r>
    </w:p>
    <w:p w14:paraId="69776F50" w14:textId="77777777" w:rsidR="00CB169C" w:rsidRDefault="00CB169C" w:rsidP="00CB169C">
      <w:pPr>
        <w:widowControl w:val="0"/>
        <w:spacing w:after="0"/>
        <w:rPr>
          <w:kern w:val="2"/>
          <w:lang w:val="en-US" w:eastAsia="zh-CN"/>
        </w:rPr>
      </w:pPr>
    </w:p>
    <w:p w14:paraId="25F64A33" w14:textId="171D4AEE" w:rsidR="00CB169C" w:rsidRPr="008665BC" w:rsidRDefault="00CB169C" w:rsidP="00CB169C">
      <w:pPr>
        <w:widowControl w:val="0"/>
        <w:spacing w:after="0"/>
        <w:rPr>
          <w:b/>
          <w:bCs/>
          <w:kern w:val="2"/>
          <w:lang w:val="en-US" w:eastAsia="zh-CN"/>
        </w:rPr>
      </w:pPr>
      <w:r w:rsidRPr="008665BC">
        <w:rPr>
          <w:b/>
          <w:bCs/>
          <w:kern w:val="2"/>
          <w:lang w:val="en-US" w:eastAsia="zh-CN"/>
        </w:rPr>
        <w:t xml:space="preserve">Observation </w:t>
      </w:r>
      <w:r w:rsidR="004A4335">
        <w:rPr>
          <w:b/>
          <w:bCs/>
          <w:kern w:val="2"/>
          <w:lang w:val="en-US" w:eastAsia="zh-CN"/>
        </w:rPr>
        <w:t>4</w:t>
      </w:r>
      <w:r w:rsidRPr="008665BC">
        <w:rPr>
          <w:b/>
          <w:bCs/>
          <w:kern w:val="2"/>
          <w:lang w:val="en-US" w:eastAsia="zh-CN"/>
        </w:rPr>
        <w:t xml:space="preserve">: The maximum Doppler frequency for ATG </w:t>
      </w:r>
      <w:r>
        <w:rPr>
          <w:b/>
          <w:bCs/>
          <w:kern w:val="2"/>
          <w:lang w:val="en-US" w:eastAsia="zh-CN"/>
        </w:rPr>
        <w:t xml:space="preserve">UE </w:t>
      </w:r>
      <w:r w:rsidRPr="008665BC">
        <w:rPr>
          <w:b/>
          <w:bCs/>
          <w:kern w:val="2"/>
          <w:lang w:val="en-US" w:eastAsia="zh-CN"/>
        </w:rPr>
        <w:t>is at least 5.6 kHz to cover example bands.</w:t>
      </w:r>
    </w:p>
    <w:p w14:paraId="74893CD9" w14:textId="77777777" w:rsidR="00CB169C" w:rsidRPr="007F024D" w:rsidRDefault="00CB169C" w:rsidP="00CB169C">
      <w:pPr>
        <w:widowControl w:val="0"/>
        <w:spacing w:after="0"/>
        <w:rPr>
          <w:kern w:val="2"/>
          <w:lang w:val="en-US" w:eastAsia="zh-CN"/>
        </w:rPr>
      </w:pPr>
    </w:p>
    <w:p w14:paraId="4FF0451F" w14:textId="77777777" w:rsidR="00CB169C" w:rsidRDefault="00CB169C" w:rsidP="00CB169C">
      <w:pPr>
        <w:rPr>
          <w:lang w:val="en-US" w:eastAsia="zh-CN"/>
        </w:rPr>
      </w:pPr>
      <w:r>
        <w:rPr>
          <w:lang w:val="en-US" w:eastAsia="zh-CN"/>
        </w:rPr>
        <w:t xml:space="preserve">For BS demodulation, assuming current terrestrial network standard, we have </w:t>
      </w:r>
      <w:r w:rsidRPr="0051250E">
        <w:rPr>
          <w:lang w:val="en-US" w:eastAsia="zh-CN"/>
        </w:rPr>
        <w:t xml:space="preserve">the Doppler offset </w:t>
      </w:r>
      <w:r>
        <w:rPr>
          <w:lang w:val="en-US" w:eastAsia="zh-CN"/>
        </w:rPr>
        <w:t xml:space="preserve">more than doubled </w:t>
      </w:r>
      <w:r w:rsidRPr="0051250E">
        <w:rPr>
          <w:lang w:val="en-US" w:eastAsia="zh-CN"/>
        </w:rPr>
        <w:t xml:space="preserve">because of the assumption </w:t>
      </w:r>
      <w:r>
        <w:rPr>
          <w:lang w:val="en-US" w:eastAsia="zh-CN"/>
        </w:rPr>
        <w:t xml:space="preserve">that </w:t>
      </w:r>
      <w:r w:rsidRPr="0051250E">
        <w:rPr>
          <w:lang w:val="en-US" w:eastAsia="zh-CN"/>
        </w:rPr>
        <w:t>UE adjusts the DMRS based on DL signal</w:t>
      </w:r>
      <w:r>
        <w:rPr>
          <w:lang w:val="en-US" w:eastAsia="zh-CN"/>
        </w:rPr>
        <w:t xml:space="preserve"> + UL frequency error:</w:t>
      </w:r>
    </w:p>
    <w:p w14:paraId="4F988C81" w14:textId="77777777" w:rsidR="00CB169C" w:rsidRDefault="00CB169C" w:rsidP="00CB169C">
      <w:pPr>
        <w:ind w:left="1704" w:firstLine="284"/>
        <w:rPr>
          <w:lang w:val="en-US" w:eastAsia="zh-CN"/>
        </w:rPr>
      </w:pPr>
      <m:oMath>
        <m:r>
          <w:rPr>
            <w:rFonts w:ascii="Cambria Math" w:hAnsi="Cambria Math"/>
            <w:lang w:val="en-US" w:eastAsia="zh-CN"/>
          </w:rPr>
          <m:t>∆f_(D_UL )  =  ∆v/c f_DL  + f_DL∙0.1∙10^(-6)  +  ∆v/c f_UL  ≈ 2 ∆v/c f_0  + f_0∙0.1∙10^(-6)</m:t>
        </m:r>
      </m:oMath>
      <w:r>
        <w:rPr>
          <w:lang w:val="en-US" w:eastAsia="zh-CN"/>
        </w:rPr>
        <w:tab/>
      </w:r>
      <w:r>
        <w:rPr>
          <w:lang w:val="en-US" w:eastAsia="zh-CN"/>
        </w:rPr>
        <w:tab/>
        <w:t>(2)</w:t>
      </w:r>
    </w:p>
    <w:p w14:paraId="2A530D54" w14:textId="77777777" w:rsidR="00CB169C" w:rsidRDefault="00CB169C" w:rsidP="00CB169C">
      <w:pPr>
        <w:rPr>
          <w:lang w:val="en-US" w:eastAsia="zh-CN"/>
        </w:rPr>
      </w:pPr>
      <w:r>
        <w:rPr>
          <w:lang w:val="en-US" w:eastAsia="zh-CN"/>
        </w:rPr>
        <w:t xml:space="preserve">If we plug in band n79 and </w:t>
      </w:r>
      <m:oMath>
        <m:r>
          <w:rPr>
            <w:rFonts w:ascii="Cambria Math" w:hAnsi="Cambria Math"/>
            <w:lang w:val="en-US" w:eastAsia="zh-CN"/>
          </w:rPr>
          <m:t>f_0</m:t>
        </m:r>
      </m:oMath>
      <w:r>
        <w:rPr>
          <w:lang w:val="en-US" w:eastAsia="zh-CN"/>
        </w:rPr>
        <w:t xml:space="preserve"> = 5 GHz and </w:t>
      </w:r>
      <m:oMath>
        <m:r>
          <w:rPr>
            <w:rFonts w:ascii="Cambria Math" w:hAnsi="Cambria Math"/>
            <w:lang w:val="en-US" w:eastAsia="zh-CN"/>
          </w:rPr>
          <m:t>∆v</m:t>
        </m:r>
      </m:oMath>
      <w:r>
        <w:rPr>
          <w:lang w:val="en-US" w:eastAsia="zh-CN"/>
        </w:rPr>
        <w:t xml:space="preserve"> = 1200 km/h, into (2) we get </w:t>
      </w:r>
      <m:oMath>
        <m:r>
          <w:rPr>
            <w:rFonts w:ascii="Cambria Math" w:hAnsi="Cambria Math"/>
            <w:lang w:val="en-US" w:eastAsia="zh-CN"/>
          </w:rPr>
          <m:t>∆f_(D_UL )</m:t>
        </m:r>
      </m:oMath>
      <w:r>
        <w:rPr>
          <w:lang w:val="en-US" w:eastAsia="zh-CN"/>
        </w:rPr>
        <w:t xml:space="preserve"> ≈ 11.6 kHz.</w:t>
      </w:r>
    </w:p>
    <w:p w14:paraId="4F330889" w14:textId="263A1FF7" w:rsidR="00CB169C" w:rsidRDefault="00CB169C" w:rsidP="00CB169C">
      <w:pPr>
        <w:widowControl w:val="0"/>
        <w:spacing w:after="0"/>
        <w:rPr>
          <w:b/>
          <w:bCs/>
          <w:kern w:val="2"/>
          <w:lang w:val="en-US" w:eastAsia="zh-CN"/>
        </w:rPr>
      </w:pPr>
      <w:r w:rsidRPr="00881675">
        <w:rPr>
          <w:b/>
          <w:bCs/>
          <w:kern w:val="2"/>
          <w:lang w:val="en-US" w:eastAsia="zh-CN"/>
        </w:rPr>
        <w:t xml:space="preserve">Observation </w:t>
      </w:r>
      <w:r w:rsidR="004A4335">
        <w:rPr>
          <w:b/>
          <w:bCs/>
          <w:kern w:val="2"/>
          <w:lang w:val="en-US" w:eastAsia="zh-CN"/>
        </w:rPr>
        <w:t>5</w:t>
      </w:r>
      <w:r w:rsidRPr="00881675">
        <w:rPr>
          <w:b/>
          <w:bCs/>
          <w:kern w:val="2"/>
          <w:lang w:val="en-US" w:eastAsia="zh-CN"/>
        </w:rPr>
        <w:t xml:space="preserve">: The maximum Doppler frequency for ATG </w:t>
      </w:r>
      <w:r>
        <w:rPr>
          <w:b/>
          <w:bCs/>
          <w:kern w:val="2"/>
          <w:lang w:val="en-US" w:eastAsia="zh-CN"/>
        </w:rPr>
        <w:t xml:space="preserve">BS </w:t>
      </w:r>
      <w:r w:rsidRPr="00881675">
        <w:rPr>
          <w:b/>
          <w:bCs/>
          <w:kern w:val="2"/>
          <w:lang w:val="en-US" w:eastAsia="zh-CN"/>
        </w:rPr>
        <w:t xml:space="preserve">is at least </w:t>
      </w:r>
      <w:r>
        <w:rPr>
          <w:b/>
          <w:bCs/>
          <w:kern w:val="2"/>
          <w:lang w:val="en-US" w:eastAsia="zh-CN"/>
        </w:rPr>
        <w:t>11</w:t>
      </w:r>
      <w:r w:rsidRPr="00881675">
        <w:rPr>
          <w:b/>
          <w:bCs/>
          <w:kern w:val="2"/>
          <w:lang w:val="en-US" w:eastAsia="zh-CN"/>
        </w:rPr>
        <w:t>.6 kHz to cover example bands</w:t>
      </w:r>
      <w:r>
        <w:rPr>
          <w:b/>
          <w:bCs/>
          <w:kern w:val="2"/>
          <w:lang w:val="en-US" w:eastAsia="zh-CN"/>
        </w:rPr>
        <w:t xml:space="preserve"> whilst assuming existing terrestrial 5G access procedures</w:t>
      </w:r>
      <w:r w:rsidRPr="00881675">
        <w:rPr>
          <w:b/>
          <w:bCs/>
          <w:kern w:val="2"/>
          <w:lang w:val="en-US" w:eastAsia="zh-CN"/>
        </w:rPr>
        <w:t>.</w:t>
      </w:r>
    </w:p>
    <w:p w14:paraId="73DB525F" w14:textId="77777777" w:rsidR="00CB169C" w:rsidRDefault="00CB169C" w:rsidP="00CB169C">
      <w:pPr>
        <w:widowControl w:val="0"/>
        <w:spacing w:after="0"/>
        <w:rPr>
          <w:b/>
          <w:bCs/>
          <w:kern w:val="2"/>
          <w:lang w:val="en-US" w:eastAsia="zh-CN"/>
        </w:rPr>
      </w:pPr>
    </w:p>
    <w:p w14:paraId="3FF40837" w14:textId="28EF61AB" w:rsidR="00CB169C" w:rsidRPr="008665BC" w:rsidRDefault="00CB169C" w:rsidP="00CB169C">
      <w:pPr>
        <w:widowControl w:val="0"/>
        <w:spacing w:after="0"/>
        <w:rPr>
          <w:b/>
          <w:bCs/>
          <w:kern w:val="2"/>
          <w:lang w:val="en-US" w:eastAsia="zh-CN"/>
        </w:rPr>
      </w:pPr>
      <w:r>
        <w:rPr>
          <w:b/>
          <w:bCs/>
          <w:kern w:val="2"/>
          <w:lang w:val="en-US" w:eastAsia="zh-CN"/>
        </w:rPr>
        <w:t xml:space="preserve">Proposal </w:t>
      </w:r>
      <w:r w:rsidR="00617A74">
        <w:rPr>
          <w:b/>
          <w:bCs/>
          <w:kern w:val="2"/>
          <w:lang w:val="en-US" w:eastAsia="zh-CN"/>
        </w:rPr>
        <w:t>25</w:t>
      </w:r>
      <w:r>
        <w:rPr>
          <w:b/>
          <w:bCs/>
          <w:kern w:val="2"/>
          <w:lang w:val="en-US" w:eastAsia="zh-CN"/>
        </w:rPr>
        <w:t>: Clarify maximum Doppler frequency for ATG UE and BS requirements.</w:t>
      </w:r>
      <w:r>
        <w:rPr>
          <w:b/>
          <w:bCs/>
          <w:kern w:val="2"/>
          <w:lang w:val="en-US" w:eastAsia="zh-CN"/>
        </w:rPr>
        <w:br/>
      </w:r>
    </w:p>
    <w:p w14:paraId="0FEBE9A5" w14:textId="77777777" w:rsidR="00CB169C" w:rsidRDefault="00CB169C" w:rsidP="00CB169C">
      <w:pPr>
        <w:rPr>
          <w:lang w:val="en-US" w:eastAsia="zh-CN"/>
        </w:rPr>
      </w:pPr>
      <w:r>
        <w:rPr>
          <w:lang w:val="en-US" w:eastAsia="zh-CN"/>
        </w:rPr>
        <w:t>There is a fundamental tradeoff between cell range and ability to suppress Doppler frequency in a TN network. One can simplify to first order analysis and say that 5G TN PRACH design follows these constraints:</w:t>
      </w:r>
    </w:p>
    <w:p w14:paraId="686F133D" w14:textId="77777777" w:rsidR="00CB169C" w:rsidRPr="0005755E" w:rsidRDefault="00CB169C" w:rsidP="00CB169C">
      <w:pPr>
        <w:ind w:left="1704" w:firstLine="284"/>
        <w:rPr>
          <w:lang w:val="en-US" w:eastAsia="zh-CN"/>
        </w:rPr>
      </w:pPr>
      <m:oMath>
        <m:r>
          <w:rPr>
            <w:rFonts w:ascii="Cambria Math" w:hAnsi="Cambria Math"/>
            <w:lang w:val="en-US" w:eastAsia="zh-CN"/>
          </w:rPr>
          <m:t>∆f_D  ≪ ∆f_RA</m:t>
        </m:r>
      </m:oMath>
      <w:r>
        <w:rPr>
          <w:lang w:val="en-US" w:eastAsia="zh-CN"/>
        </w:rPr>
        <w:t xml:space="preserve"> </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(3)</w:t>
      </w:r>
    </w:p>
    <w:p w14:paraId="08420320" w14:textId="77777777" w:rsidR="00CB169C" w:rsidRDefault="00CB169C" w:rsidP="00CB169C">
      <w:pPr>
        <w:tabs>
          <w:tab w:val="left" w:pos="5387"/>
        </w:tabs>
        <w:ind w:left="1988"/>
        <w:rPr>
          <w:lang w:val="en-US" w:eastAsia="zh-CN"/>
        </w:rPr>
      </w:pPr>
      <m:oMath>
        <m:r>
          <w:rPr>
            <w:rFonts w:ascii="Cambria Math" w:hAnsi="Cambria Math"/>
            <w:lang w:val="en-US" w:eastAsia="zh-CN"/>
          </w:rPr>
          <m:t xml:space="preserve">r &lt;  1/T_SEQ </m:t>
        </m:r>
      </m:oMath>
      <w:proofErr w:type="gramStart"/>
      <w:r>
        <w:rPr>
          <w:lang w:val="en-US" w:eastAsia="zh-CN"/>
        </w:rPr>
        <w:t>,  r</w:t>
      </w:r>
      <w:proofErr w:type="gramEnd"/>
      <w:r>
        <w:rPr>
          <w:lang w:val="en-US" w:eastAsia="zh-CN"/>
        </w:rPr>
        <w:t xml:space="preserve"> &lt; </w:t>
      </w:r>
      <m:oMath>
        <m:r>
          <w:rPr>
            <w:rFonts w:ascii="Cambria Math" w:hAnsi="Cambria Math"/>
            <w:lang w:val="en-US" w:eastAsia="zh-CN"/>
          </w:rPr>
          <m:t>c∙min(T_CP, T_GP)</m:t>
        </m:r>
      </m:oMath>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(4)</w:t>
      </w:r>
    </w:p>
    <w:p w14:paraId="677E8EAE" w14:textId="77777777" w:rsidR="00CB169C" w:rsidRDefault="00CB169C" w:rsidP="00CB169C">
      <w:pPr>
        <w:tabs>
          <w:tab w:val="left" w:pos="5387"/>
        </w:tabs>
        <w:jc w:val="both"/>
        <w:rPr>
          <w:lang w:val="en-US" w:eastAsia="zh-CN"/>
        </w:rPr>
      </w:pPr>
      <w:r>
        <w:rPr>
          <w:lang w:val="en-US" w:eastAsia="zh-CN"/>
        </w:rPr>
        <w:t xml:space="preserve">Where </w:t>
      </w:r>
      <m:oMath>
        <m:r>
          <w:rPr>
            <w:rFonts w:ascii="Cambria Math" w:hAnsi="Cambria Math"/>
            <w:lang w:val="en-US" w:eastAsia="zh-CN"/>
          </w:rPr>
          <m:t>∆f_RA</m:t>
        </m:r>
      </m:oMath>
      <w:r>
        <w:rPr>
          <w:lang w:val="en-US" w:eastAsia="zh-CN"/>
        </w:rPr>
        <w:t xml:space="preserve"> is the subcarrier spacing of the RACH preamble, r is the cell radius, </w:t>
      </w:r>
      <m:oMath>
        <m:r>
          <w:rPr>
            <w:rFonts w:ascii="Cambria Math" w:hAnsi="Cambria Math"/>
            <w:lang w:val="en-US" w:eastAsia="zh-CN"/>
          </w:rPr>
          <m:t>T_CP</m:t>
        </m:r>
      </m:oMath>
      <w:r>
        <w:rPr>
          <w:lang w:val="en-US" w:eastAsia="zh-CN"/>
        </w:rPr>
        <w:t xml:space="preserve"> is PRACH preamble CP length and </w:t>
      </w:r>
      <m:oMath>
        <m:r>
          <w:rPr>
            <w:rFonts w:ascii="Cambria Math" w:hAnsi="Cambria Math"/>
            <w:lang w:val="en-US" w:eastAsia="zh-CN"/>
          </w:rPr>
          <m:t>T_GP</m:t>
        </m:r>
      </m:oMath>
      <w:r>
        <w:rPr>
          <w:lang w:val="en-US" w:eastAsia="zh-CN"/>
        </w:rPr>
        <w:t xml:space="preserve"> is the PRACH preamble Guard Period (or Gap Period). The current PRACH preamble designs are listed in tables 1 and 2. From equations (3), (4), Table 1 and Table 2, </w:t>
      </w:r>
      <w:proofErr w:type="gramStart"/>
      <w:r>
        <w:rPr>
          <w:lang w:val="en-US" w:eastAsia="zh-CN"/>
        </w:rPr>
        <w:t>it is clear that either</w:t>
      </w:r>
      <w:proofErr w:type="gramEnd"/>
      <w:r>
        <w:rPr>
          <w:lang w:val="en-US" w:eastAsia="zh-CN"/>
        </w:rPr>
        <w:t xml:space="preserve"> one has large tolerance to Doppler with high </w:t>
      </w:r>
      <m:oMath>
        <m:r>
          <w:rPr>
            <w:rFonts w:ascii="Cambria Math" w:hAnsi="Cambria Math"/>
            <w:lang w:val="en-US" w:eastAsia="zh-CN"/>
          </w:rPr>
          <m:t>∆f_RA</m:t>
        </m:r>
      </m:oMath>
      <w:r>
        <w:rPr>
          <w:lang w:val="en-US" w:eastAsia="zh-CN"/>
        </w:rPr>
        <w:t xml:space="preserve">but lower cell coverage range, or the other way around. In the tables </w:t>
      </w:r>
      <m:oMath>
        <m:r>
          <w:rPr>
            <w:rFonts w:ascii="Cambria Math" w:hAnsi="Cambria Math"/>
            <w:lang w:val="en-US" w:eastAsia="zh-CN"/>
          </w:rPr>
          <m:t>T_CP</m:t>
        </m:r>
      </m:oMath>
      <w:r>
        <w:rPr>
          <w:lang w:val="en-US" w:eastAsia="zh-CN"/>
        </w:rPr>
        <w:t xml:space="preserve"> and </w:t>
      </w:r>
      <m:oMath>
        <m:r>
          <w:rPr>
            <w:rFonts w:ascii="Cambria Math" w:hAnsi="Cambria Math"/>
            <w:lang w:val="en-US" w:eastAsia="zh-CN"/>
          </w:rPr>
          <m:t>T_GP</m:t>
        </m:r>
      </m:oMath>
      <w:r>
        <w:rPr>
          <w:lang w:val="en-US" w:eastAsia="zh-CN"/>
        </w:rPr>
        <w:t xml:space="preserve"> are given in </w:t>
      </w:r>
      <m:oMath>
        <m:r>
          <w:rPr>
            <w:rFonts w:ascii="Cambria Math" w:hAnsi="Cambria Math"/>
            <w:lang w:val="en-US" w:eastAsia="zh-CN"/>
          </w:rPr>
          <m:t>T_c</m:t>
        </m:r>
      </m:oMath>
      <w:r>
        <w:rPr>
          <w:lang w:val="en-US" w:eastAsia="zh-CN"/>
        </w:rPr>
        <w:t xml:space="preserve"> units </w:t>
      </w:r>
      <w:r>
        <w:rPr>
          <w:lang w:val="en-US" w:eastAsia="zh-CN"/>
        </w:rPr>
        <w:br/>
        <w:t>(</w:t>
      </w:r>
      <m:oMath>
        <m:r>
          <w:rPr>
            <w:rFonts w:ascii="Cambria Math" w:hAnsi="Cambria Math"/>
            <w:lang w:val="en-US" w:eastAsia="zh-CN"/>
          </w:rPr>
          <m:t>1/(480∙ 10^3∙ 4096)</m:t>
        </m:r>
      </m:oMath>
      <w:r>
        <w:rPr>
          <w:lang w:val="en-US" w:eastAsia="zh-CN"/>
        </w:rPr>
        <w:t xml:space="preserve">  s).</w:t>
      </w:r>
    </w:p>
    <w:p w14:paraId="7D34A1EB" w14:textId="77777777" w:rsidR="00CB169C" w:rsidRDefault="00CB169C" w:rsidP="00CB169C">
      <w:pPr>
        <w:pStyle w:val="TOC3"/>
      </w:pPr>
      <w:r>
        <w:t xml:space="preserve">Table 1: PRACH preamble formats for </w:t>
      </w:r>
      <w:r>
        <w:rPr>
          <w:rFonts w:eastAsia="Batang"/>
          <w:position w:val="-10"/>
        </w:rPr>
        <w:object w:dxaOrig="915" w:dyaOrig="300" w14:anchorId="155EC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15.05pt" o:ole="">
            <v:imagedata r:id="rId14" o:title=""/>
          </v:shape>
          <o:OLEObject Type="Embed" ProgID="Equation.3" ShapeID="_x0000_i1025" DrawAspect="Content" ObjectID="_1721654288" r:id="rId15"/>
        </w:object>
      </w:r>
      <w:r>
        <w:rPr>
          <w:rFonts w:eastAsia="Batang"/>
        </w:rPr>
        <w:t xml:space="preserve"> (long sequence) and </w:t>
      </w:r>
      <m:oMath>
        <m:r>
          <m:rPr>
            <m:sty m:val="b"/>
          </m:rPr>
          <w:rPr>
            <w:rFonts w:ascii="Cambria Math" w:hAnsi="Cambria Math"/>
          </w:rPr>
          <m:t>Δ</m:t>
        </m:r>
        <m:r>
          <m:rPr>
            <m:sty m:val="bi"/>
          </m:rPr>
          <w:rPr>
            <w:rFonts w:ascii="Cambria Math" w:hAnsi="Cambria Math"/>
          </w:rPr>
          <m:t>f</m:t>
        </m:r>
        <m:r>
          <m:rPr>
            <m:sty m:val="p"/>
          </m:rPr>
          <w:rPr>
            <w:rFonts w:ascii="Cambria Math" w:eastAsia="Calibri" w:hAnsi="Cambria Math"/>
          </w:rPr>
          <m:t>_</m:t>
        </m:r>
        <m:r>
          <m:rPr>
            <m:sty m:val="p"/>
          </m:rPr>
          <w:rPr>
            <w:rFonts w:ascii="Cambria Math" w:hAnsi="Cambria Math"/>
          </w:rPr>
          <m:t>"</m:t>
        </m:r>
        <m:r>
          <w:rPr>
            <w:rFonts w:ascii="Cambria Math" w:hAnsi="Cambria Math"/>
          </w:rPr>
          <m:t>RA</m:t>
        </m:r>
        <m:r>
          <w:rPr>
            <w:rFonts w:ascii="Cambria Math" w:eastAsia="Calibri" w:hAnsi="Cambria Math"/>
          </w:rPr>
          <m:t>"</m:t>
        </m:r>
        <m:r>
          <m:rPr>
            <m:sty m:val="p"/>
          </m:rPr>
          <w:rPr>
            <w:rFonts w:ascii="Cambria Math" w:eastAsia="Calibri" w:hAnsi="Cambria Math"/>
          </w:rPr>
          <m:t xml:space="preserve"> </m:t>
        </m:r>
        <m:r>
          <m:rPr>
            <m:sty m:val="bi"/>
          </m:rPr>
          <w:rPr>
            <w:rFonts w:ascii="Cambria Math" w:eastAsia="Batang" w:hAnsi="Cambria Math"/>
          </w:rPr>
          <m:t>∈</m:t>
        </m:r>
        <m:r>
          <w:rPr>
            <w:rFonts w:ascii="Cambria Math" w:eastAsia="Batang" w:hAnsi="Cambria Math"/>
          </w:rPr>
          <m:t>{</m:t>
        </m:r>
        <m:r>
          <m:rPr>
            <m:sty m:val="bi"/>
          </m:rPr>
          <w:rPr>
            <w:rFonts w:ascii="Cambria Math" w:eastAsia="Batang" w:hAnsi="Cambria Math"/>
          </w:rPr>
          <m:t>1.25, 5</m:t>
        </m:r>
        <m:r>
          <w:rPr>
            <w:rFonts w:ascii="Cambria Math" w:eastAsia="Batang" w:hAnsi="Cambria Math"/>
          </w:rPr>
          <m:t>}</m:t>
        </m:r>
      </m:oMath>
      <w:r>
        <w:rPr>
          <w:rFonts w:eastAsia="Batang"/>
        </w:rPr>
        <w:t xml:space="preserve"> kHz. (</w:t>
      </w:r>
      <w:r>
        <w:t>Table 6.3.3.1-1 in [2]</w: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874"/>
        <w:gridCol w:w="1937"/>
        <w:gridCol w:w="930"/>
        <w:gridCol w:w="1194"/>
        <w:gridCol w:w="1199"/>
        <w:gridCol w:w="2486"/>
      </w:tblGrid>
      <w:tr w:rsidR="00CB169C" w14:paraId="48D47C9D" w14:textId="77777777" w:rsidTr="00B84314">
        <w:trPr>
          <w:jc w:val="center"/>
        </w:trPr>
        <w:tc>
          <w:tcPr>
            <w:tcW w:w="1395" w:type="dxa"/>
            <w:tcBorders>
              <w:top w:val="single" w:sz="4" w:space="0" w:color="auto"/>
              <w:left w:val="single" w:sz="4" w:space="0" w:color="auto"/>
              <w:bottom w:val="single" w:sz="4" w:space="0" w:color="auto"/>
              <w:right w:val="single" w:sz="4" w:space="0" w:color="auto"/>
            </w:tcBorders>
            <w:hideMark/>
          </w:tcPr>
          <w:p w14:paraId="6734A61C" w14:textId="77777777" w:rsidR="00CB169C" w:rsidRDefault="00CB169C" w:rsidP="00B84314">
            <w:pPr>
              <w:pStyle w:val="TOC5"/>
              <w:rPr>
                <w:rFonts w:eastAsia="Batang"/>
              </w:rPr>
            </w:pPr>
            <w:r>
              <w:rPr>
                <w:rFonts w:eastAsia="Batang"/>
              </w:rPr>
              <w:t>Format</w:t>
            </w:r>
          </w:p>
        </w:tc>
        <w:tc>
          <w:tcPr>
            <w:tcW w:w="1185" w:type="dxa"/>
            <w:tcBorders>
              <w:top w:val="single" w:sz="4" w:space="0" w:color="auto"/>
              <w:left w:val="single" w:sz="4" w:space="0" w:color="auto"/>
              <w:bottom w:val="single" w:sz="4" w:space="0" w:color="auto"/>
              <w:right w:val="single" w:sz="4" w:space="0" w:color="auto"/>
            </w:tcBorders>
            <w:hideMark/>
          </w:tcPr>
          <w:p w14:paraId="69D5762F" w14:textId="77777777" w:rsidR="00CB169C" w:rsidRDefault="00CB169C" w:rsidP="00B84314">
            <w:pPr>
              <w:pStyle w:val="TOC5"/>
              <w:rPr>
                <w:rFonts w:eastAsia="Batang"/>
              </w:rPr>
            </w:pPr>
            <w:r>
              <w:rPr>
                <w:rFonts w:eastAsia="Batang"/>
                <w:position w:val="-10"/>
              </w:rPr>
              <w:object w:dxaOrig="405" w:dyaOrig="300" w14:anchorId="6F828252">
                <v:shape id="_x0000_i1026" type="#_x0000_t75" style="width:20.4pt;height:15.05pt" o:ole="">
                  <v:imagedata r:id="rId16" o:title=""/>
                </v:shape>
                <o:OLEObject Type="Embed" ProgID="Equation.3" ShapeID="_x0000_i1026" DrawAspect="Content" ObjectID="_1721654289" r:id="rId17"/>
              </w:object>
            </w:r>
          </w:p>
        </w:tc>
        <w:tc>
          <w:tcPr>
            <w:tcW w:w="1233" w:type="dxa"/>
            <w:tcBorders>
              <w:top w:val="single" w:sz="4" w:space="0" w:color="auto"/>
              <w:left w:val="single" w:sz="4" w:space="0" w:color="auto"/>
              <w:bottom w:val="single" w:sz="4" w:space="0" w:color="auto"/>
              <w:right w:val="single" w:sz="4" w:space="0" w:color="auto"/>
            </w:tcBorders>
            <w:hideMark/>
          </w:tcPr>
          <w:p w14:paraId="3D23C623" w14:textId="77777777" w:rsidR="00CB169C" w:rsidRDefault="00CB169C" w:rsidP="00B84314">
            <w:pPr>
              <w:pStyle w:val="TOC5"/>
              <w:rPr>
                <w:rFonts w:eastAsia="Batang"/>
              </w:rPr>
            </w:pPr>
            <m:oMathPara>
              <m:oMath>
                <m:r>
                  <m:rPr>
                    <m:sty m:val="b"/>
                  </m:rPr>
                  <w:rPr>
                    <w:rFonts w:ascii="Cambria Math" w:hAnsi="Cambria Math"/>
                  </w:rPr>
                  <m:t>Δ</m:t>
                </m:r>
                <m:r>
                  <m:rPr>
                    <m:sty m:val="bi"/>
                  </m:rPr>
                  <w:rPr>
                    <w:rFonts w:ascii="Cambria Math" w:hAnsi="Cambria Math"/>
                  </w:rPr>
                  <m:t>f</m:t>
                </m:r>
                <m:r>
                  <m:rPr>
                    <m:sty m:val="p"/>
                  </m:rPr>
                  <w:rPr>
                    <w:rFonts w:ascii="Cambria Math" w:eastAsia="Calibri" w:hAnsi="Cambria Math"/>
                  </w:rPr>
                  <m:t>_</m:t>
                </m:r>
                <m:r>
                  <m:rPr>
                    <m:sty m:val="p"/>
                  </m:rPr>
                  <w:rPr>
                    <w:rFonts w:ascii="Cambria Math" w:hAnsi="Cambria Math"/>
                  </w:rPr>
                  <m:t>"</m:t>
                </m:r>
                <m:r>
                  <w:rPr>
                    <w:rFonts w:ascii="Cambria Math" w:hAnsi="Cambria Math"/>
                  </w:rPr>
                  <m:t>RA</m:t>
                </m:r>
                <m:r>
                  <w:rPr>
                    <w:rFonts w:ascii="Cambria Math" w:eastAsia="Calibri" w:hAnsi="Cambria Math"/>
                  </w:rPr>
                  <m:t>"</m:t>
                </m:r>
                <m:r>
                  <m:rPr>
                    <m:sty m:val="p"/>
                  </m:rPr>
                  <w:rPr>
                    <w:rFonts w:ascii="Cambria Math" w:eastAsia="Calibri" w:hAnsi="Cambria Math"/>
                  </w:rPr>
                  <m:t xml:space="preserve"> </m:t>
                </m:r>
              </m:oMath>
            </m:oMathPara>
          </w:p>
        </w:tc>
        <w:tc>
          <w:tcPr>
            <w:tcW w:w="1236" w:type="dxa"/>
            <w:tcBorders>
              <w:top w:val="single" w:sz="4" w:space="0" w:color="auto"/>
              <w:left w:val="single" w:sz="4" w:space="0" w:color="auto"/>
              <w:bottom w:val="single" w:sz="4" w:space="0" w:color="auto"/>
              <w:right w:val="single" w:sz="4" w:space="0" w:color="auto"/>
            </w:tcBorders>
            <w:hideMark/>
          </w:tcPr>
          <w:p w14:paraId="2074F71F" w14:textId="77777777" w:rsidR="00CB169C" w:rsidRPr="00763938" w:rsidRDefault="00CB169C" w:rsidP="00B84314">
            <w:pPr>
              <w:pStyle w:val="TOC5"/>
              <w:rPr>
                <w:rFonts w:eastAsia="Batang"/>
                <w:b/>
                <w:bCs/>
              </w:rPr>
            </w:pPr>
            <m:oMathPara>
              <m:oMathParaPr>
                <m:jc m:val="center"/>
              </m:oMathParaPr>
              <m:oMath>
                <m:r>
                  <m:rPr>
                    <m:sty m:val="bi"/>
                  </m:rPr>
                  <w:rPr>
                    <w:rFonts w:ascii="Cambria Math" w:eastAsia="Batang"/>
                  </w:rPr>
                  <m:t>N</m:t>
                </m:r>
                <m:r>
                  <w:rPr>
                    <w:rFonts w:ascii="Cambria Math" w:eastAsia="Batang" w:hAnsi="Cambria Math"/>
                  </w:rPr>
                  <m:t>_(</m:t>
                </m:r>
                <m:r>
                  <m:rPr>
                    <m:sty m:val="bi"/>
                  </m:rPr>
                  <w:rPr>
                    <w:rFonts w:ascii="Cambria Math" w:eastAsia="Batang"/>
                  </w:rPr>
                  <m:t xml:space="preserve">u </m:t>
                </m:r>
                <m:r>
                  <w:rPr>
                    <w:rFonts w:ascii="Cambria Math" w:eastAsia="Batang" w:hAnsi="Cambria Math"/>
                  </w:rPr>
                  <m:t>)</m:t>
                </m:r>
                <m:r>
                  <m:rPr>
                    <m:sty m:val="p"/>
                  </m:rPr>
                  <w:rPr>
                    <w:rFonts w:ascii="Cambria Math" w:eastAsia="Batang"/>
                  </w:rPr>
                  <w:br/>
                </m:r>
              </m:oMath>
              <m:oMath>
                <m:r>
                  <m:rPr>
                    <m:sty m:val="bi"/>
                  </m:rPr>
                  <w:rPr>
                    <w:rFonts w:ascii="Cambria Math" w:eastAsia="Batang" w:hAnsi="Cambria Math"/>
                  </w:rPr>
                  <m:t>(</m:t>
                </m:r>
                <m:r>
                  <m:rPr>
                    <m:sty m:val="bi"/>
                  </m:rPr>
                  <w:rPr>
                    <w:rFonts w:ascii="Cambria Math" w:eastAsia="Batang"/>
                  </w:rPr>
                  <m:t>N</m:t>
                </m:r>
                <m:r>
                  <m:rPr>
                    <m:sty m:val="bi"/>
                  </m:rPr>
                  <w:rPr>
                    <w:rFonts w:ascii="Cambria Math" w:eastAsia="Batang" w:hAnsi="Cambria Math"/>
                  </w:rPr>
                  <m:t>∙</m:t>
                </m:r>
                <m:r>
                  <m:rPr>
                    <m:sty m:val="bi"/>
                  </m:rPr>
                  <w:rPr>
                    <w:rFonts w:ascii="Cambria Math" w:eastAsia="Batang"/>
                  </w:rPr>
                  <m:t xml:space="preserve"> T</m:t>
                </m:r>
                <m:r>
                  <w:rPr>
                    <w:rFonts w:ascii="Cambria Math" w:eastAsia="Batang" w:hAnsi="Cambria Math"/>
                  </w:rPr>
                  <m:t>_</m:t>
                </m:r>
                <m:r>
                  <m:rPr>
                    <m:sty m:val="bi"/>
                  </m:rPr>
                  <w:rPr>
                    <w:rFonts w:ascii="Cambria Math" w:eastAsia="Batang"/>
                  </w:rPr>
                  <m:t>SEQ)</m:t>
                </m:r>
              </m:oMath>
            </m:oMathPara>
          </w:p>
        </w:tc>
        <w:tc>
          <w:tcPr>
            <w:tcW w:w="1215" w:type="dxa"/>
            <w:tcBorders>
              <w:top w:val="single" w:sz="4" w:space="0" w:color="auto"/>
              <w:left w:val="single" w:sz="4" w:space="0" w:color="auto"/>
              <w:bottom w:val="single" w:sz="4" w:space="0" w:color="auto"/>
              <w:right w:val="single" w:sz="4" w:space="0" w:color="auto"/>
            </w:tcBorders>
            <w:hideMark/>
          </w:tcPr>
          <w:p w14:paraId="423921E6" w14:textId="77777777" w:rsidR="00CB169C" w:rsidRPr="00763938" w:rsidRDefault="00CB169C" w:rsidP="00B84314">
            <w:pPr>
              <w:pStyle w:val="TOC5"/>
              <w:rPr>
                <w:rFonts w:eastAsia="Batang"/>
                <w:b/>
                <w:bCs/>
              </w:rPr>
            </w:pPr>
            <m:oMathPara>
              <m:oMath>
                <m:r>
                  <m:rPr>
                    <m:sty m:val="bi"/>
                  </m:rPr>
                  <w:rPr>
                    <w:rFonts w:ascii="Cambria Math"/>
                  </w:rPr>
                  <m:t>N</m:t>
                </m:r>
                <m:r>
                  <w:rPr>
                    <w:rFonts w:ascii="Cambria Math" w:hAnsi="Cambria Math"/>
                  </w:rPr>
                  <m:t>_</m:t>
                </m:r>
                <m:r>
                  <m:rPr>
                    <m:sty m:val="p"/>
                  </m:rPr>
                  <w:rPr>
                    <w:rFonts w:ascii="Cambria Math"/>
                  </w:rPr>
                  <m:t>"</m:t>
                </m:r>
                <m:r>
                  <w:rPr>
                    <w:rFonts w:ascii="Cambria Math"/>
                  </w:rPr>
                  <m:t>CP</m:t>
                </m:r>
                <m:r>
                  <w:rPr>
                    <w:rFonts w:ascii="Cambria Math" w:hAnsi="Cambria Math"/>
                  </w:rPr>
                  <m:t>"</m:t>
                </m:r>
                <m:r>
                  <m:rPr>
                    <m:sty m:val="p"/>
                  </m:rPr>
                  <w:rPr>
                    <w:rFonts w:ascii="Cambria Math" w:hAnsi="Cambria Math"/>
                  </w:rPr>
                  <m:t xml:space="preserve"> ^</m:t>
                </m:r>
                <m:r>
                  <m:rPr>
                    <m:sty m:val="p"/>
                  </m:rPr>
                  <w:rPr>
                    <w:rFonts w:ascii="Cambria Math"/>
                  </w:rPr>
                  <m:t>"</m:t>
                </m:r>
                <m:r>
                  <w:rPr>
                    <w:rFonts w:ascii="Cambria Math"/>
                  </w:rPr>
                  <m:t>RA</m:t>
                </m:r>
                <m:r>
                  <w:rPr>
                    <w:rFonts w:ascii="Cambria Math" w:hAnsi="Cambria Math"/>
                  </w:rPr>
                  <m:t>"</m:t>
                </m:r>
                <m:r>
                  <m:rPr>
                    <m:sty m:val="p"/>
                  </m:rPr>
                  <w:rPr>
                    <w:rFonts w:ascii="Cambria Math" w:hAnsi="Cambria Math"/>
                  </w:rPr>
                  <m:t xml:space="preserve"> </m:t>
                </m:r>
              </m:oMath>
            </m:oMathPara>
          </w:p>
        </w:tc>
        <w:tc>
          <w:tcPr>
            <w:tcW w:w="1586" w:type="dxa"/>
            <w:tcBorders>
              <w:top w:val="single" w:sz="4" w:space="0" w:color="auto"/>
              <w:left w:val="single" w:sz="4" w:space="0" w:color="auto"/>
              <w:bottom w:val="single" w:sz="4" w:space="0" w:color="auto"/>
              <w:right w:val="single" w:sz="4" w:space="0" w:color="auto"/>
            </w:tcBorders>
          </w:tcPr>
          <w:p w14:paraId="24D652E4" w14:textId="77777777" w:rsidR="00CB169C" w:rsidRDefault="00CB169C" w:rsidP="00B84314">
            <w:pPr>
              <w:pStyle w:val="TOC5"/>
              <w:rPr>
                <w:rFonts w:eastAsia="Batang"/>
              </w:rPr>
            </w:pPr>
            <m:oMathPara>
              <m:oMath>
                <m:r>
                  <m:rPr>
                    <m:sty m:val="bi"/>
                  </m:rPr>
                  <w:rPr>
                    <w:rFonts w:ascii="Cambria Math"/>
                  </w:rPr>
                  <m:t>N</m:t>
                </m:r>
                <m:r>
                  <w:rPr>
                    <w:rFonts w:ascii="Cambria Math" w:hAnsi="Cambria Math"/>
                  </w:rPr>
                  <m:t>_</m:t>
                </m:r>
                <m:r>
                  <m:rPr>
                    <m:sty m:val="p"/>
                  </m:rPr>
                  <w:rPr>
                    <w:rFonts w:ascii="Cambria Math"/>
                  </w:rPr>
                  <m:t>"</m:t>
                </m:r>
                <m:r>
                  <w:rPr>
                    <w:rFonts w:ascii="Cambria Math"/>
                  </w:rPr>
                  <m:t>GP</m:t>
                </m:r>
                <m:r>
                  <w:rPr>
                    <w:rFonts w:ascii="Cambria Math" w:hAnsi="Cambria Math"/>
                  </w:rPr>
                  <m:t>"</m:t>
                </m:r>
                <m:r>
                  <m:rPr>
                    <m:sty m:val="p"/>
                  </m:rPr>
                  <w:rPr>
                    <w:rFonts w:ascii="Cambria Math" w:hAnsi="Cambria Math"/>
                  </w:rPr>
                  <m:t xml:space="preserve"> ^</m:t>
                </m:r>
                <m:r>
                  <m:rPr>
                    <m:sty m:val="p"/>
                  </m:rPr>
                  <w:rPr>
                    <w:rFonts w:ascii="Cambria Math"/>
                  </w:rPr>
                  <m:t>"</m:t>
                </m:r>
                <m:r>
                  <w:rPr>
                    <w:rFonts w:ascii="Cambria Math"/>
                  </w:rPr>
                  <m:t>RA</m:t>
                </m:r>
                <m:r>
                  <w:rPr>
                    <w:rFonts w:ascii="Cambria Math" w:hAnsi="Cambria Math"/>
                  </w:rPr>
                  <m:t>"</m:t>
                </m:r>
                <m:r>
                  <m:rPr>
                    <m:sty m:val="p"/>
                  </m:rPr>
                  <w:rPr>
                    <w:rFonts w:ascii="Cambria Math" w:hAnsi="Cambria Math"/>
                  </w:rPr>
                  <m:t xml:space="preserve"> </m:t>
                </m:r>
              </m:oMath>
            </m:oMathPara>
          </w:p>
        </w:tc>
        <w:tc>
          <w:tcPr>
            <w:tcW w:w="1586" w:type="dxa"/>
            <w:tcBorders>
              <w:top w:val="single" w:sz="4" w:space="0" w:color="auto"/>
              <w:left w:val="single" w:sz="4" w:space="0" w:color="auto"/>
              <w:bottom w:val="single" w:sz="4" w:space="0" w:color="auto"/>
              <w:right w:val="single" w:sz="4" w:space="0" w:color="auto"/>
            </w:tcBorders>
            <w:hideMark/>
          </w:tcPr>
          <w:p w14:paraId="4D36C29A" w14:textId="77777777" w:rsidR="00CB169C" w:rsidRDefault="00CB169C" w:rsidP="00B84314">
            <w:pPr>
              <w:pStyle w:val="TOC5"/>
              <w:rPr>
                <w:rFonts w:eastAsia="Batang"/>
              </w:rPr>
            </w:pPr>
            <w:r>
              <w:rPr>
                <w:rFonts w:eastAsia="Batang"/>
              </w:rPr>
              <w:t>Support for restricted sets</w:t>
            </w:r>
          </w:p>
        </w:tc>
      </w:tr>
      <w:tr w:rsidR="00CB169C" w14:paraId="3DC59019" w14:textId="77777777" w:rsidTr="00B84314">
        <w:trPr>
          <w:jc w:val="center"/>
        </w:trPr>
        <w:tc>
          <w:tcPr>
            <w:tcW w:w="1395" w:type="dxa"/>
            <w:tcBorders>
              <w:top w:val="single" w:sz="4" w:space="0" w:color="auto"/>
              <w:left w:val="single" w:sz="4" w:space="0" w:color="auto"/>
              <w:bottom w:val="single" w:sz="4" w:space="0" w:color="auto"/>
              <w:right w:val="single" w:sz="4" w:space="0" w:color="auto"/>
            </w:tcBorders>
            <w:hideMark/>
          </w:tcPr>
          <w:p w14:paraId="1ABD77BE" w14:textId="77777777" w:rsidR="00CB169C" w:rsidRDefault="00CB169C" w:rsidP="00B84314">
            <w:pPr>
              <w:pStyle w:val="TOC4"/>
              <w:rPr>
                <w:rFonts w:eastAsia="Batang" w:cs="Arial"/>
                <w:szCs w:val="18"/>
              </w:rPr>
            </w:pPr>
            <w:r>
              <w:rPr>
                <w:rFonts w:eastAsia="Batang" w:cs="Arial"/>
                <w:szCs w:val="18"/>
              </w:rPr>
              <w:t>0</w:t>
            </w:r>
          </w:p>
        </w:tc>
        <w:tc>
          <w:tcPr>
            <w:tcW w:w="1185" w:type="dxa"/>
            <w:tcBorders>
              <w:top w:val="single" w:sz="4" w:space="0" w:color="auto"/>
              <w:left w:val="single" w:sz="4" w:space="0" w:color="auto"/>
              <w:bottom w:val="single" w:sz="4" w:space="0" w:color="auto"/>
              <w:right w:val="single" w:sz="4" w:space="0" w:color="auto"/>
            </w:tcBorders>
            <w:hideMark/>
          </w:tcPr>
          <w:p w14:paraId="71A76C4B" w14:textId="77777777" w:rsidR="00CB169C" w:rsidRDefault="00CB169C" w:rsidP="00B84314">
            <w:pPr>
              <w:pStyle w:val="TOC4"/>
              <w:rPr>
                <w:rFonts w:eastAsia="Batang" w:cs="Arial"/>
                <w:szCs w:val="18"/>
              </w:rPr>
            </w:pPr>
            <w:r>
              <w:rPr>
                <w:rFonts w:eastAsia="Batang" w:cs="Arial"/>
                <w:szCs w:val="18"/>
              </w:rPr>
              <w:t>839</w:t>
            </w:r>
          </w:p>
        </w:tc>
        <w:tc>
          <w:tcPr>
            <w:tcW w:w="1233" w:type="dxa"/>
            <w:tcBorders>
              <w:top w:val="single" w:sz="4" w:space="0" w:color="auto"/>
              <w:left w:val="single" w:sz="4" w:space="0" w:color="auto"/>
              <w:bottom w:val="single" w:sz="4" w:space="0" w:color="auto"/>
              <w:right w:val="single" w:sz="4" w:space="0" w:color="auto"/>
            </w:tcBorders>
            <w:hideMark/>
          </w:tcPr>
          <w:p w14:paraId="3EF262E5" w14:textId="77777777" w:rsidR="00CB169C" w:rsidRDefault="00CB169C" w:rsidP="00B84314">
            <w:pPr>
              <w:pStyle w:val="TOC4"/>
              <w:rPr>
                <w:rFonts w:eastAsia="Batang" w:cs="Arial"/>
                <w:szCs w:val="18"/>
              </w:rPr>
            </w:pPr>
            <w:r>
              <w:rPr>
                <w:rFonts w:eastAsia="Batang" w:cs="Arial"/>
                <w:szCs w:val="18"/>
              </w:rPr>
              <w:t>1.25 kHz</w:t>
            </w:r>
          </w:p>
        </w:tc>
        <w:tc>
          <w:tcPr>
            <w:tcW w:w="1236" w:type="dxa"/>
            <w:tcBorders>
              <w:top w:val="single" w:sz="4" w:space="0" w:color="auto"/>
              <w:left w:val="single" w:sz="4" w:space="0" w:color="auto"/>
              <w:bottom w:val="single" w:sz="4" w:space="0" w:color="auto"/>
              <w:right w:val="single" w:sz="4" w:space="0" w:color="auto"/>
            </w:tcBorders>
            <w:hideMark/>
          </w:tcPr>
          <w:p w14:paraId="73C8C986" w14:textId="77777777" w:rsidR="00CB169C" w:rsidRDefault="00CB169C" w:rsidP="00B84314">
            <w:pPr>
              <w:pStyle w:val="Caption"/>
              <w:rPr>
                <w:rFonts w:eastAsia="Batang" w:cs="Arial"/>
                <w:szCs w:val="18"/>
              </w:rPr>
            </w:pPr>
            <m:oMathPara>
              <m:oMath>
                <m:r>
                  <m:rPr>
                    <m:sty m:val="bi"/>
                  </m:rPr>
                  <w:rPr>
                    <w:rFonts w:ascii="Cambria Math" w:eastAsia="Batang" w:hAnsi="Cambria Math" w:cs="Arial"/>
                    <w:szCs w:val="18"/>
                  </w:rPr>
                  <m:t>24576</m:t>
                </m:r>
                <m:r>
                  <m:rPr>
                    <m:sty m:val="bi"/>
                  </m:rPr>
                  <w:rPr>
                    <w:rFonts w:ascii="Cambria Math" w:eastAsia="Batang" w:hAnsi="Cambria Math" w:cs="Arial"/>
                    <w:szCs w:val="18"/>
                  </w:rPr>
                  <m:t>κ</m:t>
                </m:r>
              </m:oMath>
            </m:oMathPara>
          </w:p>
        </w:tc>
        <w:tc>
          <w:tcPr>
            <w:tcW w:w="1215" w:type="dxa"/>
            <w:tcBorders>
              <w:top w:val="single" w:sz="4" w:space="0" w:color="auto"/>
              <w:left w:val="single" w:sz="4" w:space="0" w:color="auto"/>
              <w:bottom w:val="single" w:sz="4" w:space="0" w:color="auto"/>
              <w:right w:val="single" w:sz="4" w:space="0" w:color="auto"/>
            </w:tcBorders>
            <w:hideMark/>
          </w:tcPr>
          <w:p w14:paraId="78E80DD1" w14:textId="77777777" w:rsidR="00CB169C" w:rsidRDefault="00CB169C" w:rsidP="00B84314">
            <w:pPr>
              <w:pStyle w:val="Caption"/>
              <w:rPr>
                <w:rFonts w:eastAsia="Batang" w:cs="Arial"/>
                <w:szCs w:val="18"/>
              </w:rPr>
            </w:pPr>
            <m:oMathPara>
              <m:oMath>
                <m:r>
                  <m:rPr>
                    <m:sty m:val="bi"/>
                  </m:rPr>
                  <w:rPr>
                    <w:rFonts w:ascii="Cambria Math" w:eastAsia="Batang" w:hAnsi="Cambria Math" w:cs="Arial"/>
                    <w:szCs w:val="18"/>
                  </w:rPr>
                  <m:t>3168</m:t>
                </m:r>
                <m:r>
                  <m:rPr>
                    <m:sty m:val="bi"/>
                  </m:rPr>
                  <w:rPr>
                    <w:rFonts w:ascii="Cambria Math" w:eastAsia="Batang" w:hAnsi="Cambria Math" w:cs="Arial"/>
                    <w:szCs w:val="18"/>
                  </w:rPr>
                  <m:t>κ</m:t>
                </m:r>
              </m:oMath>
            </m:oMathPara>
          </w:p>
        </w:tc>
        <w:tc>
          <w:tcPr>
            <w:tcW w:w="1586" w:type="dxa"/>
            <w:tcBorders>
              <w:top w:val="single" w:sz="4" w:space="0" w:color="auto"/>
              <w:left w:val="single" w:sz="4" w:space="0" w:color="auto"/>
              <w:bottom w:val="single" w:sz="4" w:space="0" w:color="auto"/>
              <w:right w:val="single" w:sz="4" w:space="0" w:color="auto"/>
            </w:tcBorders>
          </w:tcPr>
          <w:p w14:paraId="7966F9BE" w14:textId="77777777" w:rsidR="00CB169C" w:rsidRDefault="00CB169C" w:rsidP="00B84314">
            <w:pPr>
              <w:pStyle w:val="TOC4"/>
              <w:rPr>
                <w:rFonts w:eastAsia="Batang" w:cs="Arial"/>
                <w:szCs w:val="18"/>
              </w:rPr>
            </w:pPr>
            <m:oMathPara>
              <m:oMath>
                <m:r>
                  <w:rPr>
                    <w:rFonts w:ascii="Cambria Math" w:eastAsia="Batang" w:hAnsi="Cambria Math" w:cs="Arial"/>
                    <w:szCs w:val="18"/>
                  </w:rPr>
                  <m:t>2976κ</m:t>
                </m:r>
              </m:oMath>
            </m:oMathPara>
          </w:p>
        </w:tc>
        <w:tc>
          <w:tcPr>
            <w:tcW w:w="1586" w:type="dxa"/>
            <w:tcBorders>
              <w:top w:val="single" w:sz="4" w:space="0" w:color="auto"/>
              <w:left w:val="single" w:sz="4" w:space="0" w:color="auto"/>
              <w:bottom w:val="single" w:sz="4" w:space="0" w:color="auto"/>
              <w:right w:val="single" w:sz="4" w:space="0" w:color="auto"/>
            </w:tcBorders>
            <w:hideMark/>
          </w:tcPr>
          <w:p w14:paraId="7E87E0BC" w14:textId="77777777" w:rsidR="00CB169C" w:rsidRDefault="00CB169C" w:rsidP="00B84314">
            <w:pPr>
              <w:pStyle w:val="TOC4"/>
              <w:rPr>
                <w:rFonts w:eastAsia="Batang" w:cs="Arial"/>
                <w:szCs w:val="18"/>
              </w:rPr>
            </w:pPr>
            <w:r>
              <w:rPr>
                <w:rFonts w:eastAsia="Batang" w:cs="Arial"/>
                <w:szCs w:val="18"/>
              </w:rPr>
              <w:t>Type A, Type B</w:t>
            </w:r>
          </w:p>
        </w:tc>
      </w:tr>
      <w:tr w:rsidR="00CB169C" w14:paraId="2ACEE425" w14:textId="77777777" w:rsidTr="00B84314">
        <w:trPr>
          <w:jc w:val="center"/>
        </w:trPr>
        <w:tc>
          <w:tcPr>
            <w:tcW w:w="1395" w:type="dxa"/>
            <w:tcBorders>
              <w:top w:val="single" w:sz="4" w:space="0" w:color="auto"/>
              <w:left w:val="single" w:sz="4" w:space="0" w:color="auto"/>
              <w:bottom w:val="single" w:sz="4" w:space="0" w:color="auto"/>
              <w:right w:val="single" w:sz="4" w:space="0" w:color="auto"/>
            </w:tcBorders>
            <w:hideMark/>
          </w:tcPr>
          <w:p w14:paraId="5F35D60A" w14:textId="77777777" w:rsidR="00CB169C" w:rsidRDefault="00CB169C" w:rsidP="00B84314">
            <w:pPr>
              <w:pStyle w:val="TOC4"/>
              <w:rPr>
                <w:rFonts w:eastAsia="Batang" w:cs="Arial"/>
                <w:szCs w:val="18"/>
              </w:rPr>
            </w:pPr>
            <w:r>
              <w:rPr>
                <w:rFonts w:eastAsia="Batang" w:cs="Arial"/>
                <w:szCs w:val="18"/>
              </w:rPr>
              <w:t>1</w:t>
            </w:r>
          </w:p>
        </w:tc>
        <w:tc>
          <w:tcPr>
            <w:tcW w:w="1185" w:type="dxa"/>
            <w:tcBorders>
              <w:top w:val="single" w:sz="4" w:space="0" w:color="auto"/>
              <w:left w:val="single" w:sz="4" w:space="0" w:color="auto"/>
              <w:bottom w:val="single" w:sz="4" w:space="0" w:color="auto"/>
              <w:right w:val="single" w:sz="4" w:space="0" w:color="auto"/>
            </w:tcBorders>
            <w:hideMark/>
          </w:tcPr>
          <w:p w14:paraId="2F6117FF" w14:textId="77777777" w:rsidR="00CB169C" w:rsidRDefault="00CB169C" w:rsidP="00B84314">
            <w:pPr>
              <w:pStyle w:val="TOC4"/>
              <w:rPr>
                <w:rFonts w:eastAsia="Batang" w:cs="Arial"/>
                <w:szCs w:val="18"/>
              </w:rPr>
            </w:pPr>
            <w:r>
              <w:rPr>
                <w:rFonts w:eastAsia="Batang" w:cs="Arial"/>
                <w:szCs w:val="18"/>
              </w:rPr>
              <w:t>839</w:t>
            </w:r>
          </w:p>
        </w:tc>
        <w:tc>
          <w:tcPr>
            <w:tcW w:w="1233" w:type="dxa"/>
            <w:tcBorders>
              <w:top w:val="single" w:sz="4" w:space="0" w:color="auto"/>
              <w:left w:val="single" w:sz="4" w:space="0" w:color="auto"/>
              <w:bottom w:val="single" w:sz="4" w:space="0" w:color="auto"/>
              <w:right w:val="single" w:sz="4" w:space="0" w:color="auto"/>
            </w:tcBorders>
            <w:hideMark/>
          </w:tcPr>
          <w:p w14:paraId="3AE26DB9" w14:textId="77777777" w:rsidR="00CB169C" w:rsidRDefault="00CB169C" w:rsidP="00B84314">
            <w:pPr>
              <w:pStyle w:val="TOC4"/>
              <w:rPr>
                <w:rFonts w:eastAsia="Batang" w:cs="Arial"/>
                <w:szCs w:val="18"/>
              </w:rPr>
            </w:pPr>
            <w:r>
              <w:rPr>
                <w:rFonts w:eastAsia="Batang" w:cs="Arial"/>
                <w:szCs w:val="18"/>
              </w:rPr>
              <w:t>1.25 kHz</w:t>
            </w:r>
          </w:p>
        </w:tc>
        <w:tc>
          <w:tcPr>
            <w:tcW w:w="1236" w:type="dxa"/>
            <w:tcBorders>
              <w:top w:val="single" w:sz="4" w:space="0" w:color="auto"/>
              <w:left w:val="single" w:sz="4" w:space="0" w:color="auto"/>
              <w:bottom w:val="single" w:sz="4" w:space="0" w:color="auto"/>
              <w:right w:val="single" w:sz="4" w:space="0" w:color="auto"/>
            </w:tcBorders>
            <w:hideMark/>
          </w:tcPr>
          <w:p w14:paraId="1B98351D" w14:textId="77777777" w:rsidR="00CB169C" w:rsidRDefault="00CB169C" w:rsidP="00B84314">
            <w:pPr>
              <w:pStyle w:val="Caption"/>
              <w:rPr>
                <w:rFonts w:eastAsia="Batang" w:cs="Arial"/>
                <w:szCs w:val="18"/>
              </w:rPr>
            </w:pPr>
            <m:oMathPara>
              <m:oMath>
                <m:r>
                  <m:rPr>
                    <m:sty m:val="bi"/>
                  </m:rPr>
                  <w:rPr>
                    <w:rFonts w:ascii="Cambria Math" w:eastAsia="Batang" w:hAnsi="Cambria Math" w:cs="Arial"/>
                    <w:szCs w:val="18"/>
                  </w:rPr>
                  <m:t>2⋅24576</m:t>
                </m:r>
                <m:r>
                  <m:rPr>
                    <m:sty m:val="bi"/>
                  </m:rPr>
                  <w:rPr>
                    <w:rFonts w:ascii="Cambria Math" w:eastAsia="Batang" w:hAnsi="Cambria Math" w:cs="Arial"/>
                    <w:szCs w:val="18"/>
                  </w:rPr>
                  <m:t>κ</m:t>
                </m:r>
              </m:oMath>
            </m:oMathPara>
          </w:p>
        </w:tc>
        <w:tc>
          <w:tcPr>
            <w:tcW w:w="1215" w:type="dxa"/>
            <w:tcBorders>
              <w:top w:val="single" w:sz="4" w:space="0" w:color="auto"/>
              <w:left w:val="single" w:sz="4" w:space="0" w:color="auto"/>
              <w:bottom w:val="single" w:sz="4" w:space="0" w:color="auto"/>
              <w:right w:val="single" w:sz="4" w:space="0" w:color="auto"/>
            </w:tcBorders>
            <w:hideMark/>
          </w:tcPr>
          <w:p w14:paraId="393A6A62" w14:textId="77777777" w:rsidR="00CB169C" w:rsidRDefault="00CB169C" w:rsidP="00B84314">
            <w:pPr>
              <w:pStyle w:val="Caption"/>
              <w:rPr>
                <w:rFonts w:eastAsia="Batang" w:cs="Arial"/>
                <w:szCs w:val="18"/>
              </w:rPr>
            </w:pPr>
            <m:oMathPara>
              <m:oMath>
                <m:r>
                  <m:rPr>
                    <m:sty m:val="bi"/>
                  </m:rPr>
                  <w:rPr>
                    <w:rFonts w:ascii="Cambria Math" w:eastAsia="Batang" w:hAnsi="Cambria Math" w:cs="Arial"/>
                    <w:szCs w:val="18"/>
                  </w:rPr>
                  <m:t>21024</m:t>
                </m:r>
                <m:r>
                  <m:rPr>
                    <m:sty m:val="bi"/>
                  </m:rPr>
                  <w:rPr>
                    <w:rFonts w:ascii="Cambria Math" w:eastAsia="Batang" w:hAnsi="Cambria Math" w:cs="Arial"/>
                    <w:szCs w:val="18"/>
                  </w:rPr>
                  <m:t>κ</m:t>
                </m:r>
              </m:oMath>
            </m:oMathPara>
          </w:p>
        </w:tc>
        <w:tc>
          <w:tcPr>
            <w:tcW w:w="1586" w:type="dxa"/>
            <w:tcBorders>
              <w:top w:val="single" w:sz="4" w:space="0" w:color="auto"/>
              <w:left w:val="single" w:sz="4" w:space="0" w:color="auto"/>
              <w:bottom w:val="single" w:sz="4" w:space="0" w:color="auto"/>
              <w:right w:val="single" w:sz="4" w:space="0" w:color="auto"/>
            </w:tcBorders>
          </w:tcPr>
          <w:p w14:paraId="11100B12" w14:textId="77777777" w:rsidR="00CB169C" w:rsidRDefault="00CB169C" w:rsidP="00B84314">
            <w:pPr>
              <w:pStyle w:val="TOC4"/>
              <w:rPr>
                <w:rFonts w:eastAsia="Batang" w:cs="Arial"/>
                <w:szCs w:val="18"/>
              </w:rPr>
            </w:pPr>
            <m:oMathPara>
              <m:oMath>
                <m:r>
                  <w:rPr>
                    <w:rFonts w:ascii="Cambria Math" w:eastAsia="Batang" w:hAnsi="Cambria Math" w:cs="Arial"/>
                    <w:szCs w:val="18"/>
                  </w:rPr>
                  <m:t>21984κ</m:t>
                </m:r>
              </m:oMath>
            </m:oMathPara>
          </w:p>
        </w:tc>
        <w:tc>
          <w:tcPr>
            <w:tcW w:w="1586" w:type="dxa"/>
            <w:tcBorders>
              <w:top w:val="single" w:sz="4" w:space="0" w:color="auto"/>
              <w:left w:val="single" w:sz="4" w:space="0" w:color="auto"/>
              <w:bottom w:val="single" w:sz="4" w:space="0" w:color="auto"/>
              <w:right w:val="single" w:sz="4" w:space="0" w:color="auto"/>
            </w:tcBorders>
            <w:hideMark/>
          </w:tcPr>
          <w:p w14:paraId="2F85605F" w14:textId="77777777" w:rsidR="00CB169C" w:rsidRDefault="00CB169C" w:rsidP="00B84314">
            <w:pPr>
              <w:pStyle w:val="TOC4"/>
              <w:rPr>
                <w:rFonts w:eastAsia="Batang" w:cs="Arial"/>
                <w:szCs w:val="18"/>
              </w:rPr>
            </w:pPr>
            <w:r>
              <w:rPr>
                <w:rFonts w:eastAsia="Batang" w:cs="Arial"/>
                <w:szCs w:val="18"/>
              </w:rPr>
              <w:t>Type A, Type B</w:t>
            </w:r>
          </w:p>
        </w:tc>
      </w:tr>
      <w:tr w:rsidR="00CB169C" w14:paraId="5371EC0B" w14:textId="77777777" w:rsidTr="00B84314">
        <w:trPr>
          <w:jc w:val="center"/>
        </w:trPr>
        <w:tc>
          <w:tcPr>
            <w:tcW w:w="1395" w:type="dxa"/>
            <w:tcBorders>
              <w:top w:val="single" w:sz="4" w:space="0" w:color="auto"/>
              <w:left w:val="single" w:sz="4" w:space="0" w:color="auto"/>
              <w:bottom w:val="single" w:sz="4" w:space="0" w:color="auto"/>
              <w:right w:val="single" w:sz="4" w:space="0" w:color="auto"/>
            </w:tcBorders>
            <w:hideMark/>
          </w:tcPr>
          <w:p w14:paraId="5E132BCB" w14:textId="77777777" w:rsidR="00CB169C" w:rsidRDefault="00CB169C" w:rsidP="00B84314">
            <w:pPr>
              <w:pStyle w:val="TOC4"/>
              <w:rPr>
                <w:rFonts w:eastAsia="Batang" w:cs="Arial"/>
                <w:szCs w:val="18"/>
              </w:rPr>
            </w:pPr>
            <w:r>
              <w:rPr>
                <w:rFonts w:eastAsia="Batang" w:cs="Arial"/>
                <w:szCs w:val="18"/>
              </w:rPr>
              <w:t>2</w:t>
            </w:r>
          </w:p>
        </w:tc>
        <w:tc>
          <w:tcPr>
            <w:tcW w:w="1185" w:type="dxa"/>
            <w:tcBorders>
              <w:top w:val="single" w:sz="4" w:space="0" w:color="auto"/>
              <w:left w:val="single" w:sz="4" w:space="0" w:color="auto"/>
              <w:bottom w:val="single" w:sz="4" w:space="0" w:color="auto"/>
              <w:right w:val="single" w:sz="4" w:space="0" w:color="auto"/>
            </w:tcBorders>
            <w:hideMark/>
          </w:tcPr>
          <w:p w14:paraId="2083E81C" w14:textId="77777777" w:rsidR="00CB169C" w:rsidRDefault="00CB169C" w:rsidP="00B84314">
            <w:pPr>
              <w:pStyle w:val="TOC4"/>
              <w:rPr>
                <w:rFonts w:eastAsia="Batang" w:cs="Arial"/>
                <w:szCs w:val="18"/>
              </w:rPr>
            </w:pPr>
            <w:r>
              <w:rPr>
                <w:rFonts w:eastAsia="Batang" w:cs="Arial"/>
                <w:szCs w:val="18"/>
              </w:rPr>
              <w:t>839</w:t>
            </w:r>
          </w:p>
        </w:tc>
        <w:tc>
          <w:tcPr>
            <w:tcW w:w="1233" w:type="dxa"/>
            <w:tcBorders>
              <w:top w:val="single" w:sz="4" w:space="0" w:color="auto"/>
              <w:left w:val="single" w:sz="4" w:space="0" w:color="auto"/>
              <w:bottom w:val="single" w:sz="4" w:space="0" w:color="auto"/>
              <w:right w:val="single" w:sz="4" w:space="0" w:color="auto"/>
            </w:tcBorders>
            <w:hideMark/>
          </w:tcPr>
          <w:p w14:paraId="7F6C3A15" w14:textId="77777777" w:rsidR="00CB169C" w:rsidRDefault="00CB169C" w:rsidP="00B84314">
            <w:pPr>
              <w:pStyle w:val="TOC4"/>
              <w:rPr>
                <w:rFonts w:eastAsia="Batang" w:cs="Arial"/>
                <w:szCs w:val="18"/>
              </w:rPr>
            </w:pPr>
            <w:r>
              <w:rPr>
                <w:rFonts w:eastAsia="Batang" w:cs="Arial"/>
                <w:szCs w:val="18"/>
              </w:rPr>
              <w:t>1.25 kHz</w:t>
            </w:r>
          </w:p>
        </w:tc>
        <w:tc>
          <w:tcPr>
            <w:tcW w:w="1236" w:type="dxa"/>
            <w:tcBorders>
              <w:top w:val="single" w:sz="4" w:space="0" w:color="auto"/>
              <w:left w:val="single" w:sz="4" w:space="0" w:color="auto"/>
              <w:bottom w:val="single" w:sz="4" w:space="0" w:color="auto"/>
              <w:right w:val="single" w:sz="4" w:space="0" w:color="auto"/>
            </w:tcBorders>
            <w:hideMark/>
          </w:tcPr>
          <w:p w14:paraId="75FD3581" w14:textId="77777777" w:rsidR="00CB169C" w:rsidRDefault="00CB169C" w:rsidP="00B84314">
            <w:pPr>
              <w:pStyle w:val="Caption"/>
              <w:rPr>
                <w:rFonts w:eastAsia="Batang" w:cs="Arial"/>
                <w:szCs w:val="18"/>
              </w:rPr>
            </w:pPr>
            <m:oMathPara>
              <m:oMath>
                <m:r>
                  <m:rPr>
                    <m:sty m:val="bi"/>
                  </m:rPr>
                  <w:rPr>
                    <w:rFonts w:ascii="Cambria Math" w:eastAsia="Batang" w:hAnsi="Cambria Math" w:cs="Arial"/>
                    <w:szCs w:val="18"/>
                  </w:rPr>
                  <m:t>4⋅24576</m:t>
                </m:r>
                <m:r>
                  <m:rPr>
                    <m:sty m:val="bi"/>
                  </m:rPr>
                  <w:rPr>
                    <w:rFonts w:ascii="Cambria Math" w:eastAsia="Batang" w:hAnsi="Cambria Math" w:cs="Arial"/>
                    <w:szCs w:val="18"/>
                  </w:rPr>
                  <m:t>κ</m:t>
                </m:r>
              </m:oMath>
            </m:oMathPara>
          </w:p>
        </w:tc>
        <w:tc>
          <w:tcPr>
            <w:tcW w:w="1215" w:type="dxa"/>
            <w:tcBorders>
              <w:top w:val="single" w:sz="4" w:space="0" w:color="auto"/>
              <w:left w:val="single" w:sz="4" w:space="0" w:color="auto"/>
              <w:bottom w:val="single" w:sz="4" w:space="0" w:color="auto"/>
              <w:right w:val="single" w:sz="4" w:space="0" w:color="auto"/>
            </w:tcBorders>
            <w:hideMark/>
          </w:tcPr>
          <w:p w14:paraId="0DFA9C10" w14:textId="77777777" w:rsidR="00CB169C" w:rsidRDefault="00CB169C" w:rsidP="00B84314">
            <w:pPr>
              <w:pStyle w:val="Caption"/>
              <w:rPr>
                <w:rFonts w:eastAsia="Batang" w:cs="Arial"/>
                <w:szCs w:val="18"/>
              </w:rPr>
            </w:pPr>
            <m:oMathPara>
              <m:oMath>
                <m:r>
                  <m:rPr>
                    <m:sty m:val="bi"/>
                  </m:rPr>
                  <w:rPr>
                    <w:rFonts w:ascii="Cambria Math" w:eastAsia="Batang" w:hAnsi="Cambria Math" w:cs="Arial"/>
                    <w:szCs w:val="18"/>
                  </w:rPr>
                  <m:t>4688</m:t>
                </m:r>
                <m:r>
                  <m:rPr>
                    <m:sty m:val="bi"/>
                  </m:rPr>
                  <w:rPr>
                    <w:rFonts w:ascii="Cambria Math" w:eastAsia="Batang" w:hAnsi="Cambria Math" w:cs="Arial"/>
                    <w:szCs w:val="18"/>
                  </w:rPr>
                  <m:t>κ</m:t>
                </m:r>
              </m:oMath>
            </m:oMathPara>
          </w:p>
        </w:tc>
        <w:tc>
          <w:tcPr>
            <w:tcW w:w="1586" w:type="dxa"/>
            <w:tcBorders>
              <w:top w:val="single" w:sz="4" w:space="0" w:color="auto"/>
              <w:left w:val="single" w:sz="4" w:space="0" w:color="auto"/>
              <w:bottom w:val="single" w:sz="4" w:space="0" w:color="auto"/>
              <w:right w:val="single" w:sz="4" w:space="0" w:color="auto"/>
            </w:tcBorders>
          </w:tcPr>
          <w:p w14:paraId="6241D193" w14:textId="77777777" w:rsidR="00CB169C" w:rsidRDefault="00CB169C" w:rsidP="00B84314">
            <w:pPr>
              <w:pStyle w:val="TOC4"/>
              <w:rPr>
                <w:rFonts w:eastAsia="Batang" w:cs="Arial"/>
                <w:szCs w:val="18"/>
              </w:rPr>
            </w:pPr>
            <m:oMathPara>
              <m:oMath>
                <m:r>
                  <w:rPr>
                    <w:rFonts w:ascii="Cambria Math" w:eastAsia="Batang" w:hAnsi="Cambria Math" w:cs="Arial"/>
                    <w:szCs w:val="18"/>
                  </w:rPr>
                  <m:t>29264κ</m:t>
                </m:r>
              </m:oMath>
            </m:oMathPara>
          </w:p>
        </w:tc>
        <w:tc>
          <w:tcPr>
            <w:tcW w:w="1586" w:type="dxa"/>
            <w:tcBorders>
              <w:top w:val="single" w:sz="4" w:space="0" w:color="auto"/>
              <w:left w:val="single" w:sz="4" w:space="0" w:color="auto"/>
              <w:bottom w:val="single" w:sz="4" w:space="0" w:color="auto"/>
              <w:right w:val="single" w:sz="4" w:space="0" w:color="auto"/>
            </w:tcBorders>
            <w:hideMark/>
          </w:tcPr>
          <w:p w14:paraId="1211E459" w14:textId="77777777" w:rsidR="00CB169C" w:rsidRDefault="00CB169C" w:rsidP="00B84314">
            <w:pPr>
              <w:pStyle w:val="TOC4"/>
              <w:rPr>
                <w:rFonts w:eastAsia="Batang" w:cs="Arial"/>
                <w:szCs w:val="18"/>
              </w:rPr>
            </w:pPr>
            <w:r>
              <w:rPr>
                <w:rFonts w:eastAsia="Batang" w:cs="Arial"/>
                <w:szCs w:val="18"/>
              </w:rPr>
              <w:t>Type A, Type B</w:t>
            </w:r>
          </w:p>
        </w:tc>
      </w:tr>
      <w:tr w:rsidR="00CB169C" w14:paraId="3EB77932" w14:textId="77777777" w:rsidTr="00B84314">
        <w:trPr>
          <w:jc w:val="center"/>
        </w:trPr>
        <w:tc>
          <w:tcPr>
            <w:tcW w:w="1395" w:type="dxa"/>
            <w:tcBorders>
              <w:top w:val="single" w:sz="4" w:space="0" w:color="auto"/>
              <w:left w:val="single" w:sz="4" w:space="0" w:color="auto"/>
              <w:bottom w:val="single" w:sz="4" w:space="0" w:color="auto"/>
              <w:right w:val="single" w:sz="4" w:space="0" w:color="auto"/>
            </w:tcBorders>
            <w:hideMark/>
          </w:tcPr>
          <w:p w14:paraId="5479474C" w14:textId="77777777" w:rsidR="00CB169C" w:rsidRDefault="00CB169C" w:rsidP="00B84314">
            <w:pPr>
              <w:pStyle w:val="TOC4"/>
              <w:rPr>
                <w:rFonts w:eastAsia="Batang" w:cs="Arial"/>
                <w:szCs w:val="18"/>
              </w:rPr>
            </w:pPr>
            <w:r>
              <w:rPr>
                <w:rFonts w:eastAsia="Batang" w:cs="Arial"/>
                <w:szCs w:val="18"/>
              </w:rPr>
              <w:t>3</w:t>
            </w:r>
          </w:p>
        </w:tc>
        <w:tc>
          <w:tcPr>
            <w:tcW w:w="1185" w:type="dxa"/>
            <w:tcBorders>
              <w:top w:val="single" w:sz="4" w:space="0" w:color="auto"/>
              <w:left w:val="single" w:sz="4" w:space="0" w:color="auto"/>
              <w:bottom w:val="single" w:sz="4" w:space="0" w:color="auto"/>
              <w:right w:val="single" w:sz="4" w:space="0" w:color="auto"/>
            </w:tcBorders>
            <w:hideMark/>
          </w:tcPr>
          <w:p w14:paraId="4BB11EA0" w14:textId="77777777" w:rsidR="00CB169C" w:rsidRDefault="00CB169C" w:rsidP="00B84314">
            <w:pPr>
              <w:pStyle w:val="TOC4"/>
              <w:rPr>
                <w:rFonts w:eastAsia="Batang" w:cs="Arial"/>
                <w:szCs w:val="18"/>
              </w:rPr>
            </w:pPr>
            <w:r>
              <w:rPr>
                <w:rFonts w:eastAsia="Batang" w:cs="Arial"/>
                <w:szCs w:val="18"/>
              </w:rPr>
              <w:t>839</w:t>
            </w:r>
          </w:p>
        </w:tc>
        <w:tc>
          <w:tcPr>
            <w:tcW w:w="1233" w:type="dxa"/>
            <w:tcBorders>
              <w:top w:val="single" w:sz="4" w:space="0" w:color="auto"/>
              <w:left w:val="single" w:sz="4" w:space="0" w:color="auto"/>
              <w:bottom w:val="single" w:sz="4" w:space="0" w:color="auto"/>
              <w:right w:val="single" w:sz="4" w:space="0" w:color="auto"/>
            </w:tcBorders>
            <w:hideMark/>
          </w:tcPr>
          <w:p w14:paraId="64F0CF2B" w14:textId="77777777" w:rsidR="00CB169C" w:rsidRDefault="00CB169C" w:rsidP="00B84314">
            <w:pPr>
              <w:pStyle w:val="TOC4"/>
              <w:rPr>
                <w:rFonts w:eastAsia="Batang" w:cs="Arial"/>
                <w:szCs w:val="18"/>
              </w:rPr>
            </w:pPr>
            <w:r>
              <w:rPr>
                <w:rFonts w:eastAsia="Batang" w:cs="Arial"/>
                <w:szCs w:val="18"/>
              </w:rPr>
              <w:t>5 kHz</w:t>
            </w:r>
          </w:p>
        </w:tc>
        <w:tc>
          <w:tcPr>
            <w:tcW w:w="1236" w:type="dxa"/>
            <w:tcBorders>
              <w:top w:val="single" w:sz="4" w:space="0" w:color="auto"/>
              <w:left w:val="single" w:sz="4" w:space="0" w:color="auto"/>
              <w:bottom w:val="single" w:sz="4" w:space="0" w:color="auto"/>
              <w:right w:val="single" w:sz="4" w:space="0" w:color="auto"/>
            </w:tcBorders>
            <w:hideMark/>
          </w:tcPr>
          <w:p w14:paraId="054885CF" w14:textId="77777777" w:rsidR="00CB169C" w:rsidRDefault="00CB169C" w:rsidP="00B84314">
            <w:pPr>
              <w:pStyle w:val="Caption"/>
              <w:rPr>
                <w:rFonts w:eastAsia="Batang" w:cs="Arial"/>
                <w:szCs w:val="18"/>
              </w:rPr>
            </w:pPr>
            <m:oMathPara>
              <m:oMath>
                <m:r>
                  <m:rPr>
                    <m:sty m:val="bi"/>
                  </m:rPr>
                  <w:rPr>
                    <w:rFonts w:ascii="Cambria Math" w:eastAsia="Batang" w:hAnsi="Cambria Math" w:cs="Arial"/>
                    <w:szCs w:val="18"/>
                  </w:rPr>
                  <m:t>4⋅6144</m:t>
                </m:r>
                <m:r>
                  <m:rPr>
                    <m:sty m:val="bi"/>
                  </m:rPr>
                  <w:rPr>
                    <w:rFonts w:ascii="Cambria Math" w:eastAsia="Batang" w:hAnsi="Cambria Math" w:cs="Arial"/>
                    <w:szCs w:val="18"/>
                  </w:rPr>
                  <m:t>κ</m:t>
                </m:r>
              </m:oMath>
            </m:oMathPara>
          </w:p>
        </w:tc>
        <w:tc>
          <w:tcPr>
            <w:tcW w:w="1215" w:type="dxa"/>
            <w:tcBorders>
              <w:top w:val="single" w:sz="4" w:space="0" w:color="auto"/>
              <w:left w:val="single" w:sz="4" w:space="0" w:color="auto"/>
              <w:bottom w:val="single" w:sz="4" w:space="0" w:color="auto"/>
              <w:right w:val="single" w:sz="4" w:space="0" w:color="auto"/>
            </w:tcBorders>
            <w:hideMark/>
          </w:tcPr>
          <w:p w14:paraId="4A41F9DD" w14:textId="77777777" w:rsidR="00CB169C" w:rsidRDefault="00CB169C" w:rsidP="00B84314">
            <w:pPr>
              <w:pStyle w:val="Caption"/>
              <w:rPr>
                <w:rFonts w:eastAsia="Batang" w:cs="Arial"/>
                <w:szCs w:val="18"/>
              </w:rPr>
            </w:pPr>
            <m:oMathPara>
              <m:oMath>
                <m:r>
                  <m:rPr>
                    <m:sty m:val="bi"/>
                  </m:rPr>
                  <w:rPr>
                    <w:rFonts w:ascii="Cambria Math" w:eastAsia="Batang" w:hAnsi="Cambria Math" w:cs="Arial"/>
                    <w:szCs w:val="18"/>
                  </w:rPr>
                  <m:t>3168</m:t>
                </m:r>
                <m:r>
                  <m:rPr>
                    <m:sty m:val="bi"/>
                  </m:rPr>
                  <w:rPr>
                    <w:rFonts w:ascii="Cambria Math" w:eastAsia="Batang" w:hAnsi="Cambria Math" w:cs="Arial"/>
                    <w:szCs w:val="18"/>
                  </w:rPr>
                  <m:t>κ</m:t>
                </m:r>
              </m:oMath>
            </m:oMathPara>
          </w:p>
        </w:tc>
        <w:tc>
          <w:tcPr>
            <w:tcW w:w="1586" w:type="dxa"/>
            <w:tcBorders>
              <w:top w:val="single" w:sz="4" w:space="0" w:color="auto"/>
              <w:left w:val="single" w:sz="4" w:space="0" w:color="auto"/>
              <w:bottom w:val="single" w:sz="4" w:space="0" w:color="auto"/>
              <w:right w:val="single" w:sz="4" w:space="0" w:color="auto"/>
            </w:tcBorders>
          </w:tcPr>
          <w:p w14:paraId="601B7ECE" w14:textId="77777777" w:rsidR="00CB169C" w:rsidRDefault="00CB169C" w:rsidP="00B84314">
            <w:pPr>
              <w:pStyle w:val="TOC4"/>
              <w:rPr>
                <w:rFonts w:eastAsia="Batang" w:cs="Arial"/>
                <w:szCs w:val="18"/>
              </w:rPr>
            </w:pPr>
            <m:oMathPara>
              <m:oMath>
                <m:r>
                  <w:rPr>
                    <w:rFonts w:ascii="Cambria Math" w:eastAsia="Batang" w:hAnsi="Cambria Math" w:cs="Arial"/>
                    <w:szCs w:val="18"/>
                  </w:rPr>
                  <m:t>3168κ</m:t>
                </m:r>
              </m:oMath>
            </m:oMathPara>
          </w:p>
        </w:tc>
        <w:tc>
          <w:tcPr>
            <w:tcW w:w="1586" w:type="dxa"/>
            <w:tcBorders>
              <w:top w:val="single" w:sz="4" w:space="0" w:color="auto"/>
              <w:left w:val="single" w:sz="4" w:space="0" w:color="auto"/>
              <w:bottom w:val="single" w:sz="4" w:space="0" w:color="auto"/>
              <w:right w:val="single" w:sz="4" w:space="0" w:color="auto"/>
            </w:tcBorders>
            <w:hideMark/>
          </w:tcPr>
          <w:p w14:paraId="19DC97C7" w14:textId="77777777" w:rsidR="00CB169C" w:rsidRDefault="00CB169C" w:rsidP="00B84314">
            <w:pPr>
              <w:pStyle w:val="TOC4"/>
              <w:rPr>
                <w:rFonts w:eastAsia="Batang" w:cs="Arial"/>
                <w:szCs w:val="18"/>
              </w:rPr>
            </w:pPr>
            <w:r>
              <w:rPr>
                <w:rFonts w:eastAsia="Batang" w:cs="Arial"/>
                <w:szCs w:val="18"/>
              </w:rPr>
              <w:t>Type A, Type B</w:t>
            </w:r>
          </w:p>
        </w:tc>
      </w:tr>
    </w:tbl>
    <w:p w14:paraId="1FB14D15" w14:textId="77777777" w:rsidR="00CB169C" w:rsidRDefault="00CB169C" w:rsidP="00CB169C">
      <w:pPr>
        <w:pStyle w:val="TOC3"/>
      </w:pPr>
      <w:r>
        <w:br/>
        <w:t xml:space="preserve">Table 2: Preamble formats for </w:t>
      </w:r>
      <m:oMath>
        <m:r>
          <m:rPr>
            <m:sty m:val="bi"/>
          </m:rPr>
          <w:rPr>
            <w:rFonts w:ascii="Cambria Math" w:eastAsia="Batang" w:hAnsi="Cambria Math"/>
          </w:rPr>
          <m:t>L</m:t>
        </m:r>
        <m:r>
          <w:rPr>
            <w:rFonts w:ascii="Cambria Math" w:eastAsia="Batang" w:hAnsi="Cambria Math"/>
          </w:rPr>
          <m:t>_</m:t>
        </m:r>
        <m:r>
          <m:rPr>
            <m:sty m:val="p"/>
          </m:rPr>
          <w:rPr>
            <w:rFonts w:ascii="Cambria Math" w:eastAsia="Batang" w:hAnsi="Cambria Math"/>
          </w:rPr>
          <m:t>"</m:t>
        </m:r>
        <m:r>
          <w:rPr>
            <w:rFonts w:ascii="Cambria Math" w:eastAsia="Batang" w:hAnsi="Cambria Math"/>
          </w:rPr>
          <m:t xml:space="preserve">RA" </m:t>
        </m:r>
        <m:r>
          <m:rPr>
            <m:sty m:val="bi"/>
          </m:rPr>
          <w:rPr>
            <w:rFonts w:ascii="Cambria Math" w:eastAsia="Batang" w:hAnsi="Cambria Math"/>
          </w:rPr>
          <m:t>∈</m:t>
        </m:r>
        <m:r>
          <w:rPr>
            <w:rFonts w:ascii="Cambria Math" w:eastAsia="Batang" w:hAnsi="Cambria Math"/>
          </w:rPr>
          <m:t>{</m:t>
        </m:r>
        <m:r>
          <m:rPr>
            <m:sty m:val="bi"/>
          </m:rPr>
          <w:rPr>
            <w:rFonts w:ascii="Cambria Math" w:eastAsia="Batang" w:hAnsi="Cambria Math"/>
          </w:rPr>
          <m:t>139, 571, 1151</m:t>
        </m:r>
        <m:r>
          <w:rPr>
            <w:rFonts w:ascii="Cambria Math" w:eastAsia="Batang" w:hAnsi="Cambria Math"/>
          </w:rPr>
          <m:t>}</m:t>
        </m:r>
      </m:oMath>
      <w:r>
        <w:rPr>
          <w:rFonts w:eastAsia="Batang"/>
        </w:rPr>
        <w:t xml:space="preserve"> (short sequence) and</w:t>
      </w:r>
      <w:r>
        <w:t xml:space="preserve"> </w:t>
      </w:r>
      <m:oMath>
        <m:r>
          <m:rPr>
            <m:sty m:val="b"/>
          </m:rPr>
          <w:rPr>
            <w:rFonts w:ascii="Cambria Math" w:hAnsi="Cambria Math"/>
          </w:rPr>
          <m:t>Δ</m:t>
        </m:r>
        <m:r>
          <m:rPr>
            <m:sty m:val="bi"/>
          </m:rPr>
          <w:rPr>
            <w:rFonts w:ascii="Cambria Math" w:hAnsi="Cambria Math"/>
          </w:rPr>
          <m:t>f</m:t>
        </m:r>
        <m:r>
          <m:rPr>
            <m:sty m:val="p"/>
          </m:rPr>
          <w:rPr>
            <w:rFonts w:ascii="Cambria Math" w:eastAsia="Calibri" w:hAnsi="Cambria Math"/>
          </w:rPr>
          <m:t>_</m:t>
        </m:r>
        <m:r>
          <m:rPr>
            <m:sty m:val="p"/>
          </m:rPr>
          <w:rPr>
            <w:rFonts w:ascii="Cambria Math" w:hAnsi="Cambria Math"/>
          </w:rPr>
          <m:t>"</m:t>
        </m:r>
        <m:r>
          <w:rPr>
            <w:rFonts w:ascii="Cambria Math" w:hAnsi="Cambria Math"/>
          </w:rPr>
          <m:t>RA</m:t>
        </m:r>
        <m:r>
          <w:rPr>
            <w:rFonts w:ascii="Cambria Math" w:eastAsia="Calibri" w:hAnsi="Cambria Math"/>
          </w:rPr>
          <m:t>"</m:t>
        </m:r>
        <m:r>
          <m:rPr>
            <m:sty m:val="p"/>
          </m:rPr>
          <w:rPr>
            <w:rFonts w:ascii="Cambria Math" w:eastAsia="Calibri" w:hAnsi="Cambria Math"/>
          </w:rPr>
          <m:t xml:space="preserve"> </m:t>
        </m:r>
        <m:r>
          <m:rPr>
            <m:sty m:val="bi"/>
          </m:rPr>
          <w:rPr>
            <w:rFonts w:ascii="Cambria Math" w:eastAsia="Batang" w:hAnsi="Cambria Math"/>
          </w:rPr>
          <m:t>=15⋅2</m:t>
        </m:r>
        <m:r>
          <w:rPr>
            <w:rFonts w:ascii="Cambria Math" w:eastAsia="Batang" w:hAnsi="Cambria Math"/>
          </w:rPr>
          <m:t>^</m:t>
        </m:r>
        <m:r>
          <m:rPr>
            <m:sty m:val="bi"/>
          </m:rPr>
          <w:rPr>
            <w:rFonts w:ascii="Cambria Math" w:eastAsia="Batang" w:hAnsi="Cambria Math"/>
          </w:rPr>
          <m:t>μ</m:t>
        </m:r>
      </m:oMath>
      <w:r>
        <w:rPr>
          <w:rFonts w:eastAsia="Batang"/>
        </w:rPr>
        <w:t xml:space="preserve"> kHz</w:t>
      </w:r>
      <w:r>
        <w:t xml:space="preserve"> where </w:t>
      </w:r>
      <m:oMath>
        <m:r>
          <m:rPr>
            <m:sty m:val="bi"/>
          </m:rPr>
          <w:rPr>
            <w:rFonts w:ascii="Cambria Math" w:eastAsia="Batang" w:hAnsi="Cambria Math"/>
          </w:rPr>
          <m:t>μ∈</m:t>
        </m:r>
        <m:r>
          <w:rPr>
            <w:rFonts w:ascii="Cambria Math" w:eastAsia="Batang" w:hAnsi="Cambria Math"/>
            <w:sz w:val="18"/>
            <w:szCs w:val="18"/>
          </w:rPr>
          <m:t>{</m:t>
        </m:r>
        <m:r>
          <m:rPr>
            <m:sty m:val="bi"/>
          </m:rPr>
          <w:rPr>
            <w:rFonts w:ascii="Cambria Math" w:eastAsia="Batang" w:hAnsi="Cambria Math"/>
          </w:rPr>
          <m:t>0,1,2,3,5,6</m:t>
        </m:r>
        <m:r>
          <w:rPr>
            <w:rFonts w:ascii="Cambria Math" w:eastAsia="Batang" w:hAnsi="Cambria Math"/>
            <w:sz w:val="18"/>
            <w:szCs w:val="18"/>
          </w:rPr>
          <m:t>}</m:t>
        </m:r>
      </m:oMath>
      <w:r>
        <w:t xml:space="preserve">. </w:t>
      </w:r>
      <w:r>
        <w:rPr>
          <w:rFonts w:eastAsia="Batang"/>
        </w:rPr>
        <w:t>(</w:t>
      </w:r>
      <w:r>
        <w:t>Table 6.3.3.1-1 in [2]</w: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1330"/>
        <w:gridCol w:w="724"/>
        <w:gridCol w:w="875"/>
        <w:gridCol w:w="1007"/>
        <w:gridCol w:w="1225"/>
        <w:gridCol w:w="1007"/>
        <w:gridCol w:w="2461"/>
      </w:tblGrid>
      <w:tr w:rsidR="00CB169C" w14:paraId="089CFCEF" w14:textId="77777777" w:rsidTr="00B84314">
        <w:trPr>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14:paraId="6FE6D0E7" w14:textId="77777777" w:rsidR="00CB169C" w:rsidRDefault="00CB169C" w:rsidP="00B84314">
            <w:pPr>
              <w:pStyle w:val="TOC5"/>
              <w:rPr>
                <w:rFonts w:eastAsia="Batang"/>
              </w:rPr>
            </w:pPr>
            <w:bookmarkStart w:id="4" w:name="MCCQCTEMPBM_00000029"/>
            <w:r>
              <w:rPr>
                <w:rFonts w:eastAsia="Batang"/>
              </w:rPr>
              <w:lastRenderedPageBreak/>
              <w:t>Format</w:t>
            </w:r>
          </w:p>
        </w:tc>
        <w:tc>
          <w:tcPr>
            <w:tcW w:w="2824" w:type="dxa"/>
            <w:gridSpan w:val="3"/>
            <w:tcBorders>
              <w:top w:val="single" w:sz="4" w:space="0" w:color="auto"/>
              <w:left w:val="single" w:sz="4" w:space="0" w:color="auto"/>
              <w:bottom w:val="nil"/>
              <w:right w:val="single" w:sz="4" w:space="0" w:color="auto"/>
            </w:tcBorders>
            <w:hideMark/>
          </w:tcPr>
          <w:p w14:paraId="04E9298E" w14:textId="77777777" w:rsidR="00CB169C" w:rsidRDefault="00CB169C" w:rsidP="00B84314">
            <w:pPr>
              <w:pStyle w:val="TOC5"/>
            </w:pPr>
            <w:r>
              <w:rPr>
                <w:rFonts w:eastAsia="Batang"/>
                <w:position w:val="-10"/>
              </w:rPr>
              <w:object w:dxaOrig="435" w:dyaOrig="285" w14:anchorId="7CCE7766">
                <v:shape id="_x0000_i1027" type="#_x0000_t75" style="width:21.5pt;height:14.5pt" o:ole="">
                  <v:imagedata r:id="rId16" o:title=""/>
                </v:shape>
                <o:OLEObject Type="Embed" ProgID="Equation.3" ShapeID="_x0000_i1027" DrawAspect="Content" ObjectID="_1721654290" r:id="rId18"/>
              </w:object>
            </w:r>
          </w:p>
        </w:tc>
        <w:tc>
          <w:tcPr>
            <w:tcW w:w="1829" w:type="dxa"/>
            <w:vMerge w:val="restart"/>
            <w:tcBorders>
              <w:top w:val="single" w:sz="4" w:space="0" w:color="auto"/>
              <w:left w:val="single" w:sz="4" w:space="0" w:color="auto"/>
              <w:bottom w:val="single" w:sz="4" w:space="0" w:color="auto"/>
              <w:right w:val="single" w:sz="4" w:space="0" w:color="auto"/>
            </w:tcBorders>
            <w:hideMark/>
          </w:tcPr>
          <w:p w14:paraId="7FEBD4F8" w14:textId="77777777" w:rsidR="00CB169C" w:rsidRDefault="00CB169C" w:rsidP="00B84314">
            <w:pPr>
              <w:pStyle w:val="TOC5"/>
            </w:pPr>
            <m:oMathPara>
              <m:oMath>
                <m:r>
                  <m:rPr>
                    <m:sty m:val="b"/>
                  </m:rPr>
                  <w:rPr>
                    <w:rFonts w:ascii="Cambria Math" w:hAnsi="Cambria Math"/>
                  </w:rPr>
                  <m:t>Δ</m:t>
                </m:r>
                <m:r>
                  <m:rPr>
                    <m:sty m:val="bi"/>
                  </m:rPr>
                  <w:rPr>
                    <w:rFonts w:ascii="Cambria Math" w:hAnsi="Cambria Math"/>
                  </w:rPr>
                  <m:t>f</m:t>
                </m:r>
                <m:r>
                  <m:rPr>
                    <m:sty m:val="p"/>
                  </m:rPr>
                  <w:rPr>
                    <w:rFonts w:ascii="Cambria Math" w:eastAsia="Calibri" w:hAnsi="Cambria Math"/>
                  </w:rPr>
                  <m:t>_</m:t>
                </m:r>
                <m:r>
                  <m:rPr>
                    <m:sty m:val="p"/>
                  </m:rPr>
                  <w:rPr>
                    <w:rFonts w:ascii="Cambria Math" w:hAnsi="Cambria Math"/>
                  </w:rPr>
                  <m:t>"</m:t>
                </m:r>
                <m:r>
                  <w:rPr>
                    <w:rFonts w:ascii="Cambria Math" w:hAnsi="Cambria Math"/>
                  </w:rPr>
                  <m:t>RA</m:t>
                </m:r>
                <m:r>
                  <w:rPr>
                    <w:rFonts w:ascii="Cambria Math" w:eastAsia="Calibri" w:hAnsi="Cambria Math"/>
                  </w:rPr>
                  <m:t>"</m:t>
                </m:r>
                <m:r>
                  <m:rPr>
                    <m:sty m:val="p"/>
                  </m:rPr>
                  <w:rPr>
                    <w:rFonts w:ascii="Cambria Math" w:eastAsia="Calibri" w:hAnsi="Cambria Math"/>
                  </w:rPr>
                  <m:t xml:space="preserve"> </m:t>
                </m:r>
              </m:oMath>
            </m:oMathPara>
          </w:p>
        </w:tc>
        <w:tc>
          <w:tcPr>
            <w:tcW w:w="1507" w:type="dxa"/>
            <w:vMerge w:val="restart"/>
            <w:tcBorders>
              <w:top w:val="single" w:sz="4" w:space="0" w:color="auto"/>
              <w:left w:val="single" w:sz="4" w:space="0" w:color="auto"/>
              <w:bottom w:val="single" w:sz="4" w:space="0" w:color="auto"/>
              <w:right w:val="single" w:sz="4" w:space="0" w:color="auto"/>
            </w:tcBorders>
            <w:hideMark/>
          </w:tcPr>
          <w:p w14:paraId="15562AA1" w14:textId="77777777" w:rsidR="00CB169C" w:rsidRDefault="00CB169C" w:rsidP="00B84314">
            <w:pPr>
              <w:pStyle w:val="TOC5"/>
            </w:pPr>
            <m:oMathPara>
              <m:oMathParaPr>
                <m:jc m:val="center"/>
              </m:oMathParaPr>
              <m:oMath>
                <m:r>
                  <m:rPr>
                    <m:sty m:val="bi"/>
                  </m:rPr>
                  <w:rPr>
                    <w:rFonts w:ascii="Cambria Math" w:eastAsia="Batang"/>
                  </w:rPr>
                  <m:t>N</m:t>
                </m:r>
                <m:r>
                  <w:rPr>
                    <w:rFonts w:ascii="Cambria Math" w:eastAsia="Batang" w:hAnsi="Cambria Math"/>
                  </w:rPr>
                  <m:t>_(</m:t>
                </m:r>
                <m:r>
                  <m:rPr>
                    <m:sty m:val="bi"/>
                  </m:rPr>
                  <w:rPr>
                    <w:rFonts w:ascii="Cambria Math" w:eastAsia="Batang"/>
                  </w:rPr>
                  <m:t xml:space="preserve">u </m:t>
                </m:r>
                <m:r>
                  <w:rPr>
                    <w:rFonts w:ascii="Cambria Math" w:eastAsia="Batang" w:hAnsi="Cambria Math"/>
                  </w:rPr>
                  <m:t>)</m:t>
                </m:r>
                <m:r>
                  <m:rPr>
                    <m:sty m:val="p"/>
                  </m:rPr>
                  <w:rPr>
                    <w:rFonts w:ascii="Cambria Math" w:eastAsia="Batang"/>
                  </w:rPr>
                  <w:br/>
                </m:r>
              </m:oMath>
              <m:oMath>
                <m:r>
                  <m:rPr>
                    <m:sty m:val="bi"/>
                  </m:rPr>
                  <w:rPr>
                    <w:rFonts w:ascii="Cambria Math" w:eastAsia="Batang" w:hAnsi="Cambria Math"/>
                  </w:rPr>
                  <m:t>(</m:t>
                </m:r>
                <m:r>
                  <m:rPr>
                    <m:sty m:val="bi"/>
                  </m:rPr>
                  <w:rPr>
                    <w:rFonts w:ascii="Cambria Math" w:eastAsia="Batang"/>
                  </w:rPr>
                  <m:t>N</m:t>
                </m:r>
                <m:r>
                  <m:rPr>
                    <m:sty m:val="bi"/>
                  </m:rPr>
                  <w:rPr>
                    <w:rFonts w:ascii="Cambria Math" w:eastAsia="Batang" w:hAnsi="Cambria Math"/>
                  </w:rPr>
                  <m:t>∙</m:t>
                </m:r>
                <m:r>
                  <m:rPr>
                    <m:sty m:val="bi"/>
                  </m:rPr>
                  <w:rPr>
                    <w:rFonts w:ascii="Cambria Math" w:eastAsia="Batang"/>
                  </w:rPr>
                  <m:t xml:space="preserve"> T</m:t>
                </m:r>
                <m:r>
                  <w:rPr>
                    <w:rFonts w:ascii="Cambria Math" w:eastAsia="Batang" w:hAnsi="Cambria Math"/>
                  </w:rPr>
                  <m:t>_</m:t>
                </m:r>
                <m:r>
                  <m:rPr>
                    <m:sty m:val="bi"/>
                  </m:rPr>
                  <w:rPr>
                    <w:rFonts w:ascii="Cambria Math" w:eastAsia="Batang"/>
                  </w:rPr>
                  <m:t>SEQ)</m:t>
                </m:r>
              </m:oMath>
            </m:oMathPara>
          </w:p>
        </w:tc>
        <w:tc>
          <w:tcPr>
            <w:tcW w:w="1294" w:type="dxa"/>
            <w:vMerge w:val="restart"/>
            <w:tcBorders>
              <w:top w:val="single" w:sz="4" w:space="0" w:color="auto"/>
              <w:left w:val="single" w:sz="4" w:space="0" w:color="auto"/>
              <w:bottom w:val="single" w:sz="4" w:space="0" w:color="auto"/>
              <w:right w:val="single" w:sz="4" w:space="0" w:color="auto"/>
            </w:tcBorders>
            <w:hideMark/>
          </w:tcPr>
          <w:p w14:paraId="25AE11C5" w14:textId="77777777" w:rsidR="00CB169C" w:rsidRDefault="00CB169C" w:rsidP="00B84314">
            <w:pPr>
              <w:pStyle w:val="TOC5"/>
            </w:pPr>
            <w:r>
              <w:rPr>
                <w:position w:val="-10"/>
              </w:rPr>
              <w:object w:dxaOrig="435" w:dyaOrig="285" w14:anchorId="17C78EC0">
                <v:shape id="_x0000_i1028" type="#_x0000_t75" style="width:21.5pt;height:14.5pt" o:ole="">
                  <v:imagedata r:id="rId19" o:title=""/>
                </v:shape>
                <o:OLEObject Type="Embed" ProgID="Equation.3" ShapeID="_x0000_i1028" DrawAspect="Content" ObjectID="_1721654291" r:id="rId20"/>
              </w:object>
            </w:r>
          </w:p>
        </w:tc>
        <w:tc>
          <w:tcPr>
            <w:tcW w:w="1331" w:type="dxa"/>
            <w:vMerge w:val="restart"/>
            <w:tcBorders>
              <w:top w:val="single" w:sz="4" w:space="0" w:color="auto"/>
              <w:left w:val="single" w:sz="4" w:space="0" w:color="auto"/>
              <w:bottom w:val="single" w:sz="4" w:space="0" w:color="auto"/>
              <w:right w:val="single" w:sz="4" w:space="0" w:color="auto"/>
            </w:tcBorders>
            <w:hideMark/>
          </w:tcPr>
          <w:p w14:paraId="21EC7DA6" w14:textId="77777777" w:rsidR="00CB169C" w:rsidRDefault="00CB169C" w:rsidP="00B84314">
            <w:pPr>
              <w:pStyle w:val="TOC5"/>
            </w:pPr>
            <w:r>
              <w:rPr>
                <w:rFonts w:eastAsia="Batang"/>
              </w:rPr>
              <w:t>Support for restricted sets</w:t>
            </w:r>
          </w:p>
        </w:tc>
      </w:tr>
      <w:tr w:rsidR="00CB169C" w14:paraId="5B2C1B49" w14:textId="77777777" w:rsidTr="00B843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01613" w14:textId="77777777" w:rsidR="00CB169C" w:rsidRDefault="00CB169C" w:rsidP="00B84314">
            <w:pPr>
              <w:spacing w:after="0"/>
              <w:rPr>
                <w:rFonts w:ascii="Arial" w:eastAsia="Batang" w:hAnsi="Arial"/>
                <w:b/>
                <w:sz w:val="18"/>
              </w:rPr>
            </w:pPr>
          </w:p>
        </w:tc>
        <w:tc>
          <w:tcPr>
            <w:tcW w:w="1412" w:type="dxa"/>
            <w:tcBorders>
              <w:top w:val="nil"/>
              <w:left w:val="single" w:sz="4" w:space="0" w:color="auto"/>
              <w:bottom w:val="single" w:sz="4" w:space="0" w:color="auto"/>
              <w:right w:val="single" w:sz="4" w:space="0" w:color="auto"/>
            </w:tcBorders>
            <w:vAlign w:val="center"/>
            <w:hideMark/>
          </w:tcPr>
          <w:p w14:paraId="5D7B81AF" w14:textId="77777777" w:rsidR="00CB169C" w:rsidRDefault="00CB169C" w:rsidP="00B84314">
            <w:pPr>
              <w:pStyle w:val="TOC5"/>
              <w:rPr>
                <w:rFonts w:eastAsia="Batang"/>
              </w:rPr>
            </w:pPr>
            <m:oMathPara>
              <m:oMath>
                <m:r>
                  <m:rPr>
                    <m:sty m:val="bi"/>
                  </m:rPr>
                  <w:rPr>
                    <w:rFonts w:ascii="Cambria Math" w:eastAsia="Batang" w:hAnsi="Cambria Math"/>
                  </w:rPr>
                  <m:t>μ∈</m:t>
                </m:r>
                <m:r>
                  <w:rPr>
                    <w:rFonts w:ascii="Cambria Math" w:eastAsia="Batang" w:hAnsi="Cambria Math"/>
                  </w:rPr>
                  <m:t>{</m:t>
                </m:r>
                <m:r>
                  <m:rPr>
                    <m:sty m:val="bi"/>
                  </m:rPr>
                  <w:rPr>
                    <w:rFonts w:ascii="Cambria Math" w:eastAsia="Batang" w:hAnsi="Cambria Math"/>
                  </w:rPr>
                  <m:t>0,1,2,3,5,6</m:t>
                </m:r>
                <m:r>
                  <w:rPr>
                    <w:rFonts w:ascii="Cambria Math" w:eastAsia="Batang" w:hAnsi="Cambria Math"/>
                  </w:rPr>
                  <m:t>}</m:t>
                </m:r>
              </m:oMath>
            </m:oMathPara>
          </w:p>
        </w:tc>
        <w:tc>
          <w:tcPr>
            <w:tcW w:w="707" w:type="dxa"/>
            <w:tcBorders>
              <w:top w:val="nil"/>
              <w:left w:val="single" w:sz="4" w:space="0" w:color="auto"/>
              <w:bottom w:val="single" w:sz="4" w:space="0" w:color="auto"/>
              <w:right w:val="single" w:sz="4" w:space="0" w:color="auto"/>
            </w:tcBorders>
            <w:vAlign w:val="center"/>
            <w:hideMark/>
          </w:tcPr>
          <w:p w14:paraId="662B0BE9" w14:textId="77777777" w:rsidR="00CB169C" w:rsidRDefault="00CB169C" w:rsidP="00B84314">
            <w:pPr>
              <w:pStyle w:val="TOC5"/>
            </w:pPr>
            <m:oMathPara>
              <m:oMath>
                <m:r>
                  <m:rPr>
                    <m:sty m:val="bi"/>
                  </m:rPr>
                  <w:rPr>
                    <w:rFonts w:ascii="Cambria Math" w:eastAsia="Batang" w:hAnsi="Cambria Math"/>
                  </w:rPr>
                  <m:t>μ∈</m:t>
                </m:r>
                <m:r>
                  <w:rPr>
                    <w:rFonts w:ascii="Cambria Math" w:eastAsia="Batang" w:hAnsi="Cambria Math"/>
                  </w:rPr>
                  <m:t>{</m:t>
                </m:r>
                <m:r>
                  <m:rPr>
                    <m:sty m:val="bi"/>
                  </m:rPr>
                  <w:rPr>
                    <w:rFonts w:ascii="Cambria Math" w:eastAsia="Batang" w:hAnsi="Cambria Math"/>
                  </w:rPr>
                  <m:t>0,3</m:t>
                </m:r>
                <m:r>
                  <w:rPr>
                    <w:rFonts w:ascii="Cambria Math" w:eastAsia="Batang" w:hAnsi="Cambria Math"/>
                  </w:rPr>
                  <m:t>}</m:t>
                </m:r>
              </m:oMath>
            </m:oMathPara>
          </w:p>
        </w:tc>
        <w:tc>
          <w:tcPr>
            <w:tcW w:w="705" w:type="dxa"/>
            <w:tcBorders>
              <w:top w:val="nil"/>
              <w:left w:val="single" w:sz="4" w:space="0" w:color="auto"/>
              <w:bottom w:val="single" w:sz="4" w:space="0" w:color="auto"/>
              <w:right w:val="single" w:sz="4" w:space="0" w:color="auto"/>
            </w:tcBorders>
            <w:vAlign w:val="center"/>
            <w:hideMark/>
          </w:tcPr>
          <w:p w14:paraId="1C74D4B8" w14:textId="77777777" w:rsidR="00CB169C" w:rsidRDefault="00CB169C" w:rsidP="00B84314">
            <w:pPr>
              <w:pStyle w:val="TOC5"/>
            </w:pPr>
            <m:oMathPara>
              <m:oMath>
                <m:r>
                  <m:rPr>
                    <m:sty m:val="bi"/>
                  </m:rPr>
                  <w:rPr>
                    <w:rFonts w:ascii="Cambria Math" w:eastAsia="Batang" w:hAnsi="Cambria Math"/>
                  </w:rPr>
                  <m:t>μ∈</m:t>
                </m:r>
                <m:r>
                  <w:rPr>
                    <w:rFonts w:ascii="Cambria Math" w:eastAsia="Batang" w:hAnsi="Cambria Math"/>
                  </w:rPr>
                  <m:t>{</m:t>
                </m:r>
                <m:r>
                  <m:rPr>
                    <m:sty m:val="bi"/>
                  </m:rPr>
                  <w:rPr>
                    <w:rFonts w:ascii="Cambria Math" w:eastAsia="Batang" w:hAnsi="Cambria Math"/>
                  </w:rPr>
                  <m:t>1,3, 5</m:t>
                </m:r>
                <m:r>
                  <w:rPr>
                    <w:rFonts w:ascii="Cambria Math" w:eastAsia="Batang" w:hAnsi="Cambria Math"/>
                  </w:rPr>
                  <m:t>}</m:t>
                </m:r>
              </m:oMath>
            </m:oMathPara>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15FF9" w14:textId="77777777" w:rsidR="00CB169C" w:rsidRDefault="00CB169C" w:rsidP="00B843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BB816" w14:textId="77777777" w:rsidR="00CB169C" w:rsidRDefault="00CB169C" w:rsidP="00B843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1FBAA" w14:textId="77777777" w:rsidR="00CB169C" w:rsidRDefault="00CB169C" w:rsidP="00B843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049CE" w14:textId="77777777" w:rsidR="00CB169C" w:rsidRDefault="00CB169C" w:rsidP="00B84314">
            <w:pPr>
              <w:spacing w:after="0"/>
              <w:rPr>
                <w:rFonts w:ascii="Arial" w:hAnsi="Arial"/>
                <w:b/>
                <w:sz w:val="18"/>
              </w:rPr>
            </w:pPr>
          </w:p>
        </w:tc>
      </w:tr>
      <w:tr w:rsidR="00CB169C" w14:paraId="5776F73D" w14:textId="77777777" w:rsidTr="00B8431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61F99E2" w14:textId="77777777" w:rsidR="00CB169C" w:rsidRDefault="00CB169C" w:rsidP="00B84314">
            <w:pPr>
              <w:pStyle w:val="TOC4"/>
              <w:rPr>
                <w:rFonts w:eastAsia="Batang"/>
              </w:rPr>
            </w:pPr>
            <w:r>
              <w:rPr>
                <w:rFonts w:eastAsia="Batang"/>
              </w:rPr>
              <w:t>A1</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55F4F30" w14:textId="77777777" w:rsidR="00CB169C" w:rsidRDefault="00CB169C" w:rsidP="00B84314">
            <w:pPr>
              <w:pStyle w:val="Caption"/>
              <w:rPr>
                <w:rFonts w:eastAsia="Batang"/>
              </w:rPr>
            </w:pPr>
            <w:r>
              <w:rPr>
                <w:rFonts w:eastAsia="Batang"/>
              </w:rPr>
              <w:t>139</w:t>
            </w:r>
          </w:p>
        </w:tc>
        <w:tc>
          <w:tcPr>
            <w:tcW w:w="707" w:type="dxa"/>
            <w:tcBorders>
              <w:top w:val="single" w:sz="4" w:space="0" w:color="auto"/>
              <w:left w:val="single" w:sz="4" w:space="0" w:color="auto"/>
              <w:bottom w:val="single" w:sz="4" w:space="0" w:color="auto"/>
              <w:right w:val="single" w:sz="4" w:space="0" w:color="auto"/>
            </w:tcBorders>
            <w:vAlign w:val="center"/>
            <w:hideMark/>
          </w:tcPr>
          <w:p w14:paraId="746DC757" w14:textId="77777777" w:rsidR="00CB169C" w:rsidRDefault="00CB169C" w:rsidP="00B84314">
            <w:pPr>
              <w:pStyle w:val="Caption"/>
            </w:pPr>
            <w:r>
              <w:rPr>
                <w:rFonts w:eastAsia="Batang"/>
              </w:rPr>
              <w:t>1151</w:t>
            </w:r>
          </w:p>
        </w:tc>
        <w:tc>
          <w:tcPr>
            <w:tcW w:w="705" w:type="dxa"/>
            <w:tcBorders>
              <w:top w:val="single" w:sz="4" w:space="0" w:color="auto"/>
              <w:left w:val="single" w:sz="4" w:space="0" w:color="auto"/>
              <w:bottom w:val="single" w:sz="4" w:space="0" w:color="auto"/>
              <w:right w:val="single" w:sz="4" w:space="0" w:color="auto"/>
            </w:tcBorders>
            <w:vAlign w:val="center"/>
            <w:hideMark/>
          </w:tcPr>
          <w:p w14:paraId="32854BD1" w14:textId="77777777" w:rsidR="00CB169C" w:rsidRDefault="00CB169C" w:rsidP="00B84314">
            <w:pPr>
              <w:pStyle w:val="Caption"/>
            </w:pPr>
            <w:r>
              <w:rPr>
                <w:rFonts w:eastAsia="Batang"/>
              </w:rPr>
              <w:t>571</w:t>
            </w:r>
          </w:p>
        </w:tc>
        <w:tc>
          <w:tcPr>
            <w:tcW w:w="1829" w:type="dxa"/>
            <w:tcBorders>
              <w:top w:val="single" w:sz="4" w:space="0" w:color="auto"/>
              <w:left w:val="single" w:sz="4" w:space="0" w:color="auto"/>
              <w:bottom w:val="single" w:sz="4" w:space="0" w:color="auto"/>
              <w:right w:val="single" w:sz="4" w:space="0" w:color="auto"/>
            </w:tcBorders>
            <w:vAlign w:val="center"/>
            <w:hideMark/>
          </w:tcPr>
          <w:p w14:paraId="3EBA6A77" w14:textId="77777777" w:rsidR="00CB169C" w:rsidRDefault="00CB169C" w:rsidP="00B84314">
            <w:pPr>
              <w:pStyle w:val="Caption"/>
              <w:rPr>
                <w:rFonts w:eastAsia="Batang"/>
              </w:rPr>
            </w:pPr>
            <w:r>
              <w:rPr>
                <w:position w:val="-6"/>
              </w:rPr>
              <w:object w:dxaOrig="1005" w:dyaOrig="285" w14:anchorId="5DBC179E">
                <v:shape id="_x0000_i1029" type="#_x0000_t75" style="width:50.5pt;height:14.5pt" o:ole="">
                  <v:imagedata r:id="rId21" o:title=""/>
                </v:shape>
                <o:OLEObject Type="Embed" ProgID="Equation.3" ShapeID="_x0000_i1029" DrawAspect="Content" ObjectID="_1721654292" r:id="rId22"/>
              </w:object>
            </w:r>
          </w:p>
        </w:tc>
        <w:tc>
          <w:tcPr>
            <w:tcW w:w="1507" w:type="dxa"/>
            <w:tcBorders>
              <w:top w:val="single" w:sz="4" w:space="0" w:color="auto"/>
              <w:left w:val="single" w:sz="4" w:space="0" w:color="auto"/>
              <w:bottom w:val="single" w:sz="4" w:space="0" w:color="auto"/>
              <w:right w:val="single" w:sz="4" w:space="0" w:color="auto"/>
            </w:tcBorders>
            <w:vAlign w:val="center"/>
            <w:hideMark/>
          </w:tcPr>
          <w:p w14:paraId="10933365" w14:textId="77777777" w:rsidR="00CB169C" w:rsidRDefault="00CB169C" w:rsidP="00B84314">
            <w:pPr>
              <w:pStyle w:val="Caption"/>
              <w:rPr>
                <w:rFonts w:eastAsia="Batang"/>
              </w:rPr>
            </w:pPr>
            <w:r>
              <w:rPr>
                <w:rFonts w:eastAsia="Batang"/>
                <w:position w:val="-6"/>
              </w:rPr>
              <w:object w:dxaOrig="1155" w:dyaOrig="285" w14:anchorId="13E2E743">
                <v:shape id="_x0000_i1030" type="#_x0000_t75" style="width:57.5pt;height:14.5pt" o:ole="">
                  <v:imagedata r:id="rId23" o:title=""/>
                </v:shape>
                <o:OLEObject Type="Embed" ProgID="Equation.3" ShapeID="_x0000_i1030" DrawAspect="Content" ObjectID="_1721654293" r:id="rId24"/>
              </w:object>
            </w:r>
          </w:p>
        </w:tc>
        <w:tc>
          <w:tcPr>
            <w:tcW w:w="1294" w:type="dxa"/>
            <w:tcBorders>
              <w:top w:val="single" w:sz="4" w:space="0" w:color="auto"/>
              <w:left w:val="single" w:sz="4" w:space="0" w:color="auto"/>
              <w:bottom w:val="single" w:sz="4" w:space="0" w:color="auto"/>
              <w:right w:val="single" w:sz="4" w:space="0" w:color="auto"/>
            </w:tcBorders>
            <w:vAlign w:val="center"/>
            <w:hideMark/>
          </w:tcPr>
          <w:p w14:paraId="7A276D33" w14:textId="77777777" w:rsidR="00CB169C" w:rsidRDefault="00CB169C" w:rsidP="00B84314">
            <w:pPr>
              <w:pStyle w:val="Caption"/>
              <w:rPr>
                <w:rFonts w:eastAsia="Batang"/>
              </w:rPr>
            </w:pPr>
            <w:r>
              <w:rPr>
                <w:rFonts w:eastAsia="Batang"/>
                <w:position w:val="-6"/>
              </w:rPr>
              <w:object w:dxaOrig="870" w:dyaOrig="285" w14:anchorId="02CEA72C">
                <v:shape id="_x0000_i1031" type="#_x0000_t75" style="width:43.5pt;height:14.5pt" o:ole="">
                  <v:imagedata r:id="rId25" o:title=""/>
                </v:shape>
                <o:OLEObject Type="Embed" ProgID="Equation.3" ShapeID="_x0000_i1031" DrawAspect="Content" ObjectID="_1721654294" r:id="rId26"/>
              </w:object>
            </w:r>
          </w:p>
        </w:tc>
        <w:tc>
          <w:tcPr>
            <w:tcW w:w="1331" w:type="dxa"/>
            <w:tcBorders>
              <w:top w:val="single" w:sz="4" w:space="0" w:color="auto"/>
              <w:left w:val="single" w:sz="4" w:space="0" w:color="auto"/>
              <w:bottom w:val="single" w:sz="4" w:space="0" w:color="auto"/>
              <w:right w:val="single" w:sz="4" w:space="0" w:color="auto"/>
            </w:tcBorders>
            <w:vAlign w:val="center"/>
            <w:hideMark/>
          </w:tcPr>
          <w:p w14:paraId="5595309E" w14:textId="77777777" w:rsidR="00CB169C" w:rsidRDefault="00CB169C" w:rsidP="00B84314">
            <w:pPr>
              <w:pStyle w:val="TOC4"/>
              <w:rPr>
                <w:rFonts w:eastAsia="Batang"/>
              </w:rPr>
            </w:pPr>
            <w:r>
              <w:rPr>
                <w:rFonts w:eastAsia="Batang"/>
              </w:rPr>
              <w:t>-</w:t>
            </w:r>
          </w:p>
        </w:tc>
      </w:tr>
      <w:tr w:rsidR="00CB169C" w14:paraId="28604576" w14:textId="77777777" w:rsidTr="00B8431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09F7B0D6" w14:textId="77777777" w:rsidR="00CB169C" w:rsidRDefault="00CB169C" w:rsidP="00B84314">
            <w:pPr>
              <w:pStyle w:val="TOC4"/>
              <w:rPr>
                <w:rFonts w:eastAsia="Batang"/>
              </w:rPr>
            </w:pPr>
            <w:r>
              <w:rPr>
                <w:rFonts w:eastAsia="Batang"/>
              </w:rPr>
              <w:t>A2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E47B4C4" w14:textId="77777777" w:rsidR="00CB169C" w:rsidRDefault="00CB169C" w:rsidP="00B84314">
            <w:pPr>
              <w:pStyle w:val="Caption"/>
              <w:rPr>
                <w:rFonts w:eastAsia="Batang"/>
              </w:rPr>
            </w:pPr>
            <w:r>
              <w:rPr>
                <w:rFonts w:eastAsia="Batang"/>
              </w:rPr>
              <w:t>139</w:t>
            </w:r>
          </w:p>
        </w:tc>
        <w:tc>
          <w:tcPr>
            <w:tcW w:w="707" w:type="dxa"/>
            <w:tcBorders>
              <w:top w:val="single" w:sz="4" w:space="0" w:color="auto"/>
              <w:left w:val="single" w:sz="4" w:space="0" w:color="auto"/>
              <w:bottom w:val="single" w:sz="4" w:space="0" w:color="auto"/>
              <w:right w:val="single" w:sz="4" w:space="0" w:color="auto"/>
            </w:tcBorders>
            <w:vAlign w:val="center"/>
            <w:hideMark/>
          </w:tcPr>
          <w:p w14:paraId="1FEEB7CB" w14:textId="77777777" w:rsidR="00CB169C" w:rsidRDefault="00CB169C" w:rsidP="00B84314">
            <w:pPr>
              <w:pStyle w:val="Caption"/>
            </w:pPr>
            <w:r>
              <w:rPr>
                <w:rFonts w:eastAsia="Batang"/>
              </w:rPr>
              <w:t>1151</w:t>
            </w:r>
          </w:p>
        </w:tc>
        <w:tc>
          <w:tcPr>
            <w:tcW w:w="705" w:type="dxa"/>
            <w:tcBorders>
              <w:top w:val="single" w:sz="4" w:space="0" w:color="auto"/>
              <w:left w:val="single" w:sz="4" w:space="0" w:color="auto"/>
              <w:bottom w:val="single" w:sz="4" w:space="0" w:color="auto"/>
              <w:right w:val="single" w:sz="4" w:space="0" w:color="auto"/>
            </w:tcBorders>
            <w:vAlign w:val="center"/>
            <w:hideMark/>
          </w:tcPr>
          <w:p w14:paraId="240DB280" w14:textId="77777777" w:rsidR="00CB169C" w:rsidRDefault="00CB169C" w:rsidP="00B84314">
            <w:pPr>
              <w:pStyle w:val="Caption"/>
            </w:pPr>
            <w:r>
              <w:rPr>
                <w:rFonts w:eastAsia="Batang"/>
              </w:rPr>
              <w:t>571</w:t>
            </w:r>
          </w:p>
        </w:tc>
        <w:tc>
          <w:tcPr>
            <w:tcW w:w="1829" w:type="dxa"/>
            <w:tcBorders>
              <w:top w:val="single" w:sz="4" w:space="0" w:color="auto"/>
              <w:left w:val="single" w:sz="4" w:space="0" w:color="auto"/>
              <w:bottom w:val="single" w:sz="4" w:space="0" w:color="auto"/>
              <w:right w:val="single" w:sz="4" w:space="0" w:color="auto"/>
            </w:tcBorders>
            <w:vAlign w:val="center"/>
            <w:hideMark/>
          </w:tcPr>
          <w:p w14:paraId="3C85A47A" w14:textId="77777777" w:rsidR="00CB169C" w:rsidRDefault="00CB169C" w:rsidP="00B84314">
            <w:pPr>
              <w:pStyle w:val="Caption"/>
              <w:rPr>
                <w:rFonts w:eastAsia="Batang"/>
              </w:rPr>
            </w:pPr>
            <w:r>
              <w:rPr>
                <w:position w:val="-6"/>
              </w:rPr>
              <w:object w:dxaOrig="1005" w:dyaOrig="285" w14:anchorId="4CEFEE71">
                <v:shape id="_x0000_i1032" type="#_x0000_t75" style="width:50.5pt;height:14.5pt" o:ole="">
                  <v:imagedata r:id="rId21" o:title=""/>
                </v:shape>
                <o:OLEObject Type="Embed" ProgID="Equation.3" ShapeID="_x0000_i1032" DrawAspect="Content" ObjectID="_1721654295" r:id="rId27"/>
              </w:object>
            </w:r>
          </w:p>
        </w:tc>
        <w:tc>
          <w:tcPr>
            <w:tcW w:w="1507" w:type="dxa"/>
            <w:tcBorders>
              <w:top w:val="single" w:sz="4" w:space="0" w:color="auto"/>
              <w:left w:val="single" w:sz="4" w:space="0" w:color="auto"/>
              <w:bottom w:val="single" w:sz="4" w:space="0" w:color="auto"/>
              <w:right w:val="single" w:sz="4" w:space="0" w:color="auto"/>
            </w:tcBorders>
            <w:vAlign w:val="center"/>
            <w:hideMark/>
          </w:tcPr>
          <w:p w14:paraId="6E03BD33" w14:textId="77777777" w:rsidR="00CB169C" w:rsidRDefault="00CB169C" w:rsidP="00B84314">
            <w:pPr>
              <w:pStyle w:val="Caption"/>
              <w:rPr>
                <w:rFonts w:eastAsia="Batang"/>
              </w:rPr>
            </w:pPr>
            <w:r>
              <w:rPr>
                <w:rFonts w:eastAsia="Batang"/>
                <w:position w:val="-6"/>
              </w:rPr>
              <w:object w:dxaOrig="1155" w:dyaOrig="285" w14:anchorId="2B9B4C61">
                <v:shape id="_x0000_i1033" type="#_x0000_t75" style="width:57.5pt;height:14.5pt" o:ole="">
                  <v:imagedata r:id="rId28" o:title=""/>
                </v:shape>
                <o:OLEObject Type="Embed" ProgID="Equation.3" ShapeID="_x0000_i1033" DrawAspect="Content" ObjectID="_1721654296" r:id="rId29"/>
              </w:object>
            </w:r>
          </w:p>
        </w:tc>
        <w:tc>
          <w:tcPr>
            <w:tcW w:w="1294" w:type="dxa"/>
            <w:tcBorders>
              <w:top w:val="single" w:sz="4" w:space="0" w:color="auto"/>
              <w:left w:val="single" w:sz="4" w:space="0" w:color="auto"/>
              <w:bottom w:val="single" w:sz="4" w:space="0" w:color="auto"/>
              <w:right w:val="single" w:sz="4" w:space="0" w:color="auto"/>
            </w:tcBorders>
            <w:vAlign w:val="center"/>
            <w:hideMark/>
          </w:tcPr>
          <w:p w14:paraId="207E4869" w14:textId="77777777" w:rsidR="00CB169C" w:rsidRDefault="00CB169C" w:rsidP="00B84314">
            <w:pPr>
              <w:pStyle w:val="Caption"/>
              <w:rPr>
                <w:rFonts w:eastAsia="Batang"/>
              </w:rPr>
            </w:pPr>
            <w:r>
              <w:rPr>
                <w:rFonts w:eastAsia="Batang"/>
                <w:position w:val="-6"/>
              </w:rPr>
              <w:object w:dxaOrig="870" w:dyaOrig="285" w14:anchorId="7FCE0239">
                <v:shape id="_x0000_i1034" type="#_x0000_t75" style="width:43.5pt;height:14.5pt" o:ole="">
                  <v:imagedata r:id="rId30" o:title=""/>
                </v:shape>
                <o:OLEObject Type="Embed" ProgID="Equation.3" ShapeID="_x0000_i1034" DrawAspect="Content" ObjectID="_1721654297" r:id="rId31"/>
              </w:object>
            </w:r>
          </w:p>
        </w:tc>
        <w:tc>
          <w:tcPr>
            <w:tcW w:w="1331" w:type="dxa"/>
            <w:tcBorders>
              <w:top w:val="single" w:sz="4" w:space="0" w:color="auto"/>
              <w:left w:val="single" w:sz="4" w:space="0" w:color="auto"/>
              <w:bottom w:val="single" w:sz="4" w:space="0" w:color="auto"/>
              <w:right w:val="single" w:sz="4" w:space="0" w:color="auto"/>
            </w:tcBorders>
            <w:vAlign w:val="center"/>
            <w:hideMark/>
          </w:tcPr>
          <w:p w14:paraId="27ACB9CA" w14:textId="77777777" w:rsidR="00CB169C" w:rsidRDefault="00CB169C" w:rsidP="00B84314">
            <w:pPr>
              <w:pStyle w:val="TOC4"/>
              <w:rPr>
                <w:rFonts w:eastAsia="Batang"/>
              </w:rPr>
            </w:pPr>
            <w:r>
              <w:rPr>
                <w:rFonts w:eastAsia="Batang"/>
              </w:rPr>
              <w:t>-</w:t>
            </w:r>
          </w:p>
        </w:tc>
      </w:tr>
      <w:tr w:rsidR="00CB169C" w14:paraId="6306755F" w14:textId="77777777" w:rsidTr="00B8431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105599DC" w14:textId="77777777" w:rsidR="00CB169C" w:rsidRDefault="00CB169C" w:rsidP="00B84314">
            <w:pPr>
              <w:pStyle w:val="TOC4"/>
              <w:rPr>
                <w:rFonts w:eastAsia="Batang"/>
              </w:rPr>
            </w:pPr>
            <w:r>
              <w:rPr>
                <w:rFonts w:eastAsia="Batang"/>
              </w:rPr>
              <w:t>A3</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EFC462B" w14:textId="77777777" w:rsidR="00CB169C" w:rsidRDefault="00CB169C" w:rsidP="00B84314">
            <w:pPr>
              <w:pStyle w:val="Caption"/>
              <w:rPr>
                <w:rFonts w:eastAsia="Batang"/>
              </w:rPr>
            </w:pPr>
            <w:r>
              <w:rPr>
                <w:rFonts w:eastAsia="Batang"/>
              </w:rPr>
              <w:t>139</w:t>
            </w:r>
          </w:p>
        </w:tc>
        <w:tc>
          <w:tcPr>
            <w:tcW w:w="707" w:type="dxa"/>
            <w:tcBorders>
              <w:top w:val="single" w:sz="4" w:space="0" w:color="auto"/>
              <w:left w:val="single" w:sz="4" w:space="0" w:color="auto"/>
              <w:bottom w:val="single" w:sz="4" w:space="0" w:color="auto"/>
              <w:right w:val="single" w:sz="4" w:space="0" w:color="auto"/>
            </w:tcBorders>
            <w:vAlign w:val="center"/>
            <w:hideMark/>
          </w:tcPr>
          <w:p w14:paraId="6F1CB0C4" w14:textId="77777777" w:rsidR="00CB169C" w:rsidRDefault="00CB169C" w:rsidP="00B84314">
            <w:pPr>
              <w:pStyle w:val="Caption"/>
            </w:pPr>
            <w:r>
              <w:rPr>
                <w:rFonts w:eastAsia="Batang"/>
              </w:rPr>
              <w:t>1151</w:t>
            </w:r>
          </w:p>
        </w:tc>
        <w:tc>
          <w:tcPr>
            <w:tcW w:w="705" w:type="dxa"/>
            <w:tcBorders>
              <w:top w:val="single" w:sz="4" w:space="0" w:color="auto"/>
              <w:left w:val="single" w:sz="4" w:space="0" w:color="auto"/>
              <w:bottom w:val="single" w:sz="4" w:space="0" w:color="auto"/>
              <w:right w:val="single" w:sz="4" w:space="0" w:color="auto"/>
            </w:tcBorders>
            <w:vAlign w:val="center"/>
            <w:hideMark/>
          </w:tcPr>
          <w:p w14:paraId="3AB6448B" w14:textId="77777777" w:rsidR="00CB169C" w:rsidRDefault="00CB169C" w:rsidP="00B84314">
            <w:pPr>
              <w:pStyle w:val="Caption"/>
            </w:pPr>
            <w:r>
              <w:rPr>
                <w:rFonts w:eastAsia="Batang"/>
              </w:rPr>
              <w:t>571</w:t>
            </w:r>
          </w:p>
        </w:tc>
        <w:tc>
          <w:tcPr>
            <w:tcW w:w="1829" w:type="dxa"/>
            <w:tcBorders>
              <w:top w:val="single" w:sz="4" w:space="0" w:color="auto"/>
              <w:left w:val="single" w:sz="4" w:space="0" w:color="auto"/>
              <w:bottom w:val="single" w:sz="4" w:space="0" w:color="auto"/>
              <w:right w:val="single" w:sz="4" w:space="0" w:color="auto"/>
            </w:tcBorders>
            <w:vAlign w:val="center"/>
            <w:hideMark/>
          </w:tcPr>
          <w:p w14:paraId="7D704D5A" w14:textId="77777777" w:rsidR="00CB169C" w:rsidRDefault="00CB169C" w:rsidP="00B84314">
            <w:pPr>
              <w:pStyle w:val="Caption"/>
              <w:rPr>
                <w:rFonts w:eastAsia="Batang"/>
              </w:rPr>
            </w:pPr>
            <w:r>
              <w:rPr>
                <w:position w:val="-6"/>
              </w:rPr>
              <w:object w:dxaOrig="1005" w:dyaOrig="285" w14:anchorId="1D382E82">
                <v:shape id="_x0000_i1035" type="#_x0000_t75" style="width:50.5pt;height:14.5pt" o:ole="">
                  <v:imagedata r:id="rId21" o:title=""/>
                </v:shape>
                <o:OLEObject Type="Embed" ProgID="Equation.3" ShapeID="_x0000_i1035" DrawAspect="Content" ObjectID="_1721654298" r:id="rId32"/>
              </w:object>
            </w:r>
          </w:p>
        </w:tc>
        <w:tc>
          <w:tcPr>
            <w:tcW w:w="1507" w:type="dxa"/>
            <w:tcBorders>
              <w:top w:val="single" w:sz="4" w:space="0" w:color="auto"/>
              <w:left w:val="single" w:sz="4" w:space="0" w:color="auto"/>
              <w:bottom w:val="single" w:sz="4" w:space="0" w:color="auto"/>
              <w:right w:val="single" w:sz="4" w:space="0" w:color="auto"/>
            </w:tcBorders>
            <w:vAlign w:val="center"/>
            <w:hideMark/>
          </w:tcPr>
          <w:p w14:paraId="58547320" w14:textId="77777777" w:rsidR="00CB169C" w:rsidRDefault="00CB169C" w:rsidP="00B84314">
            <w:pPr>
              <w:pStyle w:val="Caption"/>
              <w:rPr>
                <w:rFonts w:eastAsia="Batang"/>
              </w:rPr>
            </w:pPr>
            <w:r>
              <w:rPr>
                <w:rFonts w:eastAsia="Batang"/>
                <w:position w:val="-6"/>
              </w:rPr>
              <w:object w:dxaOrig="1155" w:dyaOrig="285" w14:anchorId="0F5CF6FD">
                <v:shape id="_x0000_i1036" type="#_x0000_t75" style="width:57.5pt;height:14.5pt" o:ole="">
                  <v:imagedata r:id="rId33" o:title=""/>
                </v:shape>
                <o:OLEObject Type="Embed" ProgID="Equation.3" ShapeID="_x0000_i1036" DrawAspect="Content" ObjectID="_1721654299" r:id="rId34"/>
              </w:object>
            </w:r>
          </w:p>
        </w:tc>
        <w:tc>
          <w:tcPr>
            <w:tcW w:w="1294" w:type="dxa"/>
            <w:tcBorders>
              <w:top w:val="single" w:sz="4" w:space="0" w:color="auto"/>
              <w:left w:val="single" w:sz="4" w:space="0" w:color="auto"/>
              <w:bottom w:val="single" w:sz="4" w:space="0" w:color="auto"/>
              <w:right w:val="single" w:sz="4" w:space="0" w:color="auto"/>
            </w:tcBorders>
            <w:vAlign w:val="center"/>
            <w:hideMark/>
          </w:tcPr>
          <w:p w14:paraId="3AD16F29" w14:textId="77777777" w:rsidR="00CB169C" w:rsidRDefault="00CB169C" w:rsidP="00B84314">
            <w:pPr>
              <w:pStyle w:val="Caption"/>
              <w:rPr>
                <w:rFonts w:eastAsia="Batang"/>
              </w:rPr>
            </w:pPr>
            <w:r>
              <w:rPr>
                <w:rFonts w:eastAsia="Batang"/>
                <w:position w:val="-6"/>
              </w:rPr>
              <w:object w:dxaOrig="870" w:dyaOrig="285" w14:anchorId="7C7BFF81">
                <v:shape id="_x0000_i1037" type="#_x0000_t75" style="width:43.5pt;height:14.5pt" o:ole="">
                  <v:imagedata r:id="rId35" o:title=""/>
                </v:shape>
                <o:OLEObject Type="Embed" ProgID="Equation.3" ShapeID="_x0000_i1037" DrawAspect="Content" ObjectID="_1721654300" r:id="rId36"/>
              </w:object>
            </w:r>
          </w:p>
        </w:tc>
        <w:tc>
          <w:tcPr>
            <w:tcW w:w="1331" w:type="dxa"/>
            <w:tcBorders>
              <w:top w:val="single" w:sz="4" w:space="0" w:color="auto"/>
              <w:left w:val="single" w:sz="4" w:space="0" w:color="auto"/>
              <w:bottom w:val="single" w:sz="4" w:space="0" w:color="auto"/>
              <w:right w:val="single" w:sz="4" w:space="0" w:color="auto"/>
            </w:tcBorders>
            <w:vAlign w:val="center"/>
            <w:hideMark/>
          </w:tcPr>
          <w:p w14:paraId="0FA25E40" w14:textId="77777777" w:rsidR="00CB169C" w:rsidRDefault="00CB169C" w:rsidP="00B84314">
            <w:pPr>
              <w:pStyle w:val="TOC4"/>
              <w:rPr>
                <w:rFonts w:eastAsia="Batang"/>
              </w:rPr>
            </w:pPr>
            <w:r>
              <w:rPr>
                <w:rFonts w:eastAsia="Batang"/>
              </w:rPr>
              <w:t>-</w:t>
            </w:r>
          </w:p>
        </w:tc>
      </w:tr>
      <w:tr w:rsidR="00CB169C" w14:paraId="57EB54F8" w14:textId="77777777" w:rsidTr="00B8431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09D1993A" w14:textId="77777777" w:rsidR="00CB169C" w:rsidRDefault="00CB169C" w:rsidP="00B84314">
            <w:pPr>
              <w:pStyle w:val="TOC4"/>
              <w:rPr>
                <w:rFonts w:eastAsia="Batang"/>
              </w:rPr>
            </w:pPr>
            <w:r>
              <w:rPr>
                <w:rFonts w:eastAsia="Batang"/>
              </w:rPr>
              <w:t>B1</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8F00622" w14:textId="77777777" w:rsidR="00CB169C" w:rsidRDefault="00CB169C" w:rsidP="00B84314">
            <w:pPr>
              <w:pStyle w:val="Caption"/>
              <w:rPr>
                <w:rFonts w:eastAsia="Batang"/>
              </w:rPr>
            </w:pPr>
            <w:r>
              <w:rPr>
                <w:rFonts w:eastAsia="Batang"/>
              </w:rPr>
              <w:t>139</w:t>
            </w:r>
          </w:p>
        </w:tc>
        <w:tc>
          <w:tcPr>
            <w:tcW w:w="707" w:type="dxa"/>
            <w:tcBorders>
              <w:top w:val="single" w:sz="4" w:space="0" w:color="auto"/>
              <w:left w:val="single" w:sz="4" w:space="0" w:color="auto"/>
              <w:bottom w:val="single" w:sz="4" w:space="0" w:color="auto"/>
              <w:right w:val="single" w:sz="4" w:space="0" w:color="auto"/>
            </w:tcBorders>
            <w:vAlign w:val="center"/>
            <w:hideMark/>
          </w:tcPr>
          <w:p w14:paraId="3B282BCE" w14:textId="77777777" w:rsidR="00CB169C" w:rsidRDefault="00CB169C" w:rsidP="00B84314">
            <w:pPr>
              <w:pStyle w:val="Caption"/>
            </w:pPr>
            <w:r>
              <w:rPr>
                <w:rFonts w:eastAsia="Batang"/>
              </w:rPr>
              <w:t>1151</w:t>
            </w:r>
          </w:p>
        </w:tc>
        <w:tc>
          <w:tcPr>
            <w:tcW w:w="705" w:type="dxa"/>
            <w:tcBorders>
              <w:top w:val="single" w:sz="4" w:space="0" w:color="auto"/>
              <w:left w:val="single" w:sz="4" w:space="0" w:color="auto"/>
              <w:bottom w:val="single" w:sz="4" w:space="0" w:color="auto"/>
              <w:right w:val="single" w:sz="4" w:space="0" w:color="auto"/>
            </w:tcBorders>
            <w:vAlign w:val="center"/>
            <w:hideMark/>
          </w:tcPr>
          <w:p w14:paraId="0F25556E" w14:textId="77777777" w:rsidR="00CB169C" w:rsidRDefault="00CB169C" w:rsidP="00B84314">
            <w:pPr>
              <w:pStyle w:val="Caption"/>
            </w:pPr>
            <w:r>
              <w:rPr>
                <w:rFonts w:eastAsia="Batang"/>
              </w:rPr>
              <w:t>571</w:t>
            </w:r>
          </w:p>
        </w:tc>
        <w:tc>
          <w:tcPr>
            <w:tcW w:w="1829" w:type="dxa"/>
            <w:tcBorders>
              <w:top w:val="single" w:sz="4" w:space="0" w:color="auto"/>
              <w:left w:val="single" w:sz="4" w:space="0" w:color="auto"/>
              <w:bottom w:val="single" w:sz="4" w:space="0" w:color="auto"/>
              <w:right w:val="single" w:sz="4" w:space="0" w:color="auto"/>
            </w:tcBorders>
            <w:vAlign w:val="center"/>
            <w:hideMark/>
          </w:tcPr>
          <w:p w14:paraId="264B1D67" w14:textId="77777777" w:rsidR="00CB169C" w:rsidRDefault="00CB169C" w:rsidP="00B84314">
            <w:pPr>
              <w:pStyle w:val="Caption"/>
              <w:rPr>
                <w:rFonts w:eastAsia="Batang"/>
              </w:rPr>
            </w:pPr>
            <w:r>
              <w:rPr>
                <w:position w:val="-6"/>
              </w:rPr>
              <w:object w:dxaOrig="1005" w:dyaOrig="285" w14:anchorId="3C05EF86">
                <v:shape id="_x0000_i1038" type="#_x0000_t75" style="width:50.5pt;height:14.5pt" o:ole="">
                  <v:imagedata r:id="rId21" o:title=""/>
                </v:shape>
                <o:OLEObject Type="Embed" ProgID="Equation.3" ShapeID="_x0000_i1038" DrawAspect="Content" ObjectID="_1721654301" r:id="rId37"/>
              </w:object>
            </w:r>
          </w:p>
        </w:tc>
        <w:tc>
          <w:tcPr>
            <w:tcW w:w="1507" w:type="dxa"/>
            <w:tcBorders>
              <w:top w:val="single" w:sz="4" w:space="0" w:color="auto"/>
              <w:left w:val="single" w:sz="4" w:space="0" w:color="auto"/>
              <w:bottom w:val="single" w:sz="4" w:space="0" w:color="auto"/>
              <w:right w:val="single" w:sz="4" w:space="0" w:color="auto"/>
            </w:tcBorders>
            <w:vAlign w:val="center"/>
            <w:hideMark/>
          </w:tcPr>
          <w:p w14:paraId="2AB3B3FD" w14:textId="77777777" w:rsidR="00CB169C" w:rsidRDefault="00CB169C" w:rsidP="00B84314">
            <w:pPr>
              <w:pStyle w:val="Caption"/>
              <w:rPr>
                <w:rFonts w:eastAsia="Batang"/>
              </w:rPr>
            </w:pPr>
            <w:r>
              <w:rPr>
                <w:rFonts w:eastAsia="Batang"/>
                <w:position w:val="-6"/>
              </w:rPr>
              <w:object w:dxaOrig="1155" w:dyaOrig="285" w14:anchorId="4AC2C4AA">
                <v:shape id="_x0000_i1039" type="#_x0000_t75" style="width:57.5pt;height:14.5pt" o:ole="">
                  <v:imagedata r:id="rId38" o:title=""/>
                </v:shape>
                <o:OLEObject Type="Embed" ProgID="Equation.3" ShapeID="_x0000_i1039" DrawAspect="Content" ObjectID="_1721654302" r:id="rId39"/>
              </w:object>
            </w:r>
          </w:p>
        </w:tc>
        <w:tc>
          <w:tcPr>
            <w:tcW w:w="1294" w:type="dxa"/>
            <w:tcBorders>
              <w:top w:val="single" w:sz="4" w:space="0" w:color="auto"/>
              <w:left w:val="single" w:sz="4" w:space="0" w:color="auto"/>
              <w:bottom w:val="single" w:sz="4" w:space="0" w:color="auto"/>
              <w:right w:val="single" w:sz="4" w:space="0" w:color="auto"/>
            </w:tcBorders>
            <w:vAlign w:val="center"/>
            <w:hideMark/>
          </w:tcPr>
          <w:p w14:paraId="4B0CB3E5" w14:textId="77777777" w:rsidR="00CB169C" w:rsidRDefault="00CB169C" w:rsidP="00B84314">
            <w:pPr>
              <w:pStyle w:val="Caption"/>
              <w:rPr>
                <w:rFonts w:eastAsia="Batang"/>
              </w:rPr>
            </w:pPr>
            <w:r>
              <w:rPr>
                <w:rFonts w:eastAsia="Batang"/>
                <w:position w:val="-6"/>
              </w:rPr>
              <w:object w:dxaOrig="870" w:dyaOrig="285" w14:anchorId="2CFF978F">
                <v:shape id="_x0000_i1040" type="#_x0000_t75" style="width:43.5pt;height:14.5pt" o:ole="">
                  <v:imagedata r:id="rId40" o:title=""/>
                </v:shape>
                <o:OLEObject Type="Embed" ProgID="Equation.3" ShapeID="_x0000_i1040" DrawAspect="Content" ObjectID="_1721654303" r:id="rId41"/>
              </w:object>
            </w:r>
          </w:p>
        </w:tc>
        <w:tc>
          <w:tcPr>
            <w:tcW w:w="1331" w:type="dxa"/>
            <w:tcBorders>
              <w:top w:val="single" w:sz="4" w:space="0" w:color="auto"/>
              <w:left w:val="single" w:sz="4" w:space="0" w:color="auto"/>
              <w:bottom w:val="single" w:sz="4" w:space="0" w:color="auto"/>
              <w:right w:val="single" w:sz="4" w:space="0" w:color="auto"/>
            </w:tcBorders>
            <w:vAlign w:val="center"/>
            <w:hideMark/>
          </w:tcPr>
          <w:p w14:paraId="415E40DE" w14:textId="77777777" w:rsidR="00CB169C" w:rsidRDefault="00CB169C" w:rsidP="00B84314">
            <w:pPr>
              <w:pStyle w:val="TOC4"/>
              <w:rPr>
                <w:rFonts w:eastAsia="Batang"/>
              </w:rPr>
            </w:pPr>
            <w:r>
              <w:rPr>
                <w:rFonts w:eastAsia="Batang"/>
              </w:rPr>
              <w:t>-</w:t>
            </w:r>
          </w:p>
        </w:tc>
      </w:tr>
      <w:tr w:rsidR="00CB169C" w14:paraId="4A63BFA4" w14:textId="77777777" w:rsidTr="00B8431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A27A381" w14:textId="77777777" w:rsidR="00CB169C" w:rsidRDefault="00CB169C" w:rsidP="00B84314">
            <w:pPr>
              <w:pStyle w:val="TOC4"/>
              <w:rPr>
                <w:rFonts w:eastAsia="Batang"/>
              </w:rPr>
            </w:pPr>
            <w:r>
              <w:rPr>
                <w:rFonts w:eastAsia="Batang"/>
              </w:rPr>
              <w:t>B2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DB87DE7" w14:textId="77777777" w:rsidR="00CB169C" w:rsidRDefault="00CB169C" w:rsidP="00B84314">
            <w:pPr>
              <w:pStyle w:val="Caption"/>
              <w:rPr>
                <w:rFonts w:eastAsia="Batang"/>
              </w:rPr>
            </w:pPr>
            <w:r>
              <w:rPr>
                <w:rFonts w:eastAsia="Batang"/>
              </w:rPr>
              <w:t>139</w:t>
            </w:r>
          </w:p>
        </w:tc>
        <w:tc>
          <w:tcPr>
            <w:tcW w:w="707" w:type="dxa"/>
            <w:tcBorders>
              <w:top w:val="single" w:sz="4" w:space="0" w:color="auto"/>
              <w:left w:val="single" w:sz="4" w:space="0" w:color="auto"/>
              <w:bottom w:val="single" w:sz="4" w:space="0" w:color="auto"/>
              <w:right w:val="single" w:sz="4" w:space="0" w:color="auto"/>
            </w:tcBorders>
            <w:vAlign w:val="center"/>
            <w:hideMark/>
          </w:tcPr>
          <w:p w14:paraId="09C2F272" w14:textId="77777777" w:rsidR="00CB169C" w:rsidRDefault="00CB169C" w:rsidP="00B84314">
            <w:pPr>
              <w:pStyle w:val="Caption"/>
            </w:pPr>
            <w:r>
              <w:rPr>
                <w:rFonts w:eastAsia="Batang"/>
              </w:rPr>
              <w:t>1151</w:t>
            </w:r>
          </w:p>
        </w:tc>
        <w:tc>
          <w:tcPr>
            <w:tcW w:w="705" w:type="dxa"/>
            <w:tcBorders>
              <w:top w:val="single" w:sz="4" w:space="0" w:color="auto"/>
              <w:left w:val="single" w:sz="4" w:space="0" w:color="auto"/>
              <w:bottom w:val="single" w:sz="4" w:space="0" w:color="auto"/>
              <w:right w:val="single" w:sz="4" w:space="0" w:color="auto"/>
            </w:tcBorders>
            <w:vAlign w:val="center"/>
            <w:hideMark/>
          </w:tcPr>
          <w:p w14:paraId="16DBA5A1" w14:textId="77777777" w:rsidR="00CB169C" w:rsidRDefault="00CB169C" w:rsidP="00B84314">
            <w:pPr>
              <w:pStyle w:val="Caption"/>
            </w:pPr>
            <w:r>
              <w:rPr>
                <w:rFonts w:eastAsia="Batang"/>
              </w:rPr>
              <w:t>571</w:t>
            </w:r>
          </w:p>
        </w:tc>
        <w:tc>
          <w:tcPr>
            <w:tcW w:w="1829" w:type="dxa"/>
            <w:tcBorders>
              <w:top w:val="single" w:sz="4" w:space="0" w:color="auto"/>
              <w:left w:val="single" w:sz="4" w:space="0" w:color="auto"/>
              <w:bottom w:val="single" w:sz="4" w:space="0" w:color="auto"/>
              <w:right w:val="single" w:sz="4" w:space="0" w:color="auto"/>
            </w:tcBorders>
            <w:vAlign w:val="center"/>
            <w:hideMark/>
          </w:tcPr>
          <w:p w14:paraId="036DDD65" w14:textId="77777777" w:rsidR="00CB169C" w:rsidRDefault="00CB169C" w:rsidP="00B84314">
            <w:pPr>
              <w:pStyle w:val="Caption"/>
              <w:rPr>
                <w:rFonts w:eastAsia="Batang"/>
              </w:rPr>
            </w:pPr>
            <w:r>
              <w:rPr>
                <w:position w:val="-6"/>
              </w:rPr>
              <w:object w:dxaOrig="1005" w:dyaOrig="285" w14:anchorId="64660EB5">
                <v:shape id="_x0000_i1041" type="#_x0000_t75" style="width:50.5pt;height:14.5pt" o:ole="">
                  <v:imagedata r:id="rId21" o:title=""/>
                </v:shape>
                <o:OLEObject Type="Embed" ProgID="Equation.3" ShapeID="_x0000_i1041" DrawAspect="Content" ObjectID="_1721654304" r:id="rId42"/>
              </w:object>
            </w:r>
          </w:p>
        </w:tc>
        <w:tc>
          <w:tcPr>
            <w:tcW w:w="1507" w:type="dxa"/>
            <w:tcBorders>
              <w:top w:val="single" w:sz="4" w:space="0" w:color="auto"/>
              <w:left w:val="single" w:sz="4" w:space="0" w:color="auto"/>
              <w:bottom w:val="single" w:sz="4" w:space="0" w:color="auto"/>
              <w:right w:val="single" w:sz="4" w:space="0" w:color="auto"/>
            </w:tcBorders>
            <w:vAlign w:val="center"/>
            <w:hideMark/>
          </w:tcPr>
          <w:p w14:paraId="28D31F3E" w14:textId="77777777" w:rsidR="00CB169C" w:rsidRDefault="00CB169C" w:rsidP="00B84314">
            <w:pPr>
              <w:pStyle w:val="Caption"/>
              <w:rPr>
                <w:rFonts w:eastAsia="Batang"/>
              </w:rPr>
            </w:pPr>
            <w:r>
              <w:rPr>
                <w:rFonts w:eastAsia="Batang"/>
                <w:position w:val="-6"/>
              </w:rPr>
              <w:object w:dxaOrig="1155" w:dyaOrig="285" w14:anchorId="3A4F13B7">
                <v:shape id="_x0000_i1042" type="#_x0000_t75" style="width:57.5pt;height:14.5pt" o:ole="">
                  <v:imagedata r:id="rId43" o:title=""/>
                </v:shape>
                <o:OLEObject Type="Embed" ProgID="Equation.3" ShapeID="_x0000_i1042" DrawAspect="Content" ObjectID="_1721654305" r:id="rId44"/>
              </w:object>
            </w:r>
          </w:p>
        </w:tc>
        <w:tc>
          <w:tcPr>
            <w:tcW w:w="1294" w:type="dxa"/>
            <w:tcBorders>
              <w:top w:val="single" w:sz="4" w:space="0" w:color="auto"/>
              <w:left w:val="single" w:sz="4" w:space="0" w:color="auto"/>
              <w:bottom w:val="single" w:sz="4" w:space="0" w:color="auto"/>
              <w:right w:val="single" w:sz="4" w:space="0" w:color="auto"/>
            </w:tcBorders>
            <w:vAlign w:val="center"/>
            <w:hideMark/>
          </w:tcPr>
          <w:p w14:paraId="4662662A" w14:textId="77777777" w:rsidR="00CB169C" w:rsidRDefault="00CB169C" w:rsidP="00B84314">
            <w:pPr>
              <w:pStyle w:val="Caption"/>
              <w:rPr>
                <w:rFonts w:eastAsia="Batang"/>
              </w:rPr>
            </w:pPr>
            <w:r>
              <w:rPr>
                <w:rFonts w:eastAsia="Batang"/>
                <w:position w:val="-6"/>
              </w:rPr>
              <w:object w:dxaOrig="870" w:dyaOrig="285" w14:anchorId="06B424C8">
                <v:shape id="_x0000_i1043" type="#_x0000_t75" style="width:43.5pt;height:14.5pt" o:ole="">
                  <v:imagedata r:id="rId45" o:title=""/>
                </v:shape>
                <o:OLEObject Type="Embed" ProgID="Equation.3" ShapeID="_x0000_i1043" DrawAspect="Content" ObjectID="_1721654306" r:id="rId46"/>
              </w:object>
            </w:r>
          </w:p>
        </w:tc>
        <w:tc>
          <w:tcPr>
            <w:tcW w:w="1331" w:type="dxa"/>
            <w:tcBorders>
              <w:top w:val="single" w:sz="4" w:space="0" w:color="auto"/>
              <w:left w:val="single" w:sz="4" w:space="0" w:color="auto"/>
              <w:bottom w:val="single" w:sz="4" w:space="0" w:color="auto"/>
              <w:right w:val="single" w:sz="4" w:space="0" w:color="auto"/>
            </w:tcBorders>
            <w:vAlign w:val="center"/>
            <w:hideMark/>
          </w:tcPr>
          <w:p w14:paraId="47F62E87" w14:textId="77777777" w:rsidR="00CB169C" w:rsidRDefault="00CB169C" w:rsidP="00B84314">
            <w:pPr>
              <w:pStyle w:val="TOC4"/>
              <w:rPr>
                <w:rFonts w:eastAsia="Batang"/>
              </w:rPr>
            </w:pPr>
            <w:r>
              <w:rPr>
                <w:rFonts w:eastAsia="Batang"/>
              </w:rPr>
              <w:t>-</w:t>
            </w:r>
          </w:p>
        </w:tc>
      </w:tr>
      <w:tr w:rsidR="00CB169C" w14:paraId="6CCF8605" w14:textId="77777777" w:rsidTr="00B8431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FBBE52B" w14:textId="77777777" w:rsidR="00CB169C" w:rsidRDefault="00CB169C" w:rsidP="00B84314">
            <w:pPr>
              <w:pStyle w:val="TOC4"/>
              <w:rPr>
                <w:rFonts w:eastAsia="Batang"/>
              </w:rPr>
            </w:pPr>
            <w:r>
              <w:rPr>
                <w:rFonts w:eastAsia="Batang"/>
              </w:rPr>
              <w:t>B3</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653A6B9" w14:textId="77777777" w:rsidR="00CB169C" w:rsidRDefault="00CB169C" w:rsidP="00B84314">
            <w:pPr>
              <w:pStyle w:val="Caption"/>
              <w:rPr>
                <w:rFonts w:eastAsia="Batang"/>
              </w:rPr>
            </w:pPr>
            <w:r>
              <w:rPr>
                <w:rFonts w:eastAsia="Batang"/>
              </w:rPr>
              <w:t>139</w:t>
            </w:r>
          </w:p>
        </w:tc>
        <w:tc>
          <w:tcPr>
            <w:tcW w:w="707" w:type="dxa"/>
            <w:tcBorders>
              <w:top w:val="single" w:sz="4" w:space="0" w:color="auto"/>
              <w:left w:val="single" w:sz="4" w:space="0" w:color="auto"/>
              <w:bottom w:val="single" w:sz="4" w:space="0" w:color="auto"/>
              <w:right w:val="single" w:sz="4" w:space="0" w:color="auto"/>
            </w:tcBorders>
            <w:vAlign w:val="center"/>
            <w:hideMark/>
          </w:tcPr>
          <w:p w14:paraId="222FC3AD" w14:textId="77777777" w:rsidR="00CB169C" w:rsidRDefault="00CB169C" w:rsidP="00B84314">
            <w:pPr>
              <w:pStyle w:val="Caption"/>
            </w:pPr>
            <w:r>
              <w:rPr>
                <w:rFonts w:eastAsia="Batang"/>
              </w:rPr>
              <w:t>1151</w:t>
            </w:r>
          </w:p>
        </w:tc>
        <w:tc>
          <w:tcPr>
            <w:tcW w:w="705" w:type="dxa"/>
            <w:tcBorders>
              <w:top w:val="single" w:sz="4" w:space="0" w:color="auto"/>
              <w:left w:val="single" w:sz="4" w:space="0" w:color="auto"/>
              <w:bottom w:val="single" w:sz="4" w:space="0" w:color="auto"/>
              <w:right w:val="single" w:sz="4" w:space="0" w:color="auto"/>
            </w:tcBorders>
            <w:vAlign w:val="center"/>
            <w:hideMark/>
          </w:tcPr>
          <w:p w14:paraId="1D728DBB" w14:textId="77777777" w:rsidR="00CB169C" w:rsidRDefault="00CB169C" w:rsidP="00B84314">
            <w:pPr>
              <w:pStyle w:val="Caption"/>
            </w:pPr>
            <w:r>
              <w:rPr>
                <w:rFonts w:eastAsia="Batang"/>
              </w:rPr>
              <w:t>571</w:t>
            </w:r>
          </w:p>
        </w:tc>
        <w:tc>
          <w:tcPr>
            <w:tcW w:w="1829" w:type="dxa"/>
            <w:tcBorders>
              <w:top w:val="single" w:sz="4" w:space="0" w:color="auto"/>
              <w:left w:val="single" w:sz="4" w:space="0" w:color="auto"/>
              <w:bottom w:val="single" w:sz="4" w:space="0" w:color="auto"/>
              <w:right w:val="single" w:sz="4" w:space="0" w:color="auto"/>
            </w:tcBorders>
            <w:vAlign w:val="center"/>
            <w:hideMark/>
          </w:tcPr>
          <w:p w14:paraId="4EB3F628" w14:textId="77777777" w:rsidR="00CB169C" w:rsidRDefault="00CB169C" w:rsidP="00B84314">
            <w:pPr>
              <w:pStyle w:val="Caption"/>
              <w:rPr>
                <w:rFonts w:eastAsia="Batang"/>
              </w:rPr>
            </w:pPr>
            <w:r>
              <w:rPr>
                <w:position w:val="-6"/>
              </w:rPr>
              <w:object w:dxaOrig="1005" w:dyaOrig="285" w14:anchorId="47F3C334">
                <v:shape id="_x0000_i1044" type="#_x0000_t75" style="width:50.5pt;height:14.5pt" o:ole="">
                  <v:imagedata r:id="rId21" o:title=""/>
                </v:shape>
                <o:OLEObject Type="Embed" ProgID="Equation.3" ShapeID="_x0000_i1044" DrawAspect="Content" ObjectID="_1721654307" r:id="rId47"/>
              </w:object>
            </w:r>
          </w:p>
        </w:tc>
        <w:tc>
          <w:tcPr>
            <w:tcW w:w="1507" w:type="dxa"/>
            <w:tcBorders>
              <w:top w:val="single" w:sz="4" w:space="0" w:color="auto"/>
              <w:left w:val="single" w:sz="4" w:space="0" w:color="auto"/>
              <w:bottom w:val="single" w:sz="4" w:space="0" w:color="auto"/>
              <w:right w:val="single" w:sz="4" w:space="0" w:color="auto"/>
            </w:tcBorders>
            <w:vAlign w:val="center"/>
            <w:hideMark/>
          </w:tcPr>
          <w:p w14:paraId="68F73159" w14:textId="77777777" w:rsidR="00CB169C" w:rsidRDefault="00CB169C" w:rsidP="00B84314">
            <w:pPr>
              <w:pStyle w:val="Caption"/>
              <w:rPr>
                <w:rFonts w:eastAsia="Batang"/>
              </w:rPr>
            </w:pPr>
            <w:r>
              <w:rPr>
                <w:rFonts w:eastAsia="Batang"/>
                <w:position w:val="-6"/>
              </w:rPr>
              <w:object w:dxaOrig="1155" w:dyaOrig="285" w14:anchorId="6D9484B8">
                <v:shape id="_x0000_i1045" type="#_x0000_t75" style="width:57.5pt;height:14.5pt" o:ole="">
                  <v:imagedata r:id="rId48" o:title=""/>
                </v:shape>
                <o:OLEObject Type="Embed" ProgID="Equation.3" ShapeID="_x0000_i1045" DrawAspect="Content" ObjectID="_1721654308" r:id="rId49"/>
              </w:object>
            </w:r>
          </w:p>
        </w:tc>
        <w:tc>
          <w:tcPr>
            <w:tcW w:w="1294" w:type="dxa"/>
            <w:tcBorders>
              <w:top w:val="single" w:sz="4" w:space="0" w:color="auto"/>
              <w:left w:val="single" w:sz="4" w:space="0" w:color="auto"/>
              <w:bottom w:val="single" w:sz="4" w:space="0" w:color="auto"/>
              <w:right w:val="single" w:sz="4" w:space="0" w:color="auto"/>
            </w:tcBorders>
            <w:vAlign w:val="center"/>
            <w:hideMark/>
          </w:tcPr>
          <w:p w14:paraId="6E2D14D9" w14:textId="77777777" w:rsidR="00CB169C" w:rsidRDefault="00CB169C" w:rsidP="00B84314">
            <w:pPr>
              <w:pStyle w:val="Caption"/>
              <w:rPr>
                <w:rFonts w:eastAsia="Batang"/>
              </w:rPr>
            </w:pPr>
            <w:r>
              <w:rPr>
                <w:rFonts w:eastAsia="Batang"/>
                <w:position w:val="-6"/>
              </w:rPr>
              <w:object w:dxaOrig="870" w:dyaOrig="285" w14:anchorId="75B47715">
                <v:shape id="_x0000_i1046" type="#_x0000_t75" style="width:43.5pt;height:14.5pt" o:ole="">
                  <v:imagedata r:id="rId50" o:title=""/>
                </v:shape>
                <o:OLEObject Type="Embed" ProgID="Equation.3" ShapeID="_x0000_i1046" DrawAspect="Content" ObjectID="_1721654309" r:id="rId51"/>
              </w:object>
            </w:r>
          </w:p>
        </w:tc>
        <w:tc>
          <w:tcPr>
            <w:tcW w:w="1331" w:type="dxa"/>
            <w:tcBorders>
              <w:top w:val="single" w:sz="4" w:space="0" w:color="auto"/>
              <w:left w:val="single" w:sz="4" w:space="0" w:color="auto"/>
              <w:bottom w:val="single" w:sz="4" w:space="0" w:color="auto"/>
              <w:right w:val="single" w:sz="4" w:space="0" w:color="auto"/>
            </w:tcBorders>
            <w:vAlign w:val="center"/>
            <w:hideMark/>
          </w:tcPr>
          <w:p w14:paraId="5285A9CA" w14:textId="77777777" w:rsidR="00CB169C" w:rsidRDefault="00CB169C" w:rsidP="00B84314">
            <w:pPr>
              <w:pStyle w:val="TOC4"/>
              <w:rPr>
                <w:rFonts w:eastAsia="Batang"/>
              </w:rPr>
            </w:pPr>
            <w:r>
              <w:rPr>
                <w:rFonts w:eastAsia="Batang"/>
              </w:rPr>
              <w:t>-</w:t>
            </w:r>
          </w:p>
        </w:tc>
      </w:tr>
      <w:tr w:rsidR="00CB169C" w14:paraId="01425220" w14:textId="77777777" w:rsidTr="00B8431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0554D46" w14:textId="77777777" w:rsidR="00CB169C" w:rsidRDefault="00CB169C" w:rsidP="00B84314">
            <w:pPr>
              <w:pStyle w:val="TOC4"/>
              <w:rPr>
                <w:rFonts w:eastAsia="Batang"/>
              </w:rPr>
            </w:pPr>
            <w:r>
              <w:rPr>
                <w:rFonts w:eastAsia="Batang"/>
              </w:rPr>
              <w:t>B4</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3826028" w14:textId="77777777" w:rsidR="00CB169C" w:rsidRDefault="00CB169C" w:rsidP="00B84314">
            <w:pPr>
              <w:pStyle w:val="Caption"/>
              <w:rPr>
                <w:rFonts w:eastAsia="Batang"/>
              </w:rPr>
            </w:pPr>
            <w:r>
              <w:rPr>
                <w:rFonts w:eastAsia="Batang"/>
              </w:rPr>
              <w:t>139</w:t>
            </w:r>
          </w:p>
        </w:tc>
        <w:tc>
          <w:tcPr>
            <w:tcW w:w="707" w:type="dxa"/>
            <w:tcBorders>
              <w:top w:val="single" w:sz="4" w:space="0" w:color="auto"/>
              <w:left w:val="single" w:sz="4" w:space="0" w:color="auto"/>
              <w:bottom w:val="single" w:sz="4" w:space="0" w:color="auto"/>
              <w:right w:val="single" w:sz="4" w:space="0" w:color="auto"/>
            </w:tcBorders>
            <w:vAlign w:val="center"/>
            <w:hideMark/>
          </w:tcPr>
          <w:p w14:paraId="0BAF9D66" w14:textId="77777777" w:rsidR="00CB169C" w:rsidRDefault="00CB169C" w:rsidP="00B84314">
            <w:pPr>
              <w:pStyle w:val="Caption"/>
            </w:pPr>
            <w:r>
              <w:rPr>
                <w:rFonts w:eastAsia="Batang"/>
              </w:rPr>
              <w:t>1151</w:t>
            </w:r>
          </w:p>
        </w:tc>
        <w:tc>
          <w:tcPr>
            <w:tcW w:w="705" w:type="dxa"/>
            <w:tcBorders>
              <w:top w:val="single" w:sz="4" w:space="0" w:color="auto"/>
              <w:left w:val="single" w:sz="4" w:space="0" w:color="auto"/>
              <w:bottom w:val="single" w:sz="4" w:space="0" w:color="auto"/>
              <w:right w:val="single" w:sz="4" w:space="0" w:color="auto"/>
            </w:tcBorders>
            <w:vAlign w:val="center"/>
            <w:hideMark/>
          </w:tcPr>
          <w:p w14:paraId="6B3614BD" w14:textId="77777777" w:rsidR="00CB169C" w:rsidRDefault="00CB169C" w:rsidP="00B84314">
            <w:pPr>
              <w:pStyle w:val="Caption"/>
            </w:pPr>
            <w:r>
              <w:rPr>
                <w:rFonts w:eastAsia="Batang"/>
              </w:rPr>
              <w:t>571</w:t>
            </w:r>
          </w:p>
        </w:tc>
        <w:tc>
          <w:tcPr>
            <w:tcW w:w="1829" w:type="dxa"/>
            <w:tcBorders>
              <w:top w:val="single" w:sz="4" w:space="0" w:color="auto"/>
              <w:left w:val="single" w:sz="4" w:space="0" w:color="auto"/>
              <w:bottom w:val="single" w:sz="4" w:space="0" w:color="auto"/>
              <w:right w:val="single" w:sz="4" w:space="0" w:color="auto"/>
            </w:tcBorders>
            <w:vAlign w:val="center"/>
            <w:hideMark/>
          </w:tcPr>
          <w:p w14:paraId="14C689D4" w14:textId="77777777" w:rsidR="00CB169C" w:rsidRDefault="00CB169C" w:rsidP="00B84314">
            <w:pPr>
              <w:pStyle w:val="Caption"/>
              <w:rPr>
                <w:rFonts w:eastAsia="Batang"/>
              </w:rPr>
            </w:pPr>
            <w:r>
              <w:rPr>
                <w:position w:val="-6"/>
              </w:rPr>
              <w:object w:dxaOrig="1005" w:dyaOrig="285" w14:anchorId="274964BB">
                <v:shape id="_x0000_i1047" type="#_x0000_t75" style="width:50.5pt;height:14.5pt" o:ole="">
                  <v:imagedata r:id="rId21" o:title=""/>
                </v:shape>
                <o:OLEObject Type="Embed" ProgID="Equation.3" ShapeID="_x0000_i1047" DrawAspect="Content" ObjectID="_1721654310" r:id="rId52"/>
              </w:object>
            </w:r>
          </w:p>
        </w:tc>
        <w:tc>
          <w:tcPr>
            <w:tcW w:w="1507" w:type="dxa"/>
            <w:tcBorders>
              <w:top w:val="single" w:sz="4" w:space="0" w:color="auto"/>
              <w:left w:val="single" w:sz="4" w:space="0" w:color="auto"/>
              <w:bottom w:val="single" w:sz="4" w:space="0" w:color="auto"/>
              <w:right w:val="single" w:sz="4" w:space="0" w:color="auto"/>
            </w:tcBorders>
            <w:vAlign w:val="center"/>
            <w:hideMark/>
          </w:tcPr>
          <w:p w14:paraId="1FA24489" w14:textId="77777777" w:rsidR="00CB169C" w:rsidRDefault="00CB169C" w:rsidP="00B84314">
            <w:pPr>
              <w:pStyle w:val="Caption"/>
              <w:rPr>
                <w:rFonts w:eastAsia="Batang"/>
              </w:rPr>
            </w:pPr>
            <w:r>
              <w:rPr>
                <w:rFonts w:eastAsia="Batang"/>
                <w:position w:val="-6"/>
              </w:rPr>
              <w:object w:dxaOrig="1290" w:dyaOrig="285" w14:anchorId="45AA1667">
                <v:shape id="_x0000_i1048" type="#_x0000_t75" style="width:64.5pt;height:14.5pt" o:ole="">
                  <v:imagedata r:id="rId53" o:title=""/>
                </v:shape>
                <o:OLEObject Type="Embed" ProgID="Equation.3" ShapeID="_x0000_i1048" DrawAspect="Content" ObjectID="_1721654311" r:id="rId54"/>
              </w:object>
            </w:r>
          </w:p>
        </w:tc>
        <w:tc>
          <w:tcPr>
            <w:tcW w:w="1294" w:type="dxa"/>
            <w:tcBorders>
              <w:top w:val="single" w:sz="4" w:space="0" w:color="auto"/>
              <w:left w:val="single" w:sz="4" w:space="0" w:color="auto"/>
              <w:bottom w:val="single" w:sz="4" w:space="0" w:color="auto"/>
              <w:right w:val="single" w:sz="4" w:space="0" w:color="auto"/>
            </w:tcBorders>
            <w:vAlign w:val="center"/>
            <w:hideMark/>
          </w:tcPr>
          <w:p w14:paraId="2F2C104A" w14:textId="77777777" w:rsidR="00CB169C" w:rsidRDefault="00CB169C" w:rsidP="00B84314">
            <w:pPr>
              <w:pStyle w:val="Caption"/>
              <w:rPr>
                <w:rFonts w:eastAsia="Batang"/>
              </w:rPr>
            </w:pPr>
            <w:r>
              <w:rPr>
                <w:rFonts w:eastAsia="Batang"/>
                <w:position w:val="-6"/>
              </w:rPr>
              <w:object w:dxaOrig="870" w:dyaOrig="285" w14:anchorId="292A374D">
                <v:shape id="_x0000_i1049" type="#_x0000_t75" style="width:43.5pt;height:14.5pt" o:ole="">
                  <v:imagedata r:id="rId55" o:title=""/>
                </v:shape>
                <o:OLEObject Type="Embed" ProgID="Equation.3" ShapeID="_x0000_i1049" DrawAspect="Content" ObjectID="_1721654312" r:id="rId56"/>
              </w:object>
            </w:r>
          </w:p>
        </w:tc>
        <w:tc>
          <w:tcPr>
            <w:tcW w:w="1331" w:type="dxa"/>
            <w:tcBorders>
              <w:top w:val="single" w:sz="4" w:space="0" w:color="auto"/>
              <w:left w:val="single" w:sz="4" w:space="0" w:color="auto"/>
              <w:bottom w:val="single" w:sz="4" w:space="0" w:color="auto"/>
              <w:right w:val="single" w:sz="4" w:space="0" w:color="auto"/>
            </w:tcBorders>
            <w:vAlign w:val="center"/>
            <w:hideMark/>
          </w:tcPr>
          <w:p w14:paraId="4879BC87" w14:textId="77777777" w:rsidR="00CB169C" w:rsidRDefault="00CB169C" w:rsidP="00B84314">
            <w:pPr>
              <w:pStyle w:val="TOC4"/>
              <w:rPr>
                <w:rFonts w:eastAsia="Batang"/>
              </w:rPr>
            </w:pPr>
            <w:r>
              <w:rPr>
                <w:rFonts w:eastAsia="Batang"/>
              </w:rPr>
              <w:t>-</w:t>
            </w:r>
          </w:p>
        </w:tc>
      </w:tr>
      <w:tr w:rsidR="00CB169C" w14:paraId="0FF74D71" w14:textId="77777777" w:rsidTr="00B8431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8554940" w14:textId="77777777" w:rsidR="00CB169C" w:rsidRDefault="00CB169C" w:rsidP="00B84314">
            <w:pPr>
              <w:pStyle w:val="TOC4"/>
              <w:rPr>
                <w:rFonts w:eastAsia="Batang"/>
              </w:rPr>
            </w:pPr>
            <w:r>
              <w:rPr>
                <w:rFonts w:eastAsia="Batang"/>
              </w:rPr>
              <w:t>C0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AE7FBDC" w14:textId="77777777" w:rsidR="00CB169C" w:rsidRDefault="00CB169C" w:rsidP="00B84314">
            <w:pPr>
              <w:pStyle w:val="Caption"/>
              <w:rPr>
                <w:rFonts w:eastAsia="Batang"/>
              </w:rPr>
            </w:pPr>
            <w:r>
              <w:rPr>
                <w:rFonts w:eastAsia="Batang"/>
              </w:rPr>
              <w:t>139</w:t>
            </w:r>
          </w:p>
        </w:tc>
        <w:tc>
          <w:tcPr>
            <w:tcW w:w="707" w:type="dxa"/>
            <w:tcBorders>
              <w:top w:val="single" w:sz="4" w:space="0" w:color="auto"/>
              <w:left w:val="single" w:sz="4" w:space="0" w:color="auto"/>
              <w:bottom w:val="single" w:sz="4" w:space="0" w:color="auto"/>
              <w:right w:val="single" w:sz="4" w:space="0" w:color="auto"/>
            </w:tcBorders>
            <w:vAlign w:val="center"/>
            <w:hideMark/>
          </w:tcPr>
          <w:p w14:paraId="20B60389" w14:textId="77777777" w:rsidR="00CB169C" w:rsidRDefault="00CB169C" w:rsidP="00B84314">
            <w:pPr>
              <w:pStyle w:val="Caption"/>
            </w:pPr>
            <w:r>
              <w:rPr>
                <w:rFonts w:eastAsia="Batang"/>
              </w:rPr>
              <w:t>1151</w:t>
            </w:r>
          </w:p>
        </w:tc>
        <w:tc>
          <w:tcPr>
            <w:tcW w:w="705" w:type="dxa"/>
            <w:tcBorders>
              <w:top w:val="single" w:sz="4" w:space="0" w:color="auto"/>
              <w:left w:val="single" w:sz="4" w:space="0" w:color="auto"/>
              <w:bottom w:val="single" w:sz="4" w:space="0" w:color="auto"/>
              <w:right w:val="single" w:sz="4" w:space="0" w:color="auto"/>
            </w:tcBorders>
            <w:vAlign w:val="center"/>
            <w:hideMark/>
          </w:tcPr>
          <w:p w14:paraId="01B265BB" w14:textId="77777777" w:rsidR="00CB169C" w:rsidRDefault="00CB169C" w:rsidP="00B84314">
            <w:pPr>
              <w:pStyle w:val="Caption"/>
            </w:pPr>
            <w:r>
              <w:rPr>
                <w:rFonts w:eastAsia="Batang"/>
              </w:rPr>
              <w:t>571</w:t>
            </w:r>
          </w:p>
        </w:tc>
        <w:tc>
          <w:tcPr>
            <w:tcW w:w="1829" w:type="dxa"/>
            <w:tcBorders>
              <w:top w:val="single" w:sz="4" w:space="0" w:color="auto"/>
              <w:left w:val="single" w:sz="4" w:space="0" w:color="auto"/>
              <w:bottom w:val="single" w:sz="4" w:space="0" w:color="auto"/>
              <w:right w:val="single" w:sz="4" w:space="0" w:color="auto"/>
            </w:tcBorders>
            <w:vAlign w:val="center"/>
            <w:hideMark/>
          </w:tcPr>
          <w:p w14:paraId="33F56AEF" w14:textId="77777777" w:rsidR="00CB169C" w:rsidRDefault="00CB169C" w:rsidP="00B84314">
            <w:pPr>
              <w:pStyle w:val="Caption"/>
              <w:rPr>
                <w:rFonts w:eastAsia="Batang"/>
              </w:rPr>
            </w:pPr>
            <w:r>
              <w:rPr>
                <w:position w:val="-6"/>
              </w:rPr>
              <w:object w:dxaOrig="1005" w:dyaOrig="285" w14:anchorId="53983C32">
                <v:shape id="_x0000_i1050" type="#_x0000_t75" style="width:50.5pt;height:14.5pt" o:ole="">
                  <v:imagedata r:id="rId21" o:title=""/>
                </v:shape>
                <o:OLEObject Type="Embed" ProgID="Equation.3" ShapeID="_x0000_i1050" DrawAspect="Content" ObjectID="_1721654313" r:id="rId57"/>
              </w:object>
            </w:r>
          </w:p>
        </w:tc>
        <w:tc>
          <w:tcPr>
            <w:tcW w:w="1507" w:type="dxa"/>
            <w:tcBorders>
              <w:top w:val="single" w:sz="4" w:space="0" w:color="auto"/>
              <w:left w:val="single" w:sz="4" w:space="0" w:color="auto"/>
              <w:bottom w:val="single" w:sz="4" w:space="0" w:color="auto"/>
              <w:right w:val="single" w:sz="4" w:space="0" w:color="auto"/>
            </w:tcBorders>
            <w:vAlign w:val="center"/>
            <w:hideMark/>
          </w:tcPr>
          <w:p w14:paraId="69142EE9" w14:textId="77777777" w:rsidR="00CB169C" w:rsidRDefault="00CB169C" w:rsidP="00B84314">
            <w:pPr>
              <w:pStyle w:val="Caption"/>
              <w:rPr>
                <w:rFonts w:eastAsia="Batang"/>
              </w:rPr>
            </w:pPr>
            <w:r>
              <w:rPr>
                <w:rFonts w:eastAsia="Batang"/>
                <w:position w:val="-6"/>
              </w:rPr>
              <w:object w:dxaOrig="1005" w:dyaOrig="285" w14:anchorId="124A1EFC">
                <v:shape id="_x0000_i1051" type="#_x0000_t75" style="width:50.5pt;height:14.5pt" o:ole="">
                  <v:imagedata r:id="rId58" o:title=""/>
                </v:shape>
                <o:OLEObject Type="Embed" ProgID="Equation.3" ShapeID="_x0000_i1051" DrawAspect="Content" ObjectID="_1721654314" r:id="rId59"/>
              </w:object>
            </w:r>
          </w:p>
        </w:tc>
        <w:tc>
          <w:tcPr>
            <w:tcW w:w="1294" w:type="dxa"/>
            <w:tcBorders>
              <w:top w:val="single" w:sz="4" w:space="0" w:color="auto"/>
              <w:left w:val="single" w:sz="4" w:space="0" w:color="auto"/>
              <w:bottom w:val="single" w:sz="4" w:space="0" w:color="auto"/>
              <w:right w:val="single" w:sz="4" w:space="0" w:color="auto"/>
            </w:tcBorders>
            <w:vAlign w:val="center"/>
            <w:hideMark/>
          </w:tcPr>
          <w:p w14:paraId="46589A8E" w14:textId="77777777" w:rsidR="00CB169C" w:rsidRDefault="00CB169C" w:rsidP="00B84314">
            <w:pPr>
              <w:pStyle w:val="Caption"/>
              <w:rPr>
                <w:rFonts w:eastAsia="Batang"/>
              </w:rPr>
            </w:pPr>
            <w:r>
              <w:rPr>
                <w:rFonts w:eastAsia="Batang"/>
                <w:position w:val="-6"/>
              </w:rPr>
              <w:object w:dxaOrig="1005" w:dyaOrig="285" w14:anchorId="409374B3">
                <v:shape id="_x0000_i1052" type="#_x0000_t75" style="width:50.5pt;height:14.5pt" o:ole="">
                  <v:imagedata r:id="rId60" o:title=""/>
                </v:shape>
                <o:OLEObject Type="Embed" ProgID="Equation.3" ShapeID="_x0000_i1052" DrawAspect="Content" ObjectID="_1721654315" r:id="rId61"/>
              </w:object>
            </w:r>
          </w:p>
        </w:tc>
        <w:tc>
          <w:tcPr>
            <w:tcW w:w="1331" w:type="dxa"/>
            <w:tcBorders>
              <w:top w:val="single" w:sz="4" w:space="0" w:color="auto"/>
              <w:left w:val="single" w:sz="4" w:space="0" w:color="auto"/>
              <w:bottom w:val="single" w:sz="4" w:space="0" w:color="auto"/>
              <w:right w:val="single" w:sz="4" w:space="0" w:color="auto"/>
            </w:tcBorders>
            <w:vAlign w:val="center"/>
            <w:hideMark/>
          </w:tcPr>
          <w:p w14:paraId="502E015E" w14:textId="77777777" w:rsidR="00CB169C" w:rsidRDefault="00CB169C" w:rsidP="00B84314">
            <w:pPr>
              <w:pStyle w:val="TOC4"/>
              <w:rPr>
                <w:rFonts w:eastAsia="Batang"/>
              </w:rPr>
            </w:pPr>
            <w:r>
              <w:rPr>
                <w:rFonts w:eastAsia="Batang"/>
              </w:rPr>
              <w:t>-</w:t>
            </w:r>
          </w:p>
        </w:tc>
      </w:tr>
      <w:tr w:rsidR="00CB169C" w14:paraId="085AEF11" w14:textId="77777777" w:rsidTr="00B8431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1D6296CF" w14:textId="77777777" w:rsidR="00CB169C" w:rsidRDefault="00CB169C" w:rsidP="00B84314">
            <w:pPr>
              <w:pStyle w:val="TOC4"/>
              <w:rPr>
                <w:rFonts w:eastAsia="Batang"/>
              </w:rPr>
            </w:pPr>
            <w:r>
              <w:rPr>
                <w:rFonts w:eastAsia="Batang"/>
              </w:rPr>
              <w:t>C2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A4043DC" w14:textId="77777777" w:rsidR="00CB169C" w:rsidRDefault="00CB169C" w:rsidP="00B84314">
            <w:pPr>
              <w:pStyle w:val="Caption"/>
              <w:rPr>
                <w:rFonts w:eastAsia="Batang"/>
              </w:rPr>
            </w:pPr>
            <w:r>
              <w:rPr>
                <w:rFonts w:eastAsia="Batang"/>
              </w:rPr>
              <w:t>139</w:t>
            </w:r>
          </w:p>
        </w:tc>
        <w:tc>
          <w:tcPr>
            <w:tcW w:w="707" w:type="dxa"/>
            <w:tcBorders>
              <w:top w:val="single" w:sz="4" w:space="0" w:color="auto"/>
              <w:left w:val="single" w:sz="4" w:space="0" w:color="auto"/>
              <w:bottom w:val="single" w:sz="4" w:space="0" w:color="auto"/>
              <w:right w:val="single" w:sz="4" w:space="0" w:color="auto"/>
            </w:tcBorders>
            <w:vAlign w:val="center"/>
            <w:hideMark/>
          </w:tcPr>
          <w:p w14:paraId="3E7845C2" w14:textId="77777777" w:rsidR="00CB169C" w:rsidRDefault="00CB169C" w:rsidP="00B84314">
            <w:pPr>
              <w:pStyle w:val="Caption"/>
            </w:pPr>
            <w:r>
              <w:rPr>
                <w:rFonts w:eastAsia="Batang"/>
              </w:rPr>
              <w:t>1151</w:t>
            </w:r>
          </w:p>
        </w:tc>
        <w:tc>
          <w:tcPr>
            <w:tcW w:w="705" w:type="dxa"/>
            <w:tcBorders>
              <w:top w:val="single" w:sz="4" w:space="0" w:color="auto"/>
              <w:left w:val="single" w:sz="4" w:space="0" w:color="auto"/>
              <w:bottom w:val="single" w:sz="4" w:space="0" w:color="auto"/>
              <w:right w:val="single" w:sz="4" w:space="0" w:color="auto"/>
            </w:tcBorders>
            <w:vAlign w:val="center"/>
            <w:hideMark/>
          </w:tcPr>
          <w:p w14:paraId="27190077" w14:textId="77777777" w:rsidR="00CB169C" w:rsidRDefault="00CB169C" w:rsidP="00B84314">
            <w:pPr>
              <w:pStyle w:val="Caption"/>
            </w:pPr>
            <w:r>
              <w:rPr>
                <w:rFonts w:eastAsia="Batang"/>
              </w:rPr>
              <w:t>571</w:t>
            </w:r>
          </w:p>
        </w:tc>
        <w:tc>
          <w:tcPr>
            <w:tcW w:w="1829" w:type="dxa"/>
            <w:tcBorders>
              <w:top w:val="single" w:sz="4" w:space="0" w:color="auto"/>
              <w:left w:val="single" w:sz="4" w:space="0" w:color="auto"/>
              <w:bottom w:val="single" w:sz="4" w:space="0" w:color="auto"/>
              <w:right w:val="single" w:sz="4" w:space="0" w:color="auto"/>
            </w:tcBorders>
            <w:vAlign w:val="center"/>
            <w:hideMark/>
          </w:tcPr>
          <w:p w14:paraId="053398AB" w14:textId="77777777" w:rsidR="00CB169C" w:rsidRDefault="00CB169C" w:rsidP="00B84314">
            <w:pPr>
              <w:pStyle w:val="Caption"/>
            </w:pPr>
            <w:r>
              <w:rPr>
                <w:position w:val="-6"/>
              </w:rPr>
              <w:object w:dxaOrig="1005" w:dyaOrig="285" w14:anchorId="73F0D7FB">
                <v:shape id="_x0000_i1053" type="#_x0000_t75" style="width:50.5pt;height:14.5pt" o:ole="">
                  <v:imagedata r:id="rId21" o:title=""/>
                </v:shape>
                <o:OLEObject Type="Embed" ProgID="Equation.3" ShapeID="_x0000_i1053" DrawAspect="Content" ObjectID="_1721654316" r:id="rId62"/>
              </w:object>
            </w:r>
          </w:p>
        </w:tc>
        <w:tc>
          <w:tcPr>
            <w:tcW w:w="1507" w:type="dxa"/>
            <w:tcBorders>
              <w:top w:val="single" w:sz="4" w:space="0" w:color="auto"/>
              <w:left w:val="single" w:sz="4" w:space="0" w:color="auto"/>
              <w:bottom w:val="single" w:sz="4" w:space="0" w:color="auto"/>
              <w:right w:val="single" w:sz="4" w:space="0" w:color="auto"/>
            </w:tcBorders>
            <w:vAlign w:val="center"/>
            <w:hideMark/>
          </w:tcPr>
          <w:p w14:paraId="27749DE2" w14:textId="77777777" w:rsidR="00CB169C" w:rsidRDefault="00CB169C" w:rsidP="00B84314">
            <w:pPr>
              <w:pStyle w:val="Caption"/>
              <w:rPr>
                <w:rFonts w:eastAsia="Batang"/>
              </w:rPr>
            </w:pPr>
            <w:r>
              <w:rPr>
                <w:rFonts w:eastAsia="Batang"/>
                <w:position w:val="-6"/>
              </w:rPr>
              <w:object w:dxaOrig="1155" w:dyaOrig="285" w14:anchorId="799ABA08">
                <v:shape id="_x0000_i1054" type="#_x0000_t75" style="width:57.5pt;height:14.5pt" o:ole="">
                  <v:imagedata r:id="rId28" o:title=""/>
                </v:shape>
                <o:OLEObject Type="Embed" ProgID="Equation.3" ShapeID="_x0000_i1054" DrawAspect="Content" ObjectID="_1721654317" r:id="rId63"/>
              </w:object>
            </w:r>
          </w:p>
        </w:tc>
        <w:tc>
          <w:tcPr>
            <w:tcW w:w="1294" w:type="dxa"/>
            <w:tcBorders>
              <w:top w:val="single" w:sz="4" w:space="0" w:color="auto"/>
              <w:left w:val="single" w:sz="4" w:space="0" w:color="auto"/>
              <w:bottom w:val="single" w:sz="4" w:space="0" w:color="auto"/>
              <w:right w:val="single" w:sz="4" w:space="0" w:color="auto"/>
            </w:tcBorders>
            <w:vAlign w:val="center"/>
            <w:hideMark/>
          </w:tcPr>
          <w:p w14:paraId="3FD99EB3" w14:textId="77777777" w:rsidR="00CB169C" w:rsidRDefault="00CB169C" w:rsidP="00B84314">
            <w:pPr>
              <w:pStyle w:val="Caption"/>
              <w:rPr>
                <w:rFonts w:eastAsia="Batang"/>
              </w:rPr>
            </w:pPr>
            <w:r>
              <w:rPr>
                <w:rFonts w:eastAsia="Batang"/>
                <w:position w:val="-6"/>
              </w:rPr>
              <w:object w:dxaOrig="1005" w:dyaOrig="285" w14:anchorId="3FDFBCDE">
                <v:shape id="_x0000_i1055" type="#_x0000_t75" style="width:50.5pt;height:14.5pt" o:ole="">
                  <v:imagedata r:id="rId64" o:title=""/>
                </v:shape>
                <o:OLEObject Type="Embed" ProgID="Equation.3" ShapeID="_x0000_i1055" DrawAspect="Content" ObjectID="_1721654318" r:id="rId65"/>
              </w:object>
            </w:r>
          </w:p>
        </w:tc>
        <w:tc>
          <w:tcPr>
            <w:tcW w:w="1331" w:type="dxa"/>
            <w:tcBorders>
              <w:top w:val="single" w:sz="4" w:space="0" w:color="auto"/>
              <w:left w:val="single" w:sz="4" w:space="0" w:color="auto"/>
              <w:bottom w:val="single" w:sz="4" w:space="0" w:color="auto"/>
              <w:right w:val="single" w:sz="4" w:space="0" w:color="auto"/>
            </w:tcBorders>
            <w:vAlign w:val="center"/>
          </w:tcPr>
          <w:p w14:paraId="1AAA0A54" w14:textId="77777777" w:rsidR="00CB169C" w:rsidRDefault="00CB169C" w:rsidP="00B84314">
            <w:pPr>
              <w:pStyle w:val="TOC4"/>
              <w:rPr>
                <w:rFonts w:eastAsia="Batang"/>
              </w:rPr>
            </w:pPr>
          </w:p>
        </w:tc>
        <w:bookmarkEnd w:id="4"/>
      </w:tr>
    </w:tbl>
    <w:p w14:paraId="23921BA5" w14:textId="77777777" w:rsidR="00CB169C" w:rsidRDefault="00CB169C" w:rsidP="00CB169C">
      <w:pPr>
        <w:tabs>
          <w:tab w:val="left" w:pos="5387"/>
        </w:tabs>
        <w:jc w:val="both"/>
        <w:rPr>
          <w:lang w:val="en-US" w:eastAsia="zh-CN"/>
        </w:rPr>
      </w:pPr>
    </w:p>
    <w:p w14:paraId="373B52D2" w14:textId="77777777" w:rsidR="00CB169C" w:rsidRDefault="00CB169C" w:rsidP="00CB169C">
      <w:pPr>
        <w:tabs>
          <w:tab w:val="left" w:pos="5387"/>
        </w:tabs>
        <w:jc w:val="both"/>
        <w:rPr>
          <w:lang w:val="en-US" w:eastAsia="zh-CN"/>
        </w:rPr>
      </w:pPr>
      <w:r>
        <w:rPr>
          <w:lang w:val="en-US" w:eastAsia="zh-CN"/>
        </w:rPr>
        <w:t>The following is visible regarding the design of NR RACH preambles:</w:t>
      </w:r>
    </w:p>
    <w:p w14:paraId="79E51FDF" w14:textId="11C82EA5" w:rsidR="00CB169C" w:rsidRPr="006837B9" w:rsidRDefault="00CB169C" w:rsidP="00AB19DF">
      <w:pPr>
        <w:pStyle w:val="Header"/>
        <w:numPr>
          <w:ilvl w:val="0"/>
          <w:numId w:val="17"/>
        </w:numPr>
        <w:rPr>
          <w:rFonts w:asciiTheme="minorHAnsi" w:hAnsiTheme="minorHAnsi" w:cstheme="minorHAnsi"/>
          <w:b w:val="0"/>
          <w:bCs w:val="0"/>
          <w:sz w:val="22"/>
          <w:szCs w:val="22"/>
        </w:rPr>
      </w:pPr>
      <w:r w:rsidRPr="006837B9">
        <w:rPr>
          <w:rFonts w:asciiTheme="minorHAnsi" w:hAnsiTheme="minorHAnsi" w:cstheme="minorHAnsi"/>
          <w:b w:val="0"/>
          <w:bCs w:val="0"/>
          <w:sz w:val="22"/>
          <w:szCs w:val="22"/>
        </w:rPr>
        <w:t xml:space="preserve">If the subcarrier spacing of PRACH preamble is 1.25 or 5 kHz then </w:t>
      </w:r>
      <w:bookmarkStart w:id="5" w:name="_Hlk109743148"/>
      <w:r w:rsidRPr="006837B9">
        <w:rPr>
          <w:rFonts w:asciiTheme="minorHAnsi" w:hAnsiTheme="minorHAnsi" w:cstheme="minorHAnsi"/>
          <w:b w:val="0"/>
          <w:bCs w:val="0"/>
          <w:sz w:val="22"/>
          <w:szCs w:val="22"/>
        </w:rPr>
        <w:t>a long sequence (</w:t>
      </w:r>
      <m:oMath>
        <m:r>
          <m:rPr>
            <m:sty m:val="bi"/>
          </m:rPr>
          <w:rPr>
            <w:rFonts w:ascii="Cambria Math" w:hAnsi="Cambria Math" w:cstheme="minorHAnsi"/>
            <w:sz w:val="22"/>
            <w:szCs w:val="22"/>
          </w:rPr>
          <m:t>L_RA</m:t>
        </m:r>
      </m:oMath>
      <w:r w:rsidRPr="006837B9">
        <w:rPr>
          <w:rFonts w:asciiTheme="minorHAnsi" w:hAnsiTheme="minorHAnsi" w:cstheme="minorHAnsi"/>
          <w:b w:val="0"/>
          <w:bCs w:val="0"/>
          <w:sz w:val="22"/>
          <w:szCs w:val="22"/>
        </w:rPr>
        <w:t xml:space="preserve">) </w:t>
      </w:r>
      <w:bookmarkEnd w:id="5"/>
      <w:r w:rsidRPr="006837B9">
        <w:rPr>
          <w:rFonts w:asciiTheme="minorHAnsi" w:hAnsiTheme="minorHAnsi" w:cstheme="minorHAnsi"/>
          <w:b w:val="0"/>
          <w:bCs w:val="0"/>
          <w:sz w:val="22"/>
          <w:szCs w:val="22"/>
        </w:rPr>
        <w:t xml:space="preserve">is used. These sequences can be used for cells up to 100 km, if the guard period of the PRACH is long enough for FR1, but are sensitive to high Doppler. We can only handle Doppler much lower than </w:t>
      </w:r>
      <m:oMath>
        <m:r>
          <m:rPr>
            <m:sty m:val="bi"/>
          </m:rPr>
          <w:rPr>
            <w:rFonts w:ascii="Cambria Math" w:hAnsi="Cambria Math" w:cstheme="minorHAnsi"/>
            <w:sz w:val="22"/>
            <w:szCs w:val="22"/>
          </w:rPr>
          <m:t>∆f_D</m:t>
        </m:r>
      </m:oMath>
      <w:r w:rsidRPr="006837B9">
        <w:rPr>
          <w:rFonts w:asciiTheme="minorHAnsi" w:hAnsiTheme="minorHAnsi" w:cstheme="minorHAnsi"/>
          <w:b w:val="0"/>
          <w:bCs w:val="0"/>
          <w:sz w:val="22"/>
          <w:szCs w:val="22"/>
        </w:rPr>
        <w:t xml:space="preserve"> ≈ 5.6 kHz and </w:t>
      </w:r>
      <m:oMath>
        <m:r>
          <m:rPr>
            <m:sty m:val="bi"/>
          </m:rPr>
          <w:rPr>
            <w:rFonts w:ascii="Cambria Math" w:hAnsi="Cambria Math" w:cstheme="minorHAnsi"/>
            <w:sz w:val="22"/>
            <w:szCs w:val="22"/>
          </w:rPr>
          <m:t>∆f_(D</m:t>
        </m:r>
        <m:r>
          <m:rPr>
            <m:sty m:val="bi"/>
          </m:rPr>
          <w:rPr>
            <w:rFonts w:ascii="Cambria Math" w:eastAsia="Times New Roman" w:hAnsi="Cambria Math" w:cstheme="minorHAnsi"/>
            <w:sz w:val="22"/>
            <w:szCs w:val="22"/>
          </w:rPr>
          <m:t>_</m:t>
        </m:r>
        <m:r>
          <m:rPr>
            <m:sty m:val="bi"/>
          </m:rPr>
          <w:rPr>
            <w:rFonts w:ascii="Cambria Math" w:hAnsi="Cambria Math" w:cstheme="minorHAnsi"/>
            <w:sz w:val="22"/>
            <w:szCs w:val="22"/>
          </w:rPr>
          <m:t>UL )</m:t>
        </m:r>
      </m:oMath>
      <w:r w:rsidRPr="006837B9">
        <w:rPr>
          <w:rFonts w:asciiTheme="minorHAnsi" w:hAnsiTheme="minorHAnsi" w:cstheme="minorHAnsi"/>
          <w:b w:val="0"/>
          <w:bCs w:val="0"/>
          <w:sz w:val="22"/>
          <w:szCs w:val="22"/>
        </w:rPr>
        <w:t xml:space="preserve"> ≈ 11.6 kHz, which are probable minimum requirement for ATG UE and ATG BS, to cover, at least, example bands. </w:t>
      </w:r>
      <w:r w:rsidRPr="006837B9">
        <w:rPr>
          <w:rFonts w:asciiTheme="minorHAnsi" w:hAnsiTheme="minorHAnsi" w:cstheme="minorHAnsi"/>
          <w:b w:val="0"/>
          <w:bCs w:val="0"/>
          <w:sz w:val="22"/>
          <w:szCs w:val="22"/>
        </w:rPr>
        <w:br/>
        <w:t xml:space="preserve">   Type A and Type B Restricted Sets are specified for use with long PRACH preambles to handle higher Doppler, but you do not get the range. For example, Format 0 and Format 1 limits to 33 km for Restricted Set A and 19 km for restricted set B and maximum Doppler for these sets are currently specified to 2334 Hz [3, section 8.4.2].</w:t>
      </w:r>
    </w:p>
    <w:p w14:paraId="6604A931" w14:textId="448925EA" w:rsidR="00CB169C" w:rsidRPr="006837B9" w:rsidRDefault="00CB169C" w:rsidP="00F13E27">
      <w:pPr>
        <w:pStyle w:val="Header"/>
        <w:numPr>
          <w:ilvl w:val="0"/>
          <w:numId w:val="17"/>
        </w:numPr>
        <w:rPr>
          <w:rFonts w:asciiTheme="minorHAnsi" w:hAnsiTheme="minorHAnsi" w:cstheme="minorHAnsi"/>
          <w:b w:val="0"/>
          <w:bCs w:val="0"/>
          <w:sz w:val="22"/>
          <w:szCs w:val="22"/>
        </w:rPr>
      </w:pPr>
      <w:r w:rsidRPr="006837B9">
        <w:rPr>
          <w:rFonts w:asciiTheme="minorHAnsi" w:hAnsiTheme="minorHAnsi" w:cstheme="minorHAnsi"/>
          <w:b w:val="0"/>
          <w:bCs w:val="0"/>
          <w:sz w:val="22"/>
          <w:szCs w:val="22"/>
        </w:rPr>
        <w:t xml:space="preserve">In a short sequence PRACH preamble then we can tolerate high Doppler since SCS = 15, 30, 60, 120 and 240 kHz, but we do not get the range, since </w:t>
      </w:r>
      <m:oMath>
        <m:r>
          <m:rPr>
            <m:sty m:val="bi"/>
          </m:rPr>
          <w:rPr>
            <w:rFonts w:ascii="Cambria Math" w:hAnsi="Cambria Math" w:cstheme="minorHAnsi"/>
            <w:sz w:val="22"/>
            <w:szCs w:val="22"/>
          </w:rPr>
          <m:t>T_SEQ</m:t>
        </m:r>
      </m:oMath>
      <w:r w:rsidRPr="006837B9">
        <w:rPr>
          <w:rFonts w:asciiTheme="minorHAnsi" w:hAnsiTheme="minorHAnsi" w:cstheme="minorHAnsi"/>
          <w:b w:val="0"/>
          <w:bCs w:val="0"/>
          <w:sz w:val="22"/>
          <w:szCs w:val="22"/>
        </w:rPr>
        <w:t xml:space="preserve"> is small, only </w:t>
      </w:r>
      <m:oMath>
        <m:r>
          <m:rPr>
            <m:sty m:val="bi"/>
          </m:rPr>
          <w:rPr>
            <w:rFonts w:ascii="Cambria Math" w:eastAsia="Batang" w:hAnsi="Cambria Math" w:cstheme="minorHAnsi"/>
            <w:sz w:val="22"/>
            <w:szCs w:val="22"/>
          </w:rPr>
          <m:t>2048κ</m:t>
        </m:r>
      </m:oMath>
      <w:r w:rsidRPr="006837B9">
        <w:rPr>
          <w:rFonts w:asciiTheme="minorHAnsi" w:hAnsiTheme="minorHAnsi" w:cstheme="minorHAnsi"/>
          <w:b w:val="0"/>
          <w:bCs w:val="0"/>
          <w:sz w:val="22"/>
          <w:szCs w:val="22"/>
        </w:rPr>
        <w:t xml:space="preserve">, which becomes 10 km for </w:t>
      </w:r>
      <m:oMath>
        <m:r>
          <m:rPr>
            <m:sty m:val="bi"/>
          </m:rPr>
          <w:rPr>
            <w:rFonts w:ascii="Cambria Math" w:hAnsi="Cambria Math" w:cstheme="minorHAnsi"/>
            <w:sz w:val="22"/>
            <w:szCs w:val="22"/>
          </w:rPr>
          <m:t>∆f_RA</m:t>
        </m:r>
      </m:oMath>
      <w:r w:rsidRPr="006837B9">
        <w:rPr>
          <w:rFonts w:asciiTheme="minorHAnsi" w:hAnsiTheme="minorHAnsi" w:cstheme="minorHAnsi"/>
          <w:b w:val="0"/>
          <w:bCs w:val="0"/>
          <w:sz w:val="22"/>
          <w:szCs w:val="22"/>
        </w:rPr>
        <w:t xml:space="preserve"> = 15 kHz and 5 km for </w:t>
      </w:r>
      <m:oMath>
        <m:r>
          <m:rPr>
            <m:sty m:val="bi"/>
          </m:rPr>
          <w:rPr>
            <w:rFonts w:ascii="Cambria Math" w:hAnsi="Cambria Math" w:cstheme="minorHAnsi"/>
            <w:sz w:val="22"/>
            <w:szCs w:val="22"/>
          </w:rPr>
          <m:t>∆f_RA</m:t>
        </m:r>
      </m:oMath>
      <w:r w:rsidRPr="006837B9">
        <w:rPr>
          <w:rFonts w:asciiTheme="minorHAnsi" w:hAnsiTheme="minorHAnsi" w:cstheme="minorHAnsi"/>
          <w:b w:val="0"/>
          <w:bCs w:val="0"/>
          <w:sz w:val="22"/>
          <w:szCs w:val="22"/>
        </w:rPr>
        <w:t xml:space="preserve"> = 30 kHz, etc.</w:t>
      </w:r>
    </w:p>
    <w:p w14:paraId="5A91CAAD" w14:textId="77777777" w:rsidR="00F13E27" w:rsidRDefault="00F13E27" w:rsidP="00F13E27">
      <w:pPr>
        <w:pStyle w:val="Header"/>
        <w:ind w:left="720"/>
      </w:pPr>
    </w:p>
    <w:p w14:paraId="5BDBAE51" w14:textId="4BA90AE9" w:rsidR="00CB169C" w:rsidRDefault="00CB169C" w:rsidP="00CB169C">
      <w:r w:rsidRPr="00C70E3A">
        <w:rPr>
          <w:b/>
          <w:bCs/>
          <w:lang w:val="en-US"/>
        </w:rPr>
        <w:t xml:space="preserve">Observation </w:t>
      </w:r>
      <w:r w:rsidR="00DF5BFA">
        <w:rPr>
          <w:b/>
          <w:bCs/>
          <w:lang w:val="en-US"/>
        </w:rPr>
        <w:t>6</w:t>
      </w:r>
      <w:r w:rsidRPr="00C70E3A">
        <w:rPr>
          <w:b/>
          <w:bCs/>
          <w:lang w:val="en-US"/>
        </w:rPr>
        <w:t>:</w:t>
      </w:r>
      <w:r>
        <w:rPr>
          <w:b/>
          <w:bCs/>
          <w:lang w:val="en-US"/>
        </w:rPr>
        <w:t xml:space="preserve"> </w:t>
      </w:r>
      <w:r w:rsidRPr="00C70E3A">
        <w:rPr>
          <w:b/>
          <w:bCs/>
          <w:lang w:val="en-US"/>
        </w:rPr>
        <w:t xml:space="preserve"> </w:t>
      </w:r>
      <w:r w:rsidRPr="00683D82">
        <w:rPr>
          <w:b/>
          <w:bCs/>
          <w:lang w:val="en-US"/>
        </w:rPr>
        <w:t>There is a fundamental tradeoff between cell range and ability to suppress Doppler frequency in a TN network</w:t>
      </w:r>
      <w:r>
        <w:rPr>
          <w:b/>
          <w:bCs/>
          <w:lang w:val="en-US"/>
        </w:rPr>
        <w:t>.</w:t>
      </w:r>
    </w:p>
    <w:p w14:paraId="15BB3A63" w14:textId="77777777" w:rsidR="00CB169C" w:rsidRDefault="00CB169C" w:rsidP="00CB169C">
      <w:r>
        <w:t xml:space="preserve">A </w:t>
      </w:r>
      <w:r w:rsidRPr="00783D64">
        <w:t xml:space="preserve">long sequence </w:t>
      </w:r>
      <w:r>
        <w:t xml:space="preserve">is closer to meet the ATG requirement of up to 300 km cell range but can only reach around 100 km and handle Doppler corresponding to a UE speed of up to 300 km/h. </w:t>
      </w:r>
    </w:p>
    <w:p w14:paraId="4ABB9D17" w14:textId="3BB25FF8" w:rsidR="00CB169C" w:rsidRDefault="00CB169C" w:rsidP="00CB169C">
      <w:r w:rsidRPr="00C70E3A">
        <w:rPr>
          <w:b/>
          <w:bCs/>
          <w:lang w:val="en-US"/>
        </w:rPr>
        <w:t xml:space="preserve">Observation </w:t>
      </w:r>
      <w:r w:rsidR="00DF5BFA">
        <w:rPr>
          <w:b/>
          <w:bCs/>
          <w:lang w:val="en-US"/>
        </w:rPr>
        <w:t>7</w:t>
      </w:r>
      <w:r w:rsidRPr="00C70E3A">
        <w:rPr>
          <w:b/>
          <w:bCs/>
          <w:lang w:val="en-US"/>
        </w:rPr>
        <w:t>:</w:t>
      </w:r>
      <w:r>
        <w:rPr>
          <w:b/>
          <w:bCs/>
          <w:lang w:val="en-US"/>
        </w:rPr>
        <w:t xml:space="preserve"> </w:t>
      </w:r>
      <w:r w:rsidRPr="00C70E3A">
        <w:rPr>
          <w:b/>
          <w:bCs/>
          <w:lang w:val="en-US"/>
        </w:rPr>
        <w:t xml:space="preserve"> </w:t>
      </w:r>
      <w:r w:rsidRPr="00683D82">
        <w:rPr>
          <w:b/>
          <w:bCs/>
        </w:rPr>
        <w:t xml:space="preserve">A long sequence is closer to meet the ATG requirement of up to 300 km cell range but can only reach around 100 km and handle ordinary Doppler </w:t>
      </w:r>
      <w:r>
        <w:rPr>
          <w:b/>
          <w:bCs/>
        </w:rPr>
        <w:t xml:space="preserve">corresponding to UE speed of </w:t>
      </w:r>
      <w:r w:rsidRPr="00683D82">
        <w:rPr>
          <w:b/>
          <w:bCs/>
        </w:rPr>
        <w:t>up to 300 km/h</w:t>
      </w:r>
      <w:r>
        <w:rPr>
          <w:b/>
          <w:bCs/>
        </w:rPr>
        <w:t xml:space="preserve"> or 500 km/h with Restricted Sets</w:t>
      </w:r>
      <w:r w:rsidRPr="00683D82">
        <w:rPr>
          <w:b/>
          <w:bCs/>
        </w:rPr>
        <w:t>. A short sequence can handle the Doppler of ATG but not the range.</w:t>
      </w:r>
      <w:r>
        <w:t xml:space="preserve"> </w:t>
      </w:r>
    </w:p>
    <w:p w14:paraId="1A864CE1" w14:textId="0282B41E" w:rsidR="00CB169C" w:rsidRPr="00754AD8" w:rsidRDefault="00CB169C" w:rsidP="00CB169C">
      <w:pPr>
        <w:rPr>
          <w:b/>
          <w:bCs/>
        </w:rPr>
      </w:pPr>
      <w:r w:rsidRPr="00754AD8">
        <w:rPr>
          <w:b/>
          <w:bCs/>
        </w:rPr>
        <w:t>Proposal 2</w:t>
      </w:r>
      <w:r w:rsidR="00617A74">
        <w:rPr>
          <w:b/>
          <w:bCs/>
          <w:lang w:val="en-US"/>
        </w:rPr>
        <w:t>6</w:t>
      </w:r>
      <w:r>
        <w:rPr>
          <w:b/>
          <w:bCs/>
        </w:rPr>
        <w:t xml:space="preserve">: </w:t>
      </w:r>
      <w:r>
        <w:rPr>
          <w:b/>
          <w:bCs/>
          <w:kern w:val="2"/>
          <w:lang w:val="en-US" w:eastAsia="zh-CN"/>
        </w:rPr>
        <w:t xml:space="preserve">Clarify maximum range in ATG given the capabilities of existing releases up to and including release 17. </w:t>
      </w:r>
    </w:p>
    <w:p w14:paraId="2D401F31" w14:textId="7D9A9FC1" w:rsidR="00CB169C" w:rsidRDefault="00CB169C" w:rsidP="00CB169C">
      <w:pPr>
        <w:pStyle w:val="Heading3"/>
        <w:rPr>
          <w:lang w:val="en-US"/>
        </w:rPr>
      </w:pPr>
      <w:r>
        <w:lastRenderedPageBreak/>
        <w:t xml:space="preserve">TDD Guard Period for </w:t>
      </w:r>
      <w:r>
        <w:rPr>
          <w:lang w:val="en-US"/>
        </w:rPr>
        <w:t>Terrestrial Networks</w:t>
      </w:r>
    </w:p>
    <w:p w14:paraId="0FF97145" w14:textId="77777777" w:rsidR="00CB169C" w:rsidRDefault="00CB169C" w:rsidP="00CB169C">
      <w:pPr>
        <w:rPr>
          <w:lang w:val="en-US" w:eastAsia="zh-CN"/>
        </w:rPr>
      </w:pPr>
      <w:r>
        <w:rPr>
          <w:lang w:val="en-US" w:eastAsia="zh-CN"/>
        </w:rPr>
        <w:t xml:space="preserve">The guard period of a TDD system must fit all the timing uncertainties like Cell Phase Sync (3 µs) and RF transients (10 or 5 µs), but the dimensioning factor in this case is that we need to fit the propagation time of the cell range as well. In [4] we derive that the guard period, </w:t>
      </w:r>
      <m:oMath>
        <m:r>
          <w:rPr>
            <w:rFonts w:ascii="Cambria Math" w:hAnsi="Cambria Math"/>
            <w:lang w:val="en-US" w:eastAsia="zh-CN"/>
          </w:rPr>
          <m:t>T_Guard</m:t>
        </m:r>
      </m:oMath>
      <w:r>
        <w:rPr>
          <w:lang w:val="en-US" w:eastAsia="zh-CN"/>
        </w:rPr>
        <w:t>, becomes:</w:t>
      </w:r>
    </w:p>
    <w:p w14:paraId="6F7B2F11" w14:textId="77777777" w:rsidR="00CB169C" w:rsidRDefault="00CB169C" w:rsidP="00CB169C">
      <w:pPr>
        <w:keepLines/>
        <w:tabs>
          <w:tab w:val="left" w:pos="2552"/>
          <w:tab w:val="left" w:pos="3856"/>
          <w:tab w:val="left" w:pos="5216"/>
          <w:tab w:val="left" w:pos="6464"/>
          <w:tab w:val="left" w:pos="7768"/>
          <w:tab w:val="left" w:pos="9072"/>
          <w:tab w:val="left" w:pos="9639"/>
        </w:tabs>
        <w:spacing w:before="240" w:after="0"/>
        <w:rPr>
          <w:rFonts w:cs="Arial"/>
          <w:spacing w:val="2"/>
          <w:lang w:val="en-US"/>
        </w:rPr>
      </w:pPr>
      <w:r>
        <w:rPr>
          <w:lang w:val="en-US"/>
        </w:rPr>
        <w:t xml:space="preserve">    </w:t>
      </w:r>
      <w:proofErr w:type="spellStart"/>
      <w:r>
        <w:rPr>
          <w:lang w:val="en-US"/>
        </w:rPr>
        <w:t>T</w:t>
      </w:r>
      <w:r>
        <w:rPr>
          <w:vertAlign w:val="subscript"/>
          <w:lang w:val="en-US"/>
        </w:rPr>
        <w:t>Guard</w:t>
      </w:r>
      <w:proofErr w:type="spellEnd"/>
      <w:r>
        <w:rPr>
          <w:vertAlign w:val="subscript"/>
          <w:lang w:val="en-US"/>
        </w:rPr>
        <w:t xml:space="preserve"> </w:t>
      </w:r>
      <w:r>
        <w:rPr>
          <w:rFonts w:cs="Arial"/>
          <w:lang w:val="en-US"/>
        </w:rPr>
        <w:t>≥ 2*</w:t>
      </w:r>
      <w:r>
        <w:rPr>
          <w:rFonts w:cs="Arial"/>
          <w:spacing w:val="2"/>
          <w:lang w:val="en-US"/>
        </w:rPr>
        <w:t xml:space="preserve"> </w:t>
      </w:r>
      <w:proofErr w:type="spellStart"/>
      <w:r>
        <w:rPr>
          <w:rFonts w:cs="Arial"/>
          <w:spacing w:val="2"/>
          <w:lang w:val="en-US"/>
        </w:rPr>
        <w:t>T</w:t>
      </w:r>
      <w:r>
        <w:rPr>
          <w:rFonts w:cs="Arial"/>
          <w:spacing w:val="2"/>
          <w:vertAlign w:val="subscript"/>
          <w:lang w:val="en-US"/>
        </w:rPr>
        <w:t>Sync</w:t>
      </w:r>
      <w:proofErr w:type="spellEnd"/>
      <w:r>
        <w:rPr>
          <w:rFonts w:cs="Arial"/>
          <w:lang w:val="en-US"/>
        </w:rPr>
        <w:t xml:space="preserve"> + </w:t>
      </w:r>
      <w:r>
        <w:rPr>
          <w:rFonts w:cs="Arial"/>
          <w:spacing w:val="2"/>
          <w:lang w:val="en-US"/>
        </w:rPr>
        <w:t>2*</w:t>
      </w:r>
      <w:proofErr w:type="spellStart"/>
      <w:r>
        <w:rPr>
          <w:rFonts w:cs="Arial"/>
          <w:spacing w:val="2"/>
          <w:lang w:val="en-US"/>
        </w:rPr>
        <w:t>T</w:t>
      </w:r>
      <w:r>
        <w:rPr>
          <w:rFonts w:cs="Arial"/>
          <w:spacing w:val="2"/>
          <w:vertAlign w:val="subscript"/>
          <w:lang w:val="en-US"/>
        </w:rPr>
        <w:t>prop_cell</w:t>
      </w:r>
      <w:proofErr w:type="spellEnd"/>
      <w:r>
        <w:rPr>
          <w:rFonts w:cs="Arial"/>
          <w:spacing w:val="2"/>
          <w:vertAlign w:val="subscript"/>
          <w:lang w:val="en-US"/>
        </w:rPr>
        <w:t xml:space="preserve"> edge</w:t>
      </w:r>
      <w:r>
        <w:rPr>
          <w:rFonts w:cs="Arial"/>
          <w:lang w:val="en-US"/>
        </w:rPr>
        <w:t xml:space="preserve"> +</w:t>
      </w:r>
      <w:r>
        <w:rPr>
          <w:rFonts w:cs="Arial"/>
          <w:spacing w:val="2"/>
          <w:lang w:val="en-US"/>
        </w:rPr>
        <w:t>max ((T</w:t>
      </w:r>
      <w:r>
        <w:rPr>
          <w:rFonts w:cs="Arial"/>
          <w:spacing w:val="2"/>
          <w:vertAlign w:val="subscript"/>
          <w:lang w:val="en-US"/>
        </w:rPr>
        <w:t>BS on</w:t>
      </w:r>
      <w:r>
        <w:rPr>
          <w:vertAlign w:val="subscript"/>
          <w:lang w:val="en-US"/>
        </w:rPr>
        <w:sym w:font="Wingdings" w:char="F0E8"/>
      </w:r>
      <w:r>
        <w:rPr>
          <w:rFonts w:cs="Arial"/>
          <w:spacing w:val="2"/>
          <w:vertAlign w:val="subscript"/>
          <w:lang w:val="en-US"/>
        </w:rPr>
        <w:t xml:space="preserve"> off</w:t>
      </w:r>
      <w:r>
        <w:rPr>
          <w:rFonts w:cs="Arial"/>
          <w:spacing w:val="2"/>
          <w:lang w:val="en-US"/>
        </w:rPr>
        <w:t>), (T</w:t>
      </w:r>
      <w:r>
        <w:rPr>
          <w:rFonts w:cs="Arial"/>
          <w:spacing w:val="2"/>
          <w:vertAlign w:val="subscript"/>
          <w:lang w:val="en-US"/>
        </w:rPr>
        <w:t>UE off</w:t>
      </w:r>
      <w:r>
        <w:rPr>
          <w:rFonts w:cs="Arial"/>
          <w:vertAlign w:val="subscript"/>
          <w:lang w:val="en-US"/>
        </w:rPr>
        <w:sym w:font="Wingdings" w:char="F0E8"/>
      </w:r>
      <w:r>
        <w:rPr>
          <w:rFonts w:cs="Arial"/>
          <w:spacing w:val="2"/>
          <w:vertAlign w:val="subscript"/>
          <w:lang w:val="en-US"/>
        </w:rPr>
        <w:t xml:space="preserve"> on</w:t>
      </w:r>
      <w:r>
        <w:rPr>
          <w:rFonts w:cs="Arial"/>
          <w:spacing w:val="2"/>
          <w:lang w:val="en-US"/>
        </w:rPr>
        <w:t>)) + max ((T</w:t>
      </w:r>
      <w:r>
        <w:rPr>
          <w:rFonts w:cs="Arial"/>
          <w:spacing w:val="2"/>
          <w:vertAlign w:val="subscript"/>
          <w:lang w:val="en-US"/>
        </w:rPr>
        <w:t>BS off</w:t>
      </w:r>
      <w:r>
        <w:rPr>
          <w:rFonts w:cs="Arial"/>
          <w:spacing w:val="2"/>
          <w:vertAlign w:val="subscript"/>
          <w:lang w:val="en-US"/>
        </w:rPr>
        <w:sym w:font="Wingdings" w:char="F0E8"/>
      </w:r>
      <w:r>
        <w:rPr>
          <w:rFonts w:cs="Arial"/>
          <w:spacing w:val="2"/>
          <w:vertAlign w:val="subscript"/>
          <w:lang w:val="en-US"/>
        </w:rPr>
        <w:t xml:space="preserve"> on</w:t>
      </w:r>
      <w:r>
        <w:rPr>
          <w:rFonts w:cs="Arial"/>
          <w:spacing w:val="2"/>
          <w:lang w:val="en-US"/>
        </w:rPr>
        <w:t>), (T</w:t>
      </w:r>
      <w:r>
        <w:rPr>
          <w:rFonts w:cs="Arial"/>
          <w:spacing w:val="2"/>
          <w:vertAlign w:val="subscript"/>
          <w:lang w:val="en-US"/>
        </w:rPr>
        <w:t>UE on</w:t>
      </w:r>
      <w:r>
        <w:rPr>
          <w:rFonts w:cs="Arial"/>
          <w:spacing w:val="2"/>
          <w:vertAlign w:val="subscript"/>
          <w:lang w:val="en-US"/>
        </w:rPr>
        <w:sym w:font="Wingdings" w:char="F0E8"/>
      </w:r>
      <w:r>
        <w:rPr>
          <w:rFonts w:cs="Arial"/>
          <w:spacing w:val="2"/>
          <w:vertAlign w:val="subscript"/>
          <w:lang w:val="en-US"/>
        </w:rPr>
        <w:t xml:space="preserve"> off</w:t>
      </w:r>
      <w:proofErr w:type="gramStart"/>
      <w:r>
        <w:rPr>
          <w:rFonts w:cs="Arial"/>
          <w:spacing w:val="2"/>
          <w:lang w:val="en-US"/>
        </w:rPr>
        <w:t xml:space="preserve">))   </w:t>
      </w:r>
      <w:proofErr w:type="gramEnd"/>
      <w:r>
        <w:rPr>
          <w:rFonts w:cs="Arial"/>
          <w:spacing w:val="2"/>
          <w:lang w:val="en-US"/>
        </w:rPr>
        <w:t>(5)</w:t>
      </w:r>
    </w:p>
    <w:p w14:paraId="63C9988F" w14:textId="77777777" w:rsidR="00CB169C" w:rsidRPr="00145D8B" w:rsidRDefault="00CB169C" w:rsidP="00CB169C">
      <w:pPr>
        <w:rPr>
          <w:rFonts w:cs="Arial"/>
          <w:lang w:val="en-US"/>
        </w:rPr>
      </w:pPr>
      <w:r>
        <w:rPr>
          <w:lang w:val="en-US" w:eastAsia="zh-CN"/>
        </w:rPr>
        <w:br/>
        <w:t xml:space="preserve">where </w:t>
      </w:r>
      <w:proofErr w:type="spellStart"/>
      <w:r>
        <w:rPr>
          <w:rFonts w:cs="Arial"/>
          <w:spacing w:val="2"/>
          <w:lang w:val="en-US"/>
        </w:rPr>
        <w:t>T</w:t>
      </w:r>
      <w:r>
        <w:rPr>
          <w:rFonts w:cs="Arial"/>
          <w:spacing w:val="2"/>
          <w:vertAlign w:val="subscript"/>
          <w:lang w:val="en-US"/>
        </w:rPr>
        <w:t>Sync</w:t>
      </w:r>
      <w:proofErr w:type="spellEnd"/>
      <w:r>
        <w:rPr>
          <w:rFonts w:cs="Arial"/>
          <w:spacing w:val="2"/>
          <w:vertAlign w:val="subscript"/>
          <w:lang w:val="en-US"/>
        </w:rPr>
        <w:t xml:space="preserve"> </w:t>
      </w:r>
      <w:r>
        <w:rPr>
          <w:rFonts w:cs="Arial"/>
          <w:spacing w:val="2"/>
          <w:lang w:val="en-US"/>
        </w:rPr>
        <w:t>is cell phase sync, T</w:t>
      </w:r>
      <w:r>
        <w:rPr>
          <w:rFonts w:cs="Arial"/>
          <w:spacing w:val="2"/>
          <w:vertAlign w:val="subscript"/>
          <w:lang w:val="en-US"/>
        </w:rPr>
        <w:t>BS</w:t>
      </w:r>
      <w:r>
        <w:rPr>
          <w:rFonts w:cs="Arial"/>
          <w:spacing w:val="2"/>
          <w:lang w:val="en-US"/>
        </w:rPr>
        <w:t xml:space="preserve"> and T</w:t>
      </w:r>
      <w:r>
        <w:rPr>
          <w:rFonts w:cs="Arial"/>
          <w:spacing w:val="2"/>
          <w:vertAlign w:val="subscript"/>
          <w:lang w:val="en-US"/>
        </w:rPr>
        <w:t xml:space="preserve">UE </w:t>
      </w:r>
      <w:r w:rsidRPr="00A20BCC">
        <w:rPr>
          <w:rFonts w:cs="Arial"/>
          <w:spacing w:val="2"/>
          <w:lang w:val="en-US"/>
        </w:rPr>
        <w:t>are the</w:t>
      </w:r>
      <w:r>
        <w:rPr>
          <w:rFonts w:cs="Arial"/>
          <w:spacing w:val="2"/>
          <w:vertAlign w:val="subscript"/>
          <w:lang w:val="en-US"/>
        </w:rPr>
        <w:t xml:space="preserve"> </w:t>
      </w:r>
      <w:r>
        <w:rPr>
          <w:rFonts w:cs="Arial"/>
          <w:spacing w:val="2"/>
          <w:lang w:val="en-US"/>
        </w:rPr>
        <w:t xml:space="preserve">RF transients and </w:t>
      </w:r>
      <w:bookmarkStart w:id="6" w:name="_Hlk109744793"/>
      <w:proofErr w:type="spellStart"/>
      <w:r>
        <w:rPr>
          <w:rFonts w:cs="Arial"/>
          <w:spacing w:val="2"/>
          <w:lang w:val="en-US"/>
        </w:rPr>
        <w:t>T</w:t>
      </w:r>
      <w:r>
        <w:rPr>
          <w:rFonts w:cs="Arial"/>
          <w:spacing w:val="2"/>
          <w:vertAlign w:val="subscript"/>
          <w:lang w:val="en-US"/>
        </w:rPr>
        <w:t>prop_cell</w:t>
      </w:r>
      <w:proofErr w:type="spellEnd"/>
      <w:r>
        <w:rPr>
          <w:rFonts w:cs="Arial"/>
          <w:spacing w:val="2"/>
          <w:vertAlign w:val="subscript"/>
          <w:lang w:val="en-US"/>
        </w:rPr>
        <w:t xml:space="preserve"> edge</w:t>
      </w:r>
      <w:r>
        <w:rPr>
          <w:rFonts w:cs="Arial"/>
          <w:lang w:val="en-US"/>
        </w:rPr>
        <w:t xml:space="preserve"> </w:t>
      </w:r>
      <w:bookmarkEnd w:id="6"/>
      <w:r>
        <w:rPr>
          <w:rFonts w:cs="Arial"/>
          <w:lang w:val="en-US"/>
        </w:rPr>
        <w:t xml:space="preserve">equals the travel time of the signal across the cell range. The term </w:t>
      </w:r>
      <w:proofErr w:type="spellStart"/>
      <w:r>
        <w:rPr>
          <w:rFonts w:cs="Arial"/>
          <w:spacing w:val="2"/>
          <w:lang w:val="en-US"/>
        </w:rPr>
        <w:t>T</w:t>
      </w:r>
      <w:r>
        <w:rPr>
          <w:rFonts w:cs="Arial"/>
          <w:spacing w:val="2"/>
          <w:vertAlign w:val="subscript"/>
          <w:lang w:val="en-US"/>
        </w:rPr>
        <w:t>prop_cell</w:t>
      </w:r>
      <w:proofErr w:type="spellEnd"/>
      <w:r>
        <w:rPr>
          <w:rFonts w:cs="Arial"/>
          <w:spacing w:val="2"/>
          <w:vertAlign w:val="subscript"/>
          <w:lang w:val="en-US"/>
        </w:rPr>
        <w:t xml:space="preserve"> edge</w:t>
      </w:r>
      <w:r>
        <w:rPr>
          <w:rFonts w:cs="Arial"/>
          <w:lang w:val="en-US"/>
        </w:rPr>
        <w:t xml:space="preserve"> = </w:t>
      </w:r>
      <m:oMath>
        <m:r>
          <w:rPr>
            <w:rFonts w:ascii="Cambria Math" w:hAnsi="Cambria Math" w:cs="Arial"/>
            <w:lang w:val="en-US"/>
          </w:rPr>
          <m:t>(300 km)⁄c</m:t>
        </m:r>
      </m:oMath>
      <w:r>
        <w:rPr>
          <w:rFonts w:cs="Arial"/>
          <w:lang w:val="en-US"/>
        </w:rPr>
        <w:t xml:space="preserve"> </w:t>
      </w:r>
      <w:r>
        <w:rPr>
          <w:lang w:val="en-US"/>
        </w:rPr>
        <w:t xml:space="preserve">= 1 </w:t>
      </w:r>
      <w:proofErr w:type="spellStart"/>
      <w:r>
        <w:rPr>
          <w:lang w:val="en-US"/>
        </w:rPr>
        <w:t>ms.</w:t>
      </w:r>
      <w:proofErr w:type="spellEnd"/>
      <w:r>
        <w:rPr>
          <w:lang w:val="en-US"/>
        </w:rPr>
        <w:t xml:space="preserve"> This is a full slot or several slots, even at SCS = 15 kHz depending on how far away the interference will reach (first ring of interferers, second ring etc.).</w:t>
      </w:r>
      <w:r>
        <w:rPr>
          <w:rFonts w:cs="Arial"/>
          <w:lang w:val="en-US"/>
        </w:rPr>
        <w:t xml:space="preserve"> However, the expression in (5) is only valid if there is overlapping coverage. The large ISD and beamforming might mitigate any issues with regards to </w:t>
      </w:r>
      <w:proofErr w:type="spellStart"/>
      <w:r>
        <w:rPr>
          <w:lang w:val="en-US"/>
        </w:rPr>
        <w:t>T</w:t>
      </w:r>
      <w:r>
        <w:rPr>
          <w:vertAlign w:val="subscript"/>
          <w:lang w:val="en-US"/>
        </w:rPr>
        <w:t>Guard</w:t>
      </w:r>
      <w:proofErr w:type="spellEnd"/>
      <w:r>
        <w:rPr>
          <w:lang w:val="en-US"/>
        </w:rPr>
        <w:t>.</w:t>
      </w:r>
    </w:p>
    <w:p w14:paraId="47EE89AE" w14:textId="5AE8DA61" w:rsidR="00CB169C" w:rsidRDefault="00CB169C" w:rsidP="00CB169C">
      <w:pPr>
        <w:rPr>
          <w:b/>
          <w:bCs/>
          <w:lang w:val="en-US"/>
        </w:rPr>
      </w:pPr>
      <w:r w:rsidRPr="00C70E3A">
        <w:rPr>
          <w:b/>
          <w:bCs/>
          <w:lang w:val="en-US"/>
        </w:rPr>
        <w:t xml:space="preserve">Observation </w:t>
      </w:r>
      <w:r w:rsidR="00DF5BFA">
        <w:rPr>
          <w:b/>
          <w:bCs/>
          <w:lang w:val="en-US"/>
        </w:rPr>
        <w:t>8</w:t>
      </w:r>
      <w:r w:rsidRPr="00C70E3A">
        <w:rPr>
          <w:b/>
          <w:bCs/>
          <w:lang w:val="en-US"/>
        </w:rPr>
        <w:t>:</w:t>
      </w:r>
      <w:r>
        <w:rPr>
          <w:b/>
          <w:bCs/>
          <w:lang w:val="en-US"/>
        </w:rPr>
        <w:t xml:space="preserve"> An ATG system needs a full slot or even several slots of GP, however t</w:t>
      </w:r>
      <w:r w:rsidRPr="009A068D">
        <w:rPr>
          <w:b/>
          <w:bCs/>
          <w:lang w:val="en-US"/>
        </w:rPr>
        <w:t xml:space="preserve">he large ISD and beamforming might mitigate any issues with regards to </w:t>
      </w:r>
      <w:r>
        <w:rPr>
          <w:b/>
          <w:bCs/>
          <w:lang w:val="en-US"/>
        </w:rPr>
        <w:t xml:space="preserve">GP for TDD. </w:t>
      </w:r>
      <w:r w:rsidRPr="00C70E3A">
        <w:rPr>
          <w:b/>
          <w:bCs/>
          <w:lang w:val="en-US"/>
        </w:rPr>
        <w:t xml:space="preserve"> </w:t>
      </w:r>
    </w:p>
    <w:p w14:paraId="2524A8FC" w14:textId="59192DB4" w:rsidR="00CB169C" w:rsidRPr="00A20BCC" w:rsidRDefault="00CB169C" w:rsidP="00CB169C">
      <w:pPr>
        <w:rPr>
          <w:lang w:val="en-US" w:eastAsia="zh-CN"/>
        </w:rPr>
      </w:pPr>
      <w:r w:rsidRPr="00094BD1">
        <w:rPr>
          <w:b/>
          <w:bCs/>
        </w:rPr>
        <w:t xml:space="preserve">Proposal </w:t>
      </w:r>
      <w:r w:rsidR="00617A74">
        <w:rPr>
          <w:b/>
          <w:bCs/>
          <w:lang w:val="en-US"/>
        </w:rPr>
        <w:t>27</w:t>
      </w:r>
      <w:r>
        <w:rPr>
          <w:b/>
          <w:bCs/>
        </w:rPr>
        <w:t>: Clarify the need for and size of GP for ATG TDD.</w:t>
      </w:r>
    </w:p>
    <w:p w14:paraId="0A739E0C" w14:textId="41213F2A" w:rsidR="00CB169C" w:rsidRDefault="00CB169C" w:rsidP="00CB169C">
      <w:pPr>
        <w:pStyle w:val="Heading2"/>
        <w:rPr>
          <w:lang w:val="en-US"/>
        </w:rPr>
      </w:pPr>
      <w:r w:rsidRPr="006C6109">
        <w:rPr>
          <w:lang w:val="en-US"/>
        </w:rPr>
        <w:t xml:space="preserve">Maximal cell range </w:t>
      </w:r>
      <w:r>
        <w:rPr>
          <w:lang w:val="en-US"/>
        </w:rPr>
        <w:t xml:space="preserve">and Doppler </w:t>
      </w:r>
      <w:r w:rsidRPr="006C6109">
        <w:rPr>
          <w:lang w:val="en-US"/>
        </w:rPr>
        <w:t xml:space="preserve">in </w:t>
      </w:r>
      <w:r>
        <w:rPr>
          <w:lang w:val="en-US"/>
        </w:rPr>
        <w:t>Non-Terrestrial Networks</w:t>
      </w:r>
    </w:p>
    <w:p w14:paraId="1082E550" w14:textId="77777777" w:rsidR="00CB169C" w:rsidRPr="004B6655" w:rsidRDefault="00CB169C" w:rsidP="00CB169C">
      <w:r>
        <w:t xml:space="preserve">We need to consider the TA mechanism, as approved in RAN1: </w:t>
      </w:r>
    </w:p>
    <w:tbl>
      <w:tblPr>
        <w:tblW w:w="0" w:type="auto"/>
        <w:tblLook w:val="04A0" w:firstRow="1" w:lastRow="0" w:firstColumn="1" w:lastColumn="0" w:noHBand="0" w:noVBand="1"/>
      </w:tblPr>
      <w:tblGrid>
        <w:gridCol w:w="9631"/>
      </w:tblGrid>
      <w:tr w:rsidR="00CB169C" w14:paraId="4386532F" w14:textId="77777777" w:rsidTr="00B84314">
        <w:tc>
          <w:tcPr>
            <w:tcW w:w="9631" w:type="dxa"/>
          </w:tcPr>
          <w:tbl>
            <w:tblPr>
              <w:tblStyle w:val="TableGrid"/>
              <w:tblW w:w="0" w:type="auto"/>
              <w:jc w:val="center"/>
              <w:tblLook w:val="04A0" w:firstRow="1" w:lastRow="0" w:firstColumn="1" w:lastColumn="0" w:noHBand="0" w:noVBand="1"/>
            </w:tblPr>
            <w:tblGrid>
              <w:gridCol w:w="9405"/>
            </w:tblGrid>
            <w:tr w:rsidR="00BF2FAF" w14:paraId="7C73E97F" w14:textId="77777777" w:rsidTr="00BF2FAF">
              <w:trPr>
                <w:jc w:val="center"/>
              </w:trPr>
              <w:tc>
                <w:tcPr>
                  <w:tcW w:w="9405" w:type="dxa"/>
                </w:tcPr>
                <w:p w14:paraId="05D1B01E" w14:textId="77777777" w:rsidR="00BF2FAF" w:rsidRDefault="00BF2FAF" w:rsidP="00BF2FAF">
                  <w:pPr>
                    <w:rPr>
                      <w:b/>
                      <w:lang w:eastAsia="x-none"/>
                    </w:rPr>
                  </w:pPr>
                  <w:r w:rsidRPr="00514E26">
                    <w:rPr>
                      <w:b/>
                      <w:highlight w:val="green"/>
                      <w:lang w:eastAsia="x-none"/>
                    </w:rPr>
                    <w:t>Agreement RAN1#104-bis-e:</w:t>
                  </w:r>
                </w:p>
                <w:p w14:paraId="585E0F7E" w14:textId="77777777" w:rsidR="00BF2FAF" w:rsidRPr="005B0487" w:rsidRDefault="00BF2FAF" w:rsidP="00BF2FAF">
                  <w:pPr>
                    <w:rPr>
                      <w:color w:val="000000"/>
                      <w:sz w:val="18"/>
                    </w:rPr>
                  </w:pPr>
                  <w:r w:rsidRPr="005B0487">
                    <w:rPr>
                      <w:color w:val="000000"/>
                    </w:rPr>
                    <w:t>The Timing Advance applied by an NR NTN UE in RRC_IDLE/INACTIVE and RRC_CONNECTED is given by:</w:t>
                  </w:r>
                </w:p>
                <w:p w14:paraId="2B852F23" w14:textId="77777777" w:rsidR="00BF2FAF" w:rsidRPr="00F552DF" w:rsidRDefault="00BF2FAF" w:rsidP="00BF2FAF">
                  <w:pPr>
                    <w:rPr>
                      <w:color w:val="000000"/>
                      <w:sz w:val="18"/>
                    </w:rPr>
                  </w:pPr>
                  <m:oMathPara>
                    <m:oMath>
                      <m:r>
                        <m:rPr>
                          <m:sty m:val="b"/>
                        </m:rPr>
                        <w:rPr>
                          <w:rFonts w:ascii="Cambria Math" w:eastAsia="Calibri" w:hAnsi="Cambria Math"/>
                          <w:lang w:eastAsia="ko-KR"/>
                        </w:rPr>
                        <m:t>T_TA=</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w:bookmarkStart w:id="7" w:name="_Hlk84511719"/>
                          <m:r>
                            <m:rPr>
                              <m:sty m:val="b"/>
                            </m:rPr>
                            <w:rPr>
                              <w:rFonts w:ascii="Cambria Math" w:eastAsia="Calibri" w:hAnsi="Cambria Math"/>
                              <w:lang w:eastAsia="ko-KR"/>
                            </w:rPr>
                            <m:t>〖</m:t>
                          </m:r>
                          <m:r>
                            <m:rPr>
                              <m:sty m:val="b"/>
                            </m:rPr>
                            <w:rPr>
                              <w:rFonts w:ascii="Cambria Math" w:eastAsia="Calibri" w:hAnsi="Cambria Math"/>
                              <w:lang w:eastAsia="ko-KR"/>
                            </w:rPr>
                            <m:t>+N</m:t>
                          </m:r>
                          <m:r>
                            <m:rPr>
                              <m:sty m:val="b"/>
                            </m:rPr>
                            <w:rPr>
                              <w:rFonts w:ascii="Cambria Math" w:eastAsia="Calibri" w:hAnsi="Cambria Math"/>
                              <w:lang w:eastAsia="ko-KR"/>
                            </w:rPr>
                            <m:t>〗</m:t>
                          </m:r>
                          <m:r>
                            <m:rPr>
                              <m:sty m:val="b"/>
                            </m:rPr>
                            <w:rPr>
                              <w:rFonts w:ascii="Cambria Math" w:eastAsia="Calibri" w:hAnsi="Cambria Math"/>
                              <w:lang w:eastAsia="ko-KR"/>
                            </w:rPr>
                            <m:t>_(TA,common)</m:t>
                          </m:r>
                          <w:bookmarkEnd w:id="7"/>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r>
                        <m:rPr>
                          <m:sty m:val="p"/>
                        </m:rPr>
                        <w:rPr>
                          <w:color w:val="000000"/>
                        </w:rPr>
                        <w:br/>
                      </m:r>
                    </m:oMath>
                    <m:oMath>
                      <m:r>
                        <m:rPr>
                          <m:sty m:val="p"/>
                        </m:rPr>
                        <w:rPr>
                          <w:color w:val="000000"/>
                        </w:rPr>
                        <w:br/>
                      </m:r>
                    </m:oMath>
                  </m:oMathPara>
                  <w:r w:rsidRPr="005B0487">
                    <w:rPr>
                      <w:color w:val="000000"/>
                    </w:rPr>
                    <w:t>Where:</w:t>
                  </w:r>
                </w:p>
                <w:p w14:paraId="2F6E2DCE" w14:textId="77777777" w:rsidR="00BF2FAF" w:rsidRPr="005B0487" w:rsidRDefault="00186DA5" w:rsidP="00BF2FAF">
                  <w:pPr>
                    <w:spacing w:after="0"/>
                    <w:rPr>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BF2FAF" w:rsidRPr="005B0487">
                    <w:rPr>
                      <w:color w:val="000000"/>
                      <w:sz w:val="18"/>
                    </w:rPr>
                    <w:t> </w:t>
                  </w:r>
                  <w:r w:rsidR="00BF2FAF" w:rsidRPr="005B0487">
                    <w:rPr>
                      <w:rFonts w:eastAsia="SimSun"/>
                      <w:i/>
                      <w:iCs/>
                      <w:color w:val="000000"/>
                      <w:sz w:val="18"/>
                    </w:rPr>
                    <w:t> </w:t>
                  </w:r>
                  <w:r w:rsidR="00BF2FAF" w:rsidRPr="005B0487">
                    <w:rPr>
                      <w:color w:val="000000"/>
                    </w:rPr>
                    <w:t>is defined as 0 for PRACH and updated based on TA Command field in msg2/</w:t>
                  </w:r>
                  <w:proofErr w:type="spellStart"/>
                  <w:r w:rsidR="00BF2FAF" w:rsidRPr="005B0487">
                    <w:rPr>
                      <w:color w:val="000000"/>
                    </w:rPr>
                    <w:t>msgB</w:t>
                  </w:r>
                  <w:proofErr w:type="spellEnd"/>
                  <w:r w:rsidR="00BF2FAF" w:rsidRPr="005B0487">
                    <w:rPr>
                      <w:color w:val="000000"/>
                    </w:rPr>
                    <w:t xml:space="preserve"> and MAC CE TA command.</w:t>
                  </w:r>
                  <w:r w:rsidR="00BF2FAF" w:rsidRPr="005B0487">
                    <w:rPr>
                      <w:color w:val="000000"/>
                      <w:sz w:val="18"/>
                    </w:rPr>
                    <w:t xml:space="preserve"> </w:t>
                  </w:r>
                </w:p>
                <w:p w14:paraId="30DFF461" w14:textId="77777777" w:rsidR="00BF2FAF" w:rsidRPr="005B0487" w:rsidRDefault="00BF2FAF" w:rsidP="00BF2FAF">
                  <w:pPr>
                    <w:spacing w:after="0"/>
                    <w:rPr>
                      <w:sz w:val="18"/>
                    </w:rPr>
                  </w:pPr>
                  <w:r w:rsidRPr="005B0487">
                    <w:t>FFS: details of N</w:t>
                  </w:r>
                  <w:r w:rsidRPr="005B0487">
                    <w:rPr>
                      <w:vertAlign w:val="subscript"/>
                    </w:rPr>
                    <w:t>TA</w:t>
                  </w:r>
                  <w:r w:rsidRPr="005B0487">
                    <w:t> update/accumulation.</w:t>
                  </w:r>
                </w:p>
                <w:p w14:paraId="1AAEFE17" w14:textId="77777777" w:rsidR="00BF2FAF" w:rsidRPr="005B0487" w:rsidRDefault="00186DA5" w:rsidP="00BF2FAF">
                  <w:pPr>
                    <w:spacing w:after="0"/>
                    <w:rPr>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BF2FAF" w:rsidRPr="005B0487">
                    <w:t>  is UE self-estimated TA to pre-compensate for the service link delay.</w:t>
                  </w:r>
                </w:p>
                <w:p w14:paraId="46566B75" w14:textId="77777777" w:rsidR="00BF2FAF" w:rsidRPr="005B0487" w:rsidRDefault="00186DA5" w:rsidP="00BF2FAF">
                  <w:pPr>
                    <w:spacing w:after="0"/>
                    <w:rPr>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BF2FAF" w:rsidRPr="005B0487">
                    <w:t xml:space="preserve"> is network-controlled common </w:t>
                  </w:r>
                  <w:proofErr w:type="gramStart"/>
                  <w:r w:rsidR="00BF2FAF" w:rsidRPr="005B0487">
                    <w:t>TA, and</w:t>
                  </w:r>
                  <w:proofErr w:type="gramEnd"/>
                  <w:r w:rsidR="00BF2FAF" w:rsidRPr="005B0487">
                    <w:t xml:space="preserve"> may include any timing offset considered necessary by the network.</w:t>
                  </w:r>
                </w:p>
                <w:p w14:paraId="7C653CB2" w14:textId="77777777" w:rsidR="00BF2FAF" w:rsidRPr="005B0487" w:rsidRDefault="00186DA5" w:rsidP="00BF2FAF">
                  <w:pPr>
                    <w:spacing w:after="0"/>
                    <w:rPr>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BF2FAF" w:rsidRPr="005B0487">
                    <w:t> with value of 0 is supported.</w:t>
                  </w:r>
                  <w:r w:rsidR="00BF2FAF" w:rsidRPr="005B0487">
                    <w:rPr>
                      <w:sz w:val="18"/>
                    </w:rPr>
                    <w:t xml:space="preserve"> </w:t>
                  </w:r>
                </w:p>
                <w:p w14:paraId="52D666A8" w14:textId="77777777" w:rsidR="00BF2FAF" w:rsidRPr="00845BFE" w:rsidRDefault="00BF2FAF" w:rsidP="00BF2FAF">
                  <w:pPr>
                    <w:spacing w:after="0"/>
                    <w:rPr>
                      <w:sz w:val="18"/>
                    </w:rPr>
                  </w:pPr>
                  <w:r w:rsidRPr="005B0487">
                    <w:t>FFS:  details of signalling including granularity.  </w:t>
                  </w:r>
                  <w:r w:rsidRPr="005B0487">
                    <w:rPr>
                      <w:rFonts w:eastAsia="Gulim"/>
                      <w:dstrike/>
                      <w:noProof/>
                      <w:sz w:val="18"/>
                    </w:rPr>
                    <w:t xml:space="preserve"> </w:t>
                  </w:r>
                </w:p>
                <w:p w14:paraId="062D2DC0" w14:textId="77777777" w:rsidR="00BF2FAF" w:rsidRPr="00845BFE" w:rsidRDefault="00186DA5" w:rsidP="00BF2FAF">
                  <w:pPr>
                    <w:spacing w:after="0"/>
                    <w:rPr>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BF2FAF" w:rsidRPr="00845BFE">
                    <w:rPr>
                      <w:color w:val="000000"/>
                    </w:rPr>
                    <w:t xml:space="preserve"> is a fixed offset used to calculate the timing </w:t>
                  </w:r>
                  <w:proofErr w:type="gramStart"/>
                  <w:r w:rsidR="00BF2FAF" w:rsidRPr="00845BFE">
                    <w:rPr>
                      <w:color w:val="000000"/>
                    </w:rPr>
                    <w:t>advance.</w:t>
                  </w:r>
                  <w:proofErr w:type="gramEnd"/>
                </w:p>
                <w:p w14:paraId="0E40D5C0" w14:textId="77777777" w:rsidR="00BF2FAF" w:rsidRPr="005B0487" w:rsidRDefault="00BF2FAF" w:rsidP="00BF2FAF">
                  <w:pPr>
                    <w:wordWrap w:val="0"/>
                    <w:rPr>
                      <w:rFonts w:eastAsia="Calibri"/>
                      <w:color w:val="000000"/>
                      <w:sz w:val="18"/>
                    </w:rPr>
                  </w:pPr>
                  <w:r>
                    <w:rPr>
                      <w:color w:val="000000"/>
                    </w:rPr>
                    <w:br/>
                  </w:r>
                  <w:r w:rsidRPr="005B0487">
                    <w:rPr>
                      <w:color w:val="000000"/>
                    </w:rPr>
                    <w:t>Note-1: Definition of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color w:val="000000"/>
                    </w:rPr>
                    <w:t> is different from that in RAN1#103-e agreement. </w:t>
                  </w:r>
                </w:p>
                <w:p w14:paraId="6854E6A9" w14:textId="77777777" w:rsidR="00BF2FAF" w:rsidRPr="005B0487" w:rsidRDefault="00BF2FAF" w:rsidP="00BF2FAF">
                  <w:pPr>
                    <w:rPr>
                      <w:color w:val="000000"/>
                      <w:sz w:val="18"/>
                    </w:rPr>
                  </w:pPr>
                  <w:r w:rsidRPr="005B0487">
                    <w:rPr>
                      <w:color w:val="000000"/>
                    </w:rPr>
                    <w:t xml:space="preserve">Note-2: UE might not assume that the RTT between UE and </w:t>
                  </w:r>
                  <w:proofErr w:type="spellStart"/>
                  <w:r w:rsidRPr="005B0487">
                    <w:rPr>
                      <w:color w:val="000000"/>
                    </w:rPr>
                    <w:t>gNB</w:t>
                  </w:r>
                  <w:proofErr w:type="spellEnd"/>
                  <w:r w:rsidRPr="005B0487">
                    <w:rPr>
                      <w:color w:val="000000"/>
                    </w:rPr>
                    <w:t xml:space="preserve"> is equal to the calculated TA for Msg1/Msg A.</w:t>
                  </w:r>
                </w:p>
                <w:p w14:paraId="4C9B4A08" w14:textId="1C21DF47" w:rsidR="00BF2FAF" w:rsidRDefault="00BF2FAF" w:rsidP="00BF2FAF">
                  <w:pPr>
                    <w:rPr>
                      <w:lang w:val="en-US"/>
                    </w:rPr>
                  </w:pPr>
                  <w:r w:rsidRPr="005B0487">
                    <w:rPr>
                      <w:color w:val="000000"/>
                    </w:rPr>
                    <w:t>Note-3: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color w:val="000000"/>
                    </w:rPr>
                    <w:t> is the common timing offset </w:t>
                  </w:r>
                  <w:r w:rsidRPr="005B0487">
                    <w:t>X </w:t>
                  </w:r>
                  <w:r w:rsidRPr="005B0487">
                    <w:rPr>
                      <w:color w:val="000000"/>
                    </w:rPr>
                    <w:t>as agreed in RAN1 #103-e.</w:t>
                  </w:r>
                </w:p>
              </w:tc>
            </w:tr>
          </w:tbl>
          <w:p w14:paraId="7DC6826C" w14:textId="52D02D07" w:rsidR="00CB169C" w:rsidRDefault="00CB169C" w:rsidP="00B84314">
            <w:pPr>
              <w:rPr>
                <w:lang w:val="en-US"/>
              </w:rPr>
            </w:pPr>
          </w:p>
        </w:tc>
      </w:tr>
    </w:tbl>
    <w:p w14:paraId="133205EC" w14:textId="77777777" w:rsidR="00CB169C" w:rsidRDefault="00CB169C" w:rsidP="00CB169C">
      <w:pPr>
        <w:rPr>
          <w:lang w:eastAsia="ko-KR"/>
        </w:rPr>
      </w:pPr>
      <w:r>
        <w:rPr>
          <w:lang w:val="en-US" w:eastAsia="zh-CN"/>
        </w:rPr>
        <w:br/>
        <w:t xml:space="preserve">Since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Pr>
          <w:b/>
          <w:bCs/>
          <w:lang w:eastAsia="ko-KR"/>
        </w:rPr>
        <w:t xml:space="preserve"> </w:t>
      </w:r>
      <w:r>
        <w:rPr>
          <w:lang w:eastAsia="ko-KR"/>
        </w:rPr>
        <w:t xml:space="preserve">is based on satellite orbit ephemeris data signalled to the UE and the UE GNSS position then virtually any cell range can be managed in an NTN network. The LEO orbits start at 160 km, </w:t>
      </w:r>
      <w:r>
        <w:rPr>
          <w:lang w:eastAsia="ko-KR"/>
        </w:rPr>
        <w:lastRenderedPageBreak/>
        <w:t>but there is no minimum limit, which means that an NTN style ATG system could handle the stipulated cell range of 300 km.</w:t>
      </w:r>
    </w:p>
    <w:p w14:paraId="0119EC08" w14:textId="780928F0" w:rsidR="00CB169C" w:rsidRDefault="00CB169C" w:rsidP="00CB169C">
      <w:pPr>
        <w:rPr>
          <w:b/>
          <w:bCs/>
          <w:lang w:val="en-US" w:eastAsia="zh-CN"/>
        </w:rPr>
      </w:pPr>
      <w:r>
        <w:rPr>
          <w:b/>
          <w:bCs/>
          <w:lang w:val="en-US" w:eastAsia="zh-CN"/>
        </w:rPr>
        <w:t xml:space="preserve">Observation </w:t>
      </w:r>
      <w:r w:rsidR="00DF5BFA">
        <w:rPr>
          <w:b/>
          <w:bCs/>
          <w:lang w:val="en-US" w:eastAsia="zh-CN"/>
        </w:rPr>
        <w:t>9</w:t>
      </w:r>
      <w:r>
        <w:rPr>
          <w:b/>
          <w:bCs/>
          <w:lang w:val="en-US" w:eastAsia="zh-CN"/>
        </w:rPr>
        <w:t>: An NTN network can handle the 300 km cell range of an ATG system.</w:t>
      </w:r>
    </w:p>
    <w:p w14:paraId="5A809259" w14:textId="77777777" w:rsidR="00CB169C" w:rsidRDefault="00CB169C" w:rsidP="00CB169C">
      <w:pPr>
        <w:rPr>
          <w:color w:val="000000" w:themeColor="text1"/>
          <w:lang w:val="en-US" w:eastAsia="zh-CN"/>
        </w:rPr>
      </w:pPr>
      <w:r>
        <w:rPr>
          <w:color w:val="000000" w:themeColor="text1"/>
          <w:lang w:val="en-US" w:eastAsia="zh-CN"/>
        </w:rPr>
        <w:t xml:space="preserve">An NTN UE has access to its own position through GNSS and therefore knows the Doppler since it has received ephemeris orbit data about satellites in system messages it can compensate large Doppler frequencies. The NTN TR 38.121 [5], lists 24 ppm as Doppler shift with a change rate of 0.27 ppm/s.  </w:t>
      </w:r>
    </w:p>
    <w:p w14:paraId="117B36F4" w14:textId="1DE77FBE" w:rsidR="00CB169C" w:rsidRDefault="00CB169C" w:rsidP="00CB169C">
      <w:pPr>
        <w:rPr>
          <w:b/>
          <w:bCs/>
          <w:lang w:val="en-US" w:eastAsia="zh-CN"/>
        </w:rPr>
      </w:pPr>
      <w:r>
        <w:rPr>
          <w:b/>
          <w:bCs/>
          <w:lang w:val="en-US" w:eastAsia="zh-CN"/>
        </w:rPr>
        <w:t xml:space="preserve">Observation </w:t>
      </w:r>
      <w:r w:rsidR="00DF5BFA">
        <w:rPr>
          <w:b/>
          <w:bCs/>
          <w:lang w:val="en-US" w:eastAsia="zh-CN"/>
        </w:rPr>
        <w:t>10</w:t>
      </w:r>
      <w:r>
        <w:rPr>
          <w:b/>
          <w:bCs/>
          <w:lang w:val="en-US" w:eastAsia="zh-CN"/>
        </w:rPr>
        <w:t>: An NTN network can handle the Doppler of an ATG system.</w:t>
      </w:r>
    </w:p>
    <w:p w14:paraId="3EF7ECAF" w14:textId="77777777" w:rsidR="00CB169C" w:rsidRDefault="00CB169C" w:rsidP="00CB169C">
      <w:pPr>
        <w:rPr>
          <w:color w:val="000000" w:themeColor="text1"/>
          <w:lang w:val="en-US" w:eastAsia="zh-CN"/>
        </w:rPr>
      </w:pPr>
      <w:proofErr w:type="gramStart"/>
      <w:r>
        <w:rPr>
          <w:color w:val="000000" w:themeColor="text1"/>
          <w:lang w:val="en-US" w:eastAsia="zh-CN"/>
        </w:rPr>
        <w:t>However</w:t>
      </w:r>
      <w:proofErr w:type="gramEnd"/>
      <w:r>
        <w:rPr>
          <w:color w:val="000000" w:themeColor="text1"/>
          <w:lang w:val="en-US" w:eastAsia="zh-CN"/>
        </w:rPr>
        <w:t xml:space="preserve"> in [6], ATG Scenarios, we discuss the fact that there are differences between NTN and ATG which needs to be addressed:</w:t>
      </w:r>
    </w:p>
    <w:p w14:paraId="483FB856" w14:textId="77777777" w:rsidR="00CB169C" w:rsidRDefault="00CB169C" w:rsidP="00CB169C">
      <w:pPr>
        <w:ind w:left="284"/>
        <w:rPr>
          <w:color w:val="000000" w:themeColor="text1"/>
          <w:lang w:val="en-US" w:eastAsia="zh-CN"/>
        </w:rPr>
      </w:pPr>
      <w:r>
        <w:rPr>
          <w:color w:val="000000" w:themeColor="text1"/>
          <w:lang w:val="en-US" w:eastAsia="zh-CN"/>
        </w:rPr>
        <w:t>“</w:t>
      </w:r>
      <w:r>
        <w:rPr>
          <w:lang w:val="en-US"/>
        </w:rPr>
        <w:t>Within the context of Satellite and HAPS operation, RAN1-3 NTN specifications provide for the UE to pre-compensate timing and Doppler using ephemeris information. For ATG, the scenario differs in that the UE is in the air and the BS is on the ground. The equivalent of ephemeris information would be a knowledge of BS positions.</w:t>
      </w:r>
      <w:r>
        <w:rPr>
          <w:color w:val="000000" w:themeColor="text1"/>
          <w:lang w:val="en-US" w:eastAsia="zh-CN"/>
        </w:rPr>
        <w:t>”</w:t>
      </w:r>
    </w:p>
    <w:p w14:paraId="640123BE" w14:textId="32CE6369" w:rsidR="0048157E" w:rsidRPr="0048157E" w:rsidRDefault="00CB169C" w:rsidP="00CB169C">
      <w:pPr>
        <w:rPr>
          <w:lang w:val="en-US" w:eastAsia="zh-CN"/>
        </w:rPr>
      </w:pPr>
      <w:r>
        <w:rPr>
          <w:b/>
          <w:bCs/>
          <w:lang w:val="en-US" w:eastAsia="zh-CN"/>
        </w:rPr>
        <w:t xml:space="preserve">Observation </w:t>
      </w:r>
      <w:r w:rsidR="00DF5BFA">
        <w:rPr>
          <w:b/>
          <w:bCs/>
          <w:lang w:val="en-US" w:eastAsia="zh-CN"/>
        </w:rPr>
        <w:t>11</w:t>
      </w:r>
      <w:r>
        <w:rPr>
          <w:b/>
          <w:bCs/>
          <w:lang w:val="en-US" w:eastAsia="zh-CN"/>
        </w:rPr>
        <w:t xml:space="preserve">: </w:t>
      </w:r>
      <w:r w:rsidRPr="00876CF6">
        <w:rPr>
          <w:b/>
          <w:bCs/>
          <w:lang w:val="en-US" w:eastAsia="zh-CN"/>
        </w:rPr>
        <w:t>For ATG, the scenario differs in that the UE is in the air and the BS is on the ground. The equivalent of ephemeris information would be a knowledge of BS positions.</w:t>
      </w:r>
    </w:p>
    <w:p w14:paraId="5EE1EE1D" w14:textId="77777777" w:rsidR="00895E1F" w:rsidRPr="00CB64B5" w:rsidRDefault="00895E1F" w:rsidP="006E062C"/>
    <w:p w14:paraId="72E56215" w14:textId="3F854ADE" w:rsidR="00C01F33" w:rsidRDefault="00C01F33" w:rsidP="00C01F33">
      <w:pPr>
        <w:pStyle w:val="Heading1"/>
        <w:rPr>
          <w:lang w:val="en-US"/>
        </w:rPr>
      </w:pPr>
      <w:r w:rsidRPr="00F6302A">
        <w:rPr>
          <w:lang w:val="en-US"/>
        </w:rPr>
        <w:t>Conclusion</w:t>
      </w:r>
    </w:p>
    <w:p w14:paraId="4FBE5A13" w14:textId="5689F65F" w:rsidR="002B2859" w:rsidRPr="002B2859" w:rsidRDefault="002B2859" w:rsidP="002B2859">
      <w:pPr>
        <w:rPr>
          <w:lang w:val="en-US" w:eastAsia="zh-CN"/>
        </w:rPr>
      </w:pPr>
      <w:r>
        <w:rPr>
          <w:lang w:val="en-US" w:eastAsia="zh-CN"/>
        </w:rPr>
        <w:t xml:space="preserve">In this contribution we have </w:t>
      </w:r>
      <w:r w:rsidR="001B58C6">
        <w:rPr>
          <w:lang w:val="en-US" w:eastAsia="zh-CN"/>
        </w:rPr>
        <w:t xml:space="preserve">provided initial analysis of the RRM impact of A2G network. </w:t>
      </w:r>
      <w:r w:rsidR="00993FD7">
        <w:rPr>
          <w:lang w:val="en-US" w:eastAsia="zh-CN"/>
        </w:rPr>
        <w:t>Based on the discussions, we have made following observations and proposals:</w:t>
      </w:r>
    </w:p>
    <w:p w14:paraId="757D78CB" w14:textId="1FFE662E" w:rsidR="00AD51CC" w:rsidRPr="00C359BB" w:rsidRDefault="00AD51CC" w:rsidP="00AD51CC">
      <w:pPr>
        <w:rPr>
          <w:b/>
          <w:bCs/>
        </w:rPr>
      </w:pPr>
      <w:r w:rsidRPr="00C359BB">
        <w:rPr>
          <w:b/>
          <w:bCs/>
        </w:rPr>
        <w:fldChar w:fldCharType="begin"/>
      </w:r>
      <w:r w:rsidRPr="00C359BB">
        <w:rPr>
          <w:b/>
          <w:bCs/>
        </w:rPr>
        <w:instrText xml:space="preserve"> REF _Ref110780558 \h </w:instrText>
      </w:r>
      <w:r w:rsidRPr="008C547C">
        <w:rPr>
          <w:b/>
          <w:bCs/>
        </w:rPr>
        <w:instrText xml:space="preserve"> \* MERGEFORMAT </w:instrText>
      </w:r>
      <w:r w:rsidRPr="00C359BB">
        <w:rPr>
          <w:b/>
          <w:bCs/>
        </w:rPr>
      </w:r>
      <w:r w:rsidRPr="00C359BB">
        <w:rPr>
          <w:b/>
          <w:bCs/>
        </w:rPr>
        <w:fldChar w:fldCharType="separate"/>
      </w:r>
      <w:r w:rsidR="00946888" w:rsidRPr="00946888">
        <w:rPr>
          <w:b/>
          <w:bCs/>
        </w:rPr>
        <w:t xml:space="preserve">Observation </w:t>
      </w:r>
      <w:r w:rsidR="00946888" w:rsidRPr="00C359BB">
        <w:rPr>
          <w:b/>
          <w:bCs/>
          <w:noProof/>
        </w:rPr>
        <w:t>1</w:t>
      </w:r>
      <w:r w:rsidR="00946888" w:rsidRPr="00946888">
        <w:rPr>
          <w:b/>
          <w:bCs/>
        </w:rPr>
        <w:t xml:space="preserve">: ISD can be </w:t>
      </w:r>
      <w:r w:rsidR="00946888" w:rsidRPr="00C359BB">
        <w:rPr>
          <w:b/>
          <w:bCs/>
        </w:rPr>
        <w:t>2</w:t>
      </w:r>
      <w:r w:rsidR="00946888" w:rsidRPr="00946888">
        <w:rPr>
          <w:b/>
          <w:bCs/>
        </w:rPr>
        <w:t>00km</w:t>
      </w:r>
      <w:r w:rsidR="00946888" w:rsidRPr="00C359BB">
        <w:rPr>
          <w:b/>
          <w:bCs/>
        </w:rPr>
        <w:t>, and even up to 300km</w:t>
      </w:r>
      <w:r w:rsidR="00946888" w:rsidRPr="00946888">
        <w:rPr>
          <w:b/>
          <w:bCs/>
        </w:rPr>
        <w:t xml:space="preserve"> for ATG network.</w:t>
      </w:r>
      <w:r w:rsidRPr="00C359BB">
        <w:rPr>
          <w:b/>
          <w:bCs/>
        </w:rPr>
        <w:fldChar w:fldCharType="end"/>
      </w:r>
    </w:p>
    <w:p w14:paraId="477127AF" w14:textId="35A6B992" w:rsidR="00AD51CC" w:rsidRPr="00C359BB" w:rsidRDefault="00AD51CC" w:rsidP="00C359BB">
      <w:pPr>
        <w:rPr>
          <w:b/>
          <w:lang w:val="en-US"/>
        </w:rPr>
      </w:pPr>
      <w:r w:rsidRPr="00C359BB">
        <w:rPr>
          <w:b/>
          <w:lang w:val="en-US"/>
        </w:rPr>
        <w:fldChar w:fldCharType="begin"/>
      </w:r>
      <w:r w:rsidRPr="00C359BB">
        <w:rPr>
          <w:b/>
          <w:lang w:val="en-US"/>
        </w:rPr>
        <w:instrText xml:space="preserve"> REF _Ref110780562 \h  \* MERGEFORMAT </w:instrText>
      </w:r>
      <w:r w:rsidRPr="00C359BB">
        <w:rPr>
          <w:b/>
          <w:lang w:val="en-US"/>
        </w:rPr>
      </w:r>
      <w:r w:rsidRPr="00C359BB">
        <w:rPr>
          <w:b/>
          <w:lang w:val="en-US"/>
        </w:rPr>
        <w:fldChar w:fldCharType="separate"/>
      </w:r>
      <w:r w:rsidR="00946888" w:rsidRPr="00946888">
        <w:rPr>
          <w:b/>
          <w:lang w:val="en-US"/>
        </w:rPr>
        <w:t xml:space="preserve">Observation 2: Compared to NTN system, ATG system can provide </w:t>
      </w:r>
      <w:r w:rsidR="00946888" w:rsidRPr="00946888">
        <w:rPr>
          <w:b/>
          <w:lang w:val="en-GB"/>
        </w:rPr>
        <w:t>higher data rate due to the distance between BS and UE only 10km.</w:t>
      </w:r>
      <w:r w:rsidRPr="00C359BB">
        <w:rPr>
          <w:b/>
          <w:lang w:val="en-US"/>
        </w:rPr>
        <w:fldChar w:fldCharType="end"/>
      </w:r>
    </w:p>
    <w:p w14:paraId="0A432326" w14:textId="729E2126" w:rsidR="00C01F33" w:rsidRDefault="0049621F" w:rsidP="0049621F">
      <w:pPr>
        <w:pStyle w:val="Caption"/>
        <w:jc w:val="left"/>
      </w:pPr>
      <w:r>
        <w:t xml:space="preserve">Proposal </w:t>
      </w:r>
      <w:r w:rsidR="00186DA5">
        <w:fldChar w:fldCharType="begin"/>
      </w:r>
      <w:r w:rsidR="00186DA5">
        <w:instrText xml:space="preserve"> SEQ Proposal \* ARABIC </w:instrText>
      </w:r>
      <w:r w:rsidR="00186DA5">
        <w:fldChar w:fldCharType="separate"/>
      </w:r>
      <w:r w:rsidR="00946888">
        <w:rPr>
          <w:noProof/>
        </w:rPr>
        <w:t>1</w:t>
      </w:r>
      <w:r w:rsidR="00186DA5">
        <w:rPr>
          <w:noProof/>
        </w:rPr>
        <w:fldChar w:fldCharType="end"/>
      </w:r>
      <w:r>
        <w:tab/>
      </w:r>
      <w:r w:rsidR="00D141B4">
        <w:t xml:space="preserve">General section on bands and terminologies </w:t>
      </w:r>
      <w:r w:rsidR="00537869">
        <w:t xml:space="preserve">are </w:t>
      </w:r>
      <w:r w:rsidR="00D141B4">
        <w:t>update</w:t>
      </w:r>
      <w:r w:rsidR="00537869">
        <w:t>d with A2G bands and terminologies</w:t>
      </w:r>
      <w:r w:rsidR="00D141B4">
        <w:t xml:space="preserve">. </w:t>
      </w:r>
    </w:p>
    <w:p w14:paraId="76D8C47A" w14:textId="20CA4286" w:rsidR="007D15E2" w:rsidRPr="00ED6450" w:rsidRDefault="007D15E2" w:rsidP="00D26436">
      <w:pPr>
        <w:pStyle w:val="Caption"/>
        <w:ind w:left="1134" w:hanging="1134"/>
        <w:jc w:val="left"/>
      </w:pPr>
      <w:r>
        <w:t xml:space="preserve">Proposal </w:t>
      </w:r>
      <w:r w:rsidR="00186DA5">
        <w:fldChar w:fldCharType="begin"/>
      </w:r>
      <w:r w:rsidR="00186DA5">
        <w:instrText xml:space="preserve"> SEQ Proposal \* ARABIC </w:instrText>
      </w:r>
      <w:r w:rsidR="00186DA5">
        <w:fldChar w:fldCharType="separate"/>
      </w:r>
      <w:r w:rsidR="00946888">
        <w:rPr>
          <w:noProof/>
        </w:rPr>
        <w:t>2</w:t>
      </w:r>
      <w:r w:rsidR="00186DA5">
        <w:rPr>
          <w:noProof/>
        </w:rPr>
        <w:fldChar w:fldCharType="end"/>
      </w:r>
      <w:r>
        <w:tab/>
      </w:r>
      <w:r w:rsidR="00844905">
        <w:t xml:space="preserve">RAN4 to assess if existing </w:t>
      </w:r>
      <w:r w:rsidR="00150E9D">
        <w:t xml:space="preserve">IDLE/INACTIVE </w:t>
      </w:r>
      <w:r w:rsidR="00537869">
        <w:t>requirements on serving cell evaluation</w:t>
      </w:r>
      <w:r w:rsidR="000250AA">
        <w:t xml:space="preserve"> from HST</w:t>
      </w:r>
      <w:r w:rsidR="00537869">
        <w:t xml:space="preserve"> </w:t>
      </w:r>
      <w:r w:rsidR="00844905" w:rsidRPr="00216EDF">
        <w:t>can be reused</w:t>
      </w:r>
      <w:r w:rsidR="00537869" w:rsidRPr="00ED6450">
        <w:t xml:space="preserve"> for A2G.</w:t>
      </w:r>
    </w:p>
    <w:p w14:paraId="639979ED" w14:textId="3E033E4F" w:rsidR="00537869" w:rsidRPr="00A862AF" w:rsidRDefault="009E31A8" w:rsidP="00D26436">
      <w:pPr>
        <w:pStyle w:val="Caption"/>
        <w:ind w:left="1134" w:hanging="1134"/>
        <w:jc w:val="left"/>
      </w:pPr>
      <w:r w:rsidRPr="00C359BB">
        <w:t xml:space="preserve">Proposal </w:t>
      </w:r>
      <w:r w:rsidR="00186DA5">
        <w:fldChar w:fldCharType="begin"/>
      </w:r>
      <w:r w:rsidR="00186DA5">
        <w:instrText xml:space="preserve"> SEQ Proposal \* ARABIC </w:instrText>
      </w:r>
      <w:r w:rsidR="00186DA5">
        <w:fldChar w:fldCharType="separate"/>
      </w:r>
      <w:r w:rsidR="00946888">
        <w:rPr>
          <w:noProof/>
        </w:rPr>
        <w:t>3</w:t>
      </w:r>
      <w:r w:rsidR="00186DA5">
        <w:rPr>
          <w:noProof/>
        </w:rPr>
        <w:fldChar w:fldCharType="end"/>
      </w:r>
      <w:r w:rsidRPr="00C359BB">
        <w:tab/>
        <w:t xml:space="preserve">The A2G UE is allowed to </w:t>
      </w:r>
      <w:r w:rsidR="009B5DE4" w:rsidRPr="00C359BB">
        <w:t xml:space="preserve">not </w:t>
      </w:r>
      <w:r w:rsidR="00D80CA2" w:rsidRPr="00C359BB">
        <w:t>measure on the neighbour cells based on the coverage</w:t>
      </w:r>
      <w:r w:rsidR="00D80CA2" w:rsidRPr="00216EDF">
        <w:t xml:space="preserve"> information of the serving cell</w:t>
      </w:r>
      <w:r w:rsidR="00C12183" w:rsidRPr="00C359BB">
        <w:t xml:space="preserve"> </w:t>
      </w:r>
      <w:proofErr w:type="gramStart"/>
      <w:r w:rsidR="00C12183" w:rsidRPr="00C359BB">
        <w:t>e.g.</w:t>
      </w:r>
      <w:proofErr w:type="gramEnd"/>
      <w:r w:rsidR="00C12183" w:rsidRPr="00C359BB">
        <w:t xml:space="preserve"> </w:t>
      </w:r>
      <w:r w:rsidR="00A923F4" w:rsidRPr="00C359BB">
        <w:t>if serving cell RSRP is above threshold</w:t>
      </w:r>
      <w:r w:rsidR="00C12183" w:rsidRPr="00C359BB">
        <w:t>.</w:t>
      </w:r>
      <w:r w:rsidR="00C12183">
        <w:t xml:space="preserve"> </w:t>
      </w:r>
    </w:p>
    <w:p w14:paraId="5E948EA9" w14:textId="493E62CF" w:rsidR="006405CF" w:rsidRPr="00216EDF" w:rsidRDefault="00A923F4" w:rsidP="006405CF">
      <w:pPr>
        <w:rPr>
          <w:b/>
        </w:rPr>
      </w:pPr>
      <w:r w:rsidRPr="00216EDF">
        <w:rPr>
          <w:b/>
        </w:rPr>
        <w:t xml:space="preserve">Proposal </w:t>
      </w:r>
      <w:r w:rsidRPr="00216EDF">
        <w:rPr>
          <w:b/>
        </w:rPr>
        <w:fldChar w:fldCharType="begin"/>
      </w:r>
      <w:r w:rsidRPr="00216EDF">
        <w:rPr>
          <w:b/>
        </w:rPr>
        <w:instrText xml:space="preserve"> SEQ Proposal \* ARABIC </w:instrText>
      </w:r>
      <w:r w:rsidRPr="00216EDF">
        <w:rPr>
          <w:b/>
        </w:rPr>
        <w:fldChar w:fldCharType="separate"/>
      </w:r>
      <w:r w:rsidR="00946888">
        <w:rPr>
          <w:b/>
          <w:noProof/>
        </w:rPr>
        <w:t>4</w:t>
      </w:r>
      <w:r w:rsidRPr="00216EDF">
        <w:rPr>
          <w:b/>
        </w:rPr>
        <w:fldChar w:fldCharType="end"/>
      </w:r>
      <w:r w:rsidR="00B7592E">
        <w:rPr>
          <w:b/>
        </w:rPr>
        <w:tab/>
      </w:r>
      <w:r w:rsidR="00B5351A">
        <w:rPr>
          <w:b/>
          <w:lang w:val="en-US"/>
        </w:rPr>
        <w:t>For cell reselection and handover, t</w:t>
      </w:r>
      <w:r w:rsidRPr="00216EDF">
        <w:rPr>
          <w:b/>
        </w:rPr>
        <w:t xml:space="preserve">he A2G UE </w:t>
      </w:r>
      <w:r w:rsidR="00B20E55" w:rsidRPr="00216EDF">
        <w:rPr>
          <w:b/>
        </w:rPr>
        <w:t xml:space="preserve">should resume the </w:t>
      </w:r>
      <w:proofErr w:type="spellStart"/>
      <w:r w:rsidR="00B20E55" w:rsidRPr="00216EDF">
        <w:rPr>
          <w:b/>
        </w:rPr>
        <w:t>neighbor</w:t>
      </w:r>
      <w:proofErr w:type="spellEnd"/>
      <w:r w:rsidR="00B20E55" w:rsidRPr="00216EDF">
        <w:rPr>
          <w:b/>
        </w:rPr>
        <w:t xml:space="preserve"> cell measurement in normal manner without any relaxation if there is any unpredictable change in flight path or sudden drop in </w:t>
      </w:r>
      <w:r w:rsidR="00222139">
        <w:rPr>
          <w:b/>
          <w:bCs/>
        </w:rPr>
        <w:t xml:space="preserve">aircraft </w:t>
      </w:r>
      <w:r w:rsidR="00B20E55" w:rsidRPr="00216EDF">
        <w:rPr>
          <w:b/>
        </w:rPr>
        <w:t xml:space="preserve">height due to any critical or </w:t>
      </w:r>
      <w:proofErr w:type="gramStart"/>
      <w:r w:rsidR="00B20E55" w:rsidRPr="00216EDF">
        <w:rPr>
          <w:b/>
        </w:rPr>
        <w:t>emergency situation</w:t>
      </w:r>
      <w:proofErr w:type="gramEnd"/>
      <w:r w:rsidR="00B20E55" w:rsidRPr="00216EDF">
        <w:rPr>
          <w:b/>
        </w:rPr>
        <w:t>.</w:t>
      </w:r>
    </w:p>
    <w:p w14:paraId="05AB347F" w14:textId="79617391" w:rsidR="006405CF" w:rsidRPr="00116B0C" w:rsidRDefault="00B20E55" w:rsidP="00216EDF">
      <w:r w:rsidRPr="00116B0C">
        <w:rPr>
          <w:b/>
        </w:rPr>
        <w:t xml:space="preserve">Proposal </w:t>
      </w:r>
      <w:r w:rsidRPr="00216EDF">
        <w:rPr>
          <w:b/>
        </w:rPr>
        <w:fldChar w:fldCharType="begin"/>
      </w:r>
      <w:r w:rsidRPr="00116B0C">
        <w:rPr>
          <w:b/>
        </w:rPr>
        <w:instrText xml:space="preserve"> SEQ Proposal \* ARABIC </w:instrText>
      </w:r>
      <w:r w:rsidRPr="00216EDF">
        <w:rPr>
          <w:b/>
        </w:rPr>
        <w:fldChar w:fldCharType="separate"/>
      </w:r>
      <w:r w:rsidR="00946888">
        <w:rPr>
          <w:b/>
          <w:noProof/>
        </w:rPr>
        <w:t>5</w:t>
      </w:r>
      <w:r w:rsidRPr="00216EDF">
        <w:rPr>
          <w:b/>
        </w:rPr>
        <w:fldChar w:fldCharType="end"/>
      </w:r>
      <w:r w:rsidRPr="00116B0C">
        <w:rPr>
          <w:b/>
        </w:rPr>
        <w:tab/>
      </w:r>
      <w:r w:rsidR="00B5351A">
        <w:rPr>
          <w:b/>
          <w:lang w:val="en-US"/>
        </w:rPr>
        <w:t xml:space="preserve">For cell reselection and </w:t>
      </w:r>
      <w:proofErr w:type="gramStart"/>
      <w:r w:rsidR="00B5351A">
        <w:rPr>
          <w:b/>
          <w:lang w:val="en-US"/>
        </w:rPr>
        <w:t xml:space="preserve">handover, </w:t>
      </w:r>
      <w:r w:rsidR="006405CF" w:rsidRPr="00116B0C">
        <w:rPr>
          <w:b/>
        </w:rPr>
        <w:t xml:space="preserve"> UE</w:t>
      </w:r>
      <w:proofErr w:type="gramEnd"/>
      <w:r w:rsidR="006405CF" w:rsidRPr="00116B0C">
        <w:rPr>
          <w:b/>
        </w:rPr>
        <w:t xml:space="preserve"> can determine the sudden change in the flight path autonomously (e.g. internally from flight data) or based on assistance information from the ground base station. </w:t>
      </w:r>
      <w:r w:rsidRPr="00116B0C">
        <w:rPr>
          <w:b/>
        </w:rPr>
        <w:t>Details are FFS.</w:t>
      </w:r>
    </w:p>
    <w:p w14:paraId="052C6406" w14:textId="26FAD30B" w:rsidR="004917E3" w:rsidRPr="00A862AF" w:rsidRDefault="004917E3" w:rsidP="004917E3">
      <w:pPr>
        <w:pStyle w:val="Caption"/>
        <w:ind w:left="1134" w:hanging="1134"/>
        <w:jc w:val="left"/>
      </w:pPr>
      <w:r>
        <w:t xml:space="preserve">Proposal </w:t>
      </w:r>
      <w:r w:rsidR="00186DA5">
        <w:fldChar w:fldCharType="begin"/>
      </w:r>
      <w:r w:rsidR="00186DA5">
        <w:instrText xml:space="preserve"> SEQ Proposal \* ARABIC </w:instrText>
      </w:r>
      <w:r w:rsidR="00186DA5">
        <w:fldChar w:fldCharType="separate"/>
      </w:r>
      <w:r w:rsidR="00946888">
        <w:rPr>
          <w:noProof/>
        </w:rPr>
        <w:t>6</w:t>
      </w:r>
      <w:r w:rsidR="00186DA5">
        <w:rPr>
          <w:noProof/>
        </w:rPr>
        <w:fldChar w:fldCharType="end"/>
      </w:r>
      <w:r>
        <w:tab/>
        <w:t xml:space="preserve">The measurement capability requirements </w:t>
      </w:r>
      <w:r w:rsidR="001A2F26">
        <w:rPr>
          <w:lang w:val="en-US"/>
        </w:rPr>
        <w:t>of A2G is FFS</w:t>
      </w:r>
      <w:r w:rsidR="00C15EDE">
        <w:t>.</w:t>
      </w:r>
      <w:r>
        <w:t xml:space="preserve"> </w:t>
      </w:r>
    </w:p>
    <w:p w14:paraId="4C203226" w14:textId="7C7EF2DD" w:rsidR="002F7170" w:rsidRPr="00A862AF" w:rsidRDefault="002F7170" w:rsidP="002F7170">
      <w:pPr>
        <w:pStyle w:val="Caption"/>
        <w:ind w:left="1134" w:hanging="1134"/>
        <w:jc w:val="left"/>
      </w:pPr>
      <w:r>
        <w:t xml:space="preserve">Proposal </w:t>
      </w:r>
      <w:r w:rsidR="00186DA5">
        <w:fldChar w:fldCharType="begin"/>
      </w:r>
      <w:r w:rsidR="00186DA5">
        <w:instrText xml:space="preserve"> SEQ Proposal \* ARABIC </w:instrText>
      </w:r>
      <w:r w:rsidR="00186DA5">
        <w:fldChar w:fldCharType="separate"/>
      </w:r>
      <w:r w:rsidR="00946888">
        <w:rPr>
          <w:noProof/>
        </w:rPr>
        <w:t>7</w:t>
      </w:r>
      <w:r w:rsidR="00186DA5">
        <w:rPr>
          <w:noProof/>
        </w:rPr>
        <w:fldChar w:fldCharType="end"/>
      </w:r>
      <w:r>
        <w:tab/>
        <w:t xml:space="preserve">The current IDLE/INACTIVE paging reception requirements, excluding inter-RAT, are reused for A2G. </w:t>
      </w:r>
    </w:p>
    <w:p w14:paraId="0DB3D8BB" w14:textId="161B8CFC" w:rsidR="006C269A" w:rsidRPr="00A862AF" w:rsidRDefault="006C269A" w:rsidP="006C269A">
      <w:pPr>
        <w:pStyle w:val="Caption"/>
        <w:ind w:left="1134" w:hanging="1134"/>
        <w:jc w:val="left"/>
      </w:pPr>
      <w:r>
        <w:lastRenderedPageBreak/>
        <w:t xml:space="preserve">Proposal </w:t>
      </w:r>
      <w:r w:rsidR="00186DA5">
        <w:fldChar w:fldCharType="begin"/>
      </w:r>
      <w:r w:rsidR="00186DA5">
        <w:instrText xml:space="preserve"> SEQ Proposal \* ARABIC </w:instrText>
      </w:r>
      <w:r w:rsidR="00186DA5">
        <w:fldChar w:fldCharType="separate"/>
      </w:r>
      <w:r w:rsidR="00946888">
        <w:rPr>
          <w:noProof/>
        </w:rPr>
        <w:t>8</w:t>
      </w:r>
      <w:r w:rsidR="00186DA5">
        <w:rPr>
          <w:noProof/>
        </w:rPr>
        <w:fldChar w:fldCharType="end"/>
      </w:r>
      <w:r>
        <w:tab/>
        <w:t xml:space="preserve">SDT </w:t>
      </w:r>
      <w:r w:rsidR="00BF310C">
        <w:t xml:space="preserve">requirements are defined </w:t>
      </w:r>
      <w:r>
        <w:t xml:space="preserve">for A2G. </w:t>
      </w:r>
      <w:r w:rsidR="007F4A47">
        <w:t>Details are FSS</w:t>
      </w:r>
      <w:r>
        <w:t xml:space="preserve">.  </w:t>
      </w:r>
    </w:p>
    <w:p w14:paraId="070EAFD5" w14:textId="436DB8F7" w:rsidR="00E352E3" w:rsidRPr="00A862AF" w:rsidRDefault="00E352E3" w:rsidP="00E352E3">
      <w:pPr>
        <w:pStyle w:val="Caption"/>
        <w:ind w:left="1134" w:hanging="1134"/>
        <w:jc w:val="left"/>
      </w:pPr>
      <w:bookmarkStart w:id="8" w:name="_In-sequence_SDU_delivery"/>
      <w:bookmarkEnd w:id="8"/>
      <w:r>
        <w:t xml:space="preserve">Proposal </w:t>
      </w:r>
      <w:r w:rsidR="003D4461">
        <w:fldChar w:fldCharType="begin"/>
      </w:r>
      <w:r w:rsidR="003D4461">
        <w:instrText xml:space="preserve"> SEQ Proposal \* ARABIC </w:instrText>
      </w:r>
      <w:r w:rsidR="003D4461">
        <w:fldChar w:fldCharType="separate"/>
      </w:r>
      <w:r w:rsidR="00946888">
        <w:rPr>
          <w:noProof/>
        </w:rPr>
        <w:t>9</w:t>
      </w:r>
      <w:r w:rsidR="003D4461">
        <w:rPr>
          <w:noProof/>
        </w:rPr>
        <w:fldChar w:fldCharType="end"/>
      </w:r>
      <w:r>
        <w:tab/>
      </w:r>
      <w:r w:rsidR="000B71D8" w:rsidRPr="00BC00C8">
        <w:rPr>
          <w:color w:val="000000" w:themeColor="text1"/>
        </w:rPr>
        <w:t>The principle from the legacy RRC re-establishment requirements can be reused</w:t>
      </w:r>
      <w:r w:rsidR="000B71D8">
        <w:rPr>
          <w:color w:val="000000" w:themeColor="text1"/>
          <w:lang w:val="en-US"/>
        </w:rPr>
        <w:t xml:space="preserve"> as baseline for A2G, and any further impact is FFS</w:t>
      </w:r>
      <w:r>
        <w:t xml:space="preserve">.  </w:t>
      </w:r>
    </w:p>
    <w:p w14:paraId="0D3849F4" w14:textId="795A867E" w:rsidR="00304695" w:rsidRPr="00A862AF" w:rsidRDefault="00304695" w:rsidP="00304695">
      <w:pPr>
        <w:pStyle w:val="Caption"/>
        <w:ind w:left="1134" w:hanging="1134"/>
        <w:jc w:val="left"/>
      </w:pPr>
      <w:r>
        <w:t xml:space="preserve">Proposal </w:t>
      </w:r>
      <w:r w:rsidR="003D4461">
        <w:fldChar w:fldCharType="begin"/>
      </w:r>
      <w:r w:rsidR="003D4461">
        <w:instrText xml:space="preserve"> SEQ Proposal \* ARABIC </w:instrText>
      </w:r>
      <w:r w:rsidR="003D4461">
        <w:fldChar w:fldCharType="separate"/>
      </w:r>
      <w:r w:rsidR="00946888">
        <w:rPr>
          <w:noProof/>
        </w:rPr>
        <w:t>10</w:t>
      </w:r>
      <w:r w:rsidR="003D4461">
        <w:rPr>
          <w:noProof/>
        </w:rPr>
        <w:fldChar w:fldCharType="end"/>
      </w:r>
      <w:r>
        <w:tab/>
      </w:r>
      <w:r w:rsidRPr="00BC00C8">
        <w:rPr>
          <w:color w:val="000000" w:themeColor="text1"/>
        </w:rPr>
        <w:t xml:space="preserve">The principle from the </w:t>
      </w:r>
      <w:proofErr w:type="gramStart"/>
      <w:r>
        <w:rPr>
          <w:color w:val="000000" w:themeColor="text1"/>
          <w:lang w:val="en-US"/>
        </w:rPr>
        <w:t>random access</w:t>
      </w:r>
      <w:proofErr w:type="gramEnd"/>
      <w:r>
        <w:rPr>
          <w:color w:val="000000" w:themeColor="text1"/>
          <w:lang w:val="en-US"/>
        </w:rPr>
        <w:t xml:space="preserve"> </w:t>
      </w:r>
      <w:r w:rsidRPr="00BC00C8">
        <w:rPr>
          <w:color w:val="000000" w:themeColor="text1"/>
        </w:rPr>
        <w:t>requirements can be reused</w:t>
      </w:r>
      <w:r>
        <w:rPr>
          <w:color w:val="000000" w:themeColor="text1"/>
          <w:lang w:val="en-US"/>
        </w:rPr>
        <w:t xml:space="preserve"> as baseline for A2G, and any further impact is FFS</w:t>
      </w:r>
      <w:r>
        <w:t xml:space="preserve">.  </w:t>
      </w:r>
    </w:p>
    <w:p w14:paraId="05F5D316" w14:textId="0B234070" w:rsidR="00304695" w:rsidRPr="00A862AF" w:rsidRDefault="00304695" w:rsidP="00304695">
      <w:pPr>
        <w:pStyle w:val="Caption"/>
        <w:ind w:left="1134" w:hanging="1134"/>
        <w:jc w:val="left"/>
      </w:pPr>
      <w:r>
        <w:t xml:space="preserve">Proposal </w:t>
      </w:r>
      <w:r w:rsidR="003D4461">
        <w:fldChar w:fldCharType="begin"/>
      </w:r>
      <w:r w:rsidR="003D4461">
        <w:instrText xml:space="preserve"> SEQ Proposal \* ARABIC </w:instrText>
      </w:r>
      <w:r w:rsidR="003D4461">
        <w:fldChar w:fldCharType="separate"/>
      </w:r>
      <w:r w:rsidR="00946888">
        <w:rPr>
          <w:noProof/>
        </w:rPr>
        <w:t>11</w:t>
      </w:r>
      <w:r w:rsidR="003D4461">
        <w:rPr>
          <w:noProof/>
        </w:rPr>
        <w:fldChar w:fldCharType="end"/>
      </w:r>
      <w:r>
        <w:tab/>
      </w:r>
      <w:r>
        <w:rPr>
          <w:color w:val="000000" w:themeColor="text1"/>
          <w:lang w:val="en-US"/>
        </w:rPr>
        <w:t xml:space="preserve">RAN4 to discuss whether to define requirements for 2-step RA for A2G. </w:t>
      </w:r>
    </w:p>
    <w:p w14:paraId="59523B48" w14:textId="048B3938" w:rsidR="00D17522" w:rsidRPr="00A862AF" w:rsidRDefault="00D17522" w:rsidP="00D17522">
      <w:pPr>
        <w:pStyle w:val="Caption"/>
        <w:ind w:left="1134" w:hanging="1134"/>
        <w:jc w:val="left"/>
      </w:pPr>
      <w:r>
        <w:t xml:space="preserve">Proposal </w:t>
      </w:r>
      <w:r w:rsidR="003D4461">
        <w:fldChar w:fldCharType="begin"/>
      </w:r>
      <w:r w:rsidR="003D4461">
        <w:instrText xml:space="preserve"> SEQ Proposal \* ARABIC </w:instrText>
      </w:r>
      <w:r w:rsidR="003D4461">
        <w:fldChar w:fldCharType="separate"/>
      </w:r>
      <w:r w:rsidR="00946888">
        <w:rPr>
          <w:noProof/>
        </w:rPr>
        <w:t>12</w:t>
      </w:r>
      <w:r w:rsidR="003D4461">
        <w:rPr>
          <w:noProof/>
        </w:rPr>
        <w:fldChar w:fldCharType="end"/>
      </w:r>
      <w:r>
        <w:tab/>
      </w:r>
      <w:r w:rsidRPr="00BC00C8">
        <w:rPr>
          <w:color w:val="000000" w:themeColor="text1"/>
        </w:rPr>
        <w:t xml:space="preserve">The principle from the </w:t>
      </w:r>
      <w:r>
        <w:rPr>
          <w:color w:val="000000" w:themeColor="text1"/>
          <w:lang w:val="en-US"/>
        </w:rPr>
        <w:t>RRC connection release with redirection for A2G, and any further impact is FFS</w:t>
      </w:r>
      <w:r>
        <w:t xml:space="preserve">.  </w:t>
      </w:r>
    </w:p>
    <w:p w14:paraId="247321EA" w14:textId="7D42C990" w:rsidR="005C675A" w:rsidRPr="00A862AF" w:rsidRDefault="005C675A" w:rsidP="005C675A">
      <w:pPr>
        <w:pStyle w:val="Caption"/>
        <w:ind w:left="1134" w:hanging="1134"/>
        <w:jc w:val="left"/>
      </w:pPr>
      <w:r>
        <w:t xml:space="preserve">Proposal </w:t>
      </w:r>
      <w:r w:rsidR="00186DA5">
        <w:fldChar w:fldCharType="begin"/>
      </w:r>
      <w:r w:rsidR="00186DA5">
        <w:instrText xml:space="preserve"> SEQ Proposal \* ARABIC </w:instrText>
      </w:r>
      <w:r w:rsidR="00186DA5">
        <w:fldChar w:fldCharType="separate"/>
      </w:r>
      <w:r w:rsidR="00946888">
        <w:rPr>
          <w:noProof/>
        </w:rPr>
        <w:t>13</w:t>
      </w:r>
      <w:r w:rsidR="00186DA5">
        <w:rPr>
          <w:noProof/>
        </w:rPr>
        <w:fldChar w:fldCharType="end"/>
      </w:r>
      <w:r>
        <w:tab/>
      </w:r>
      <w:r w:rsidR="004579CC">
        <w:t xml:space="preserve">Interruption requirements defined in section </w:t>
      </w:r>
      <w:r w:rsidR="00DD3487">
        <w:t xml:space="preserve">8.2 are not applicable assuming that single carrier is considered for A2G in this release. </w:t>
      </w:r>
      <w:r>
        <w:t xml:space="preserve"> </w:t>
      </w:r>
    </w:p>
    <w:p w14:paraId="2C954604" w14:textId="48CD6D2B" w:rsidR="00476065" w:rsidRPr="00A862AF" w:rsidRDefault="00476065" w:rsidP="00476065">
      <w:pPr>
        <w:pStyle w:val="Caption"/>
        <w:ind w:left="1134" w:hanging="1134"/>
        <w:jc w:val="left"/>
      </w:pPr>
      <w:r>
        <w:t xml:space="preserve">Proposal </w:t>
      </w:r>
      <w:r w:rsidR="00186DA5">
        <w:fldChar w:fldCharType="begin"/>
      </w:r>
      <w:r w:rsidR="00186DA5">
        <w:instrText xml:space="preserve"> SEQ Proposal \* ARABIC </w:instrText>
      </w:r>
      <w:r w:rsidR="00186DA5">
        <w:fldChar w:fldCharType="separate"/>
      </w:r>
      <w:r w:rsidR="00946888">
        <w:rPr>
          <w:noProof/>
        </w:rPr>
        <w:t>14</w:t>
      </w:r>
      <w:r w:rsidR="00186DA5">
        <w:rPr>
          <w:noProof/>
        </w:rPr>
        <w:fldChar w:fldCharType="end"/>
      </w:r>
      <w:r>
        <w:tab/>
        <w:t>The existing link recovery requirements defined for FR1 are used as baseline</w:t>
      </w:r>
      <w:r w:rsidR="00073BA4">
        <w:t xml:space="preserve"> for A2G. </w:t>
      </w:r>
      <w:r>
        <w:t xml:space="preserve">  </w:t>
      </w:r>
    </w:p>
    <w:p w14:paraId="4B0CF737" w14:textId="7AEECDD6" w:rsidR="00AC20D5" w:rsidRPr="00A862AF" w:rsidRDefault="00AC20D5" w:rsidP="00AC20D5">
      <w:pPr>
        <w:pStyle w:val="Caption"/>
        <w:ind w:left="1134" w:hanging="1134"/>
        <w:jc w:val="left"/>
      </w:pPr>
      <w:r>
        <w:t xml:space="preserve">Proposal </w:t>
      </w:r>
      <w:r w:rsidR="00186DA5">
        <w:fldChar w:fldCharType="begin"/>
      </w:r>
      <w:r w:rsidR="00186DA5">
        <w:instrText xml:space="preserve"> SEQ Proposal \* ARABIC </w:instrText>
      </w:r>
      <w:r w:rsidR="00186DA5">
        <w:fldChar w:fldCharType="separate"/>
      </w:r>
      <w:r w:rsidR="00946888">
        <w:rPr>
          <w:noProof/>
        </w:rPr>
        <w:t>15</w:t>
      </w:r>
      <w:r w:rsidR="00186DA5">
        <w:rPr>
          <w:noProof/>
        </w:rPr>
        <w:fldChar w:fldCharType="end"/>
      </w:r>
      <w:r>
        <w:tab/>
        <w:t xml:space="preserve">The existing active BWP switch delay requirements defined for FR1 are used as baseline for A2G.   </w:t>
      </w:r>
    </w:p>
    <w:p w14:paraId="0BBEC02A" w14:textId="57FDEA3A" w:rsidR="009E79FE" w:rsidRDefault="009E79FE" w:rsidP="009E79FE">
      <w:pPr>
        <w:pStyle w:val="Caption"/>
        <w:ind w:left="1134" w:hanging="1134"/>
        <w:jc w:val="left"/>
      </w:pPr>
      <w:r>
        <w:t xml:space="preserve">Proposal </w:t>
      </w:r>
      <w:r w:rsidR="00186DA5">
        <w:fldChar w:fldCharType="begin"/>
      </w:r>
      <w:r w:rsidR="00186DA5">
        <w:instrText xml:space="preserve"> SEQ Proposal \* ARABIC </w:instrText>
      </w:r>
      <w:r w:rsidR="00186DA5">
        <w:fldChar w:fldCharType="separate"/>
      </w:r>
      <w:r w:rsidR="00946888">
        <w:rPr>
          <w:noProof/>
        </w:rPr>
        <w:t>16</w:t>
      </w:r>
      <w:r w:rsidR="00186DA5">
        <w:rPr>
          <w:noProof/>
        </w:rPr>
        <w:fldChar w:fldCharType="end"/>
      </w:r>
      <w:r>
        <w:tab/>
        <w:t xml:space="preserve">The existing active TCI state switch delay requirements defined for FR1 are used as baseline for A2G.   </w:t>
      </w:r>
    </w:p>
    <w:p w14:paraId="7EDDF09D" w14:textId="791F9D4F" w:rsidR="009E79FE" w:rsidRPr="00A862AF" w:rsidRDefault="009E79FE" w:rsidP="009E79FE">
      <w:pPr>
        <w:pStyle w:val="Caption"/>
        <w:ind w:left="1134" w:hanging="1134"/>
        <w:jc w:val="left"/>
      </w:pPr>
      <w:r>
        <w:t xml:space="preserve">Proposal </w:t>
      </w:r>
      <w:r w:rsidR="00186DA5">
        <w:fldChar w:fldCharType="begin"/>
      </w:r>
      <w:r w:rsidR="00186DA5">
        <w:instrText xml:space="preserve"> SEQ Proposal \* ARABIC </w:instrText>
      </w:r>
      <w:r w:rsidR="00186DA5">
        <w:fldChar w:fldCharType="separate"/>
      </w:r>
      <w:r w:rsidR="00946888">
        <w:rPr>
          <w:noProof/>
        </w:rPr>
        <w:t>17</w:t>
      </w:r>
      <w:r w:rsidR="00186DA5">
        <w:rPr>
          <w:noProof/>
        </w:rPr>
        <w:fldChar w:fldCharType="end"/>
      </w:r>
      <w:r>
        <w:tab/>
        <w:t xml:space="preserve">The existing active spatial relation switch delay requirements defined for FR1 are used as baseline for A2G.   </w:t>
      </w:r>
    </w:p>
    <w:p w14:paraId="245E3219" w14:textId="4E2D96B1" w:rsidR="00E2235F" w:rsidRPr="00A862AF" w:rsidRDefault="00E2235F" w:rsidP="00E2235F">
      <w:pPr>
        <w:pStyle w:val="Caption"/>
        <w:ind w:left="1134" w:hanging="1134"/>
        <w:jc w:val="left"/>
      </w:pPr>
      <w:r>
        <w:t xml:space="preserve">Proposal </w:t>
      </w:r>
      <w:r w:rsidR="00186DA5">
        <w:fldChar w:fldCharType="begin"/>
      </w:r>
      <w:r w:rsidR="00186DA5">
        <w:instrText xml:space="preserve"> SEQ Proposal \* ARABIC </w:instrText>
      </w:r>
      <w:r w:rsidR="00186DA5">
        <w:fldChar w:fldCharType="separate"/>
      </w:r>
      <w:r w:rsidR="00946888">
        <w:rPr>
          <w:noProof/>
        </w:rPr>
        <w:t>18</w:t>
      </w:r>
      <w:r w:rsidR="00186DA5">
        <w:rPr>
          <w:noProof/>
        </w:rPr>
        <w:fldChar w:fldCharType="end"/>
      </w:r>
      <w:r>
        <w:tab/>
        <w:t xml:space="preserve">The existing UE specific CBW change requirements defined for FR1 are used as baseline for A2G.   </w:t>
      </w:r>
    </w:p>
    <w:p w14:paraId="0FBB08E1" w14:textId="493EA7BE" w:rsidR="00E2235F" w:rsidRDefault="00E2235F" w:rsidP="00E2235F">
      <w:pPr>
        <w:pStyle w:val="Caption"/>
        <w:ind w:left="1134" w:hanging="1134"/>
        <w:jc w:val="left"/>
      </w:pPr>
      <w:r>
        <w:t xml:space="preserve">Proposal </w:t>
      </w:r>
      <w:r w:rsidR="00186DA5">
        <w:fldChar w:fldCharType="begin"/>
      </w:r>
      <w:r w:rsidR="00186DA5">
        <w:instrText xml:space="preserve"> SEQ Proposal \* ARABIC </w:instrText>
      </w:r>
      <w:r w:rsidR="00186DA5">
        <w:fldChar w:fldCharType="separate"/>
      </w:r>
      <w:r w:rsidR="00946888">
        <w:rPr>
          <w:noProof/>
        </w:rPr>
        <w:t>19</w:t>
      </w:r>
      <w:r w:rsidR="00186DA5">
        <w:rPr>
          <w:noProof/>
        </w:rPr>
        <w:fldChar w:fldCharType="end"/>
      </w:r>
      <w:r>
        <w:tab/>
        <w:t>No need to consider pathloss reference signal switch delay requirements for A2G</w:t>
      </w:r>
      <w:r w:rsidR="00AC7874">
        <w:t xml:space="preserve"> in Rel-18</w:t>
      </w:r>
      <w:r>
        <w:t xml:space="preserve">.   </w:t>
      </w:r>
    </w:p>
    <w:p w14:paraId="6ACD634A" w14:textId="57214EC7" w:rsidR="00BA27CE" w:rsidRDefault="00BA27CE" w:rsidP="00BA27CE">
      <w:pPr>
        <w:pStyle w:val="Caption"/>
        <w:ind w:left="1134" w:hanging="1134"/>
        <w:jc w:val="left"/>
      </w:pPr>
      <w:r>
        <w:t xml:space="preserve">Proposal </w:t>
      </w:r>
      <w:r w:rsidR="00186DA5">
        <w:fldChar w:fldCharType="begin"/>
      </w:r>
      <w:r w:rsidR="00186DA5">
        <w:instrText xml:space="preserve"> SEQ Proposal \* ARABIC </w:instrText>
      </w:r>
      <w:r w:rsidR="00186DA5">
        <w:fldChar w:fldCharType="separate"/>
      </w:r>
      <w:r w:rsidR="00946888">
        <w:rPr>
          <w:noProof/>
        </w:rPr>
        <w:t>20</w:t>
      </w:r>
      <w:r w:rsidR="00186DA5">
        <w:rPr>
          <w:noProof/>
        </w:rPr>
        <w:fldChar w:fldCharType="end"/>
      </w:r>
      <w:r>
        <w:tab/>
      </w:r>
      <w:r w:rsidR="00E300F7">
        <w:t xml:space="preserve">The existing requirements on </w:t>
      </w:r>
      <w:proofErr w:type="spellStart"/>
      <w:r>
        <w:t>SCell</w:t>
      </w:r>
      <w:proofErr w:type="spellEnd"/>
      <w:r>
        <w:t xml:space="preserve"> activation and deactivation </w:t>
      </w:r>
      <w:r w:rsidR="00E300F7">
        <w:t xml:space="preserve">are used as baseline for A2G provided that CA/multiple carriers are supported </w:t>
      </w:r>
      <w:r w:rsidR="00D559A8">
        <w:t>for A2G</w:t>
      </w:r>
      <w:r>
        <w:t>.</w:t>
      </w:r>
    </w:p>
    <w:p w14:paraId="7EF1668E" w14:textId="6E51FD32" w:rsidR="003A196B" w:rsidRPr="00C359BB" w:rsidRDefault="003A196B" w:rsidP="003A196B">
      <w:pPr>
        <w:rPr>
          <w:b/>
        </w:rPr>
      </w:pPr>
      <w:r w:rsidRPr="00C359BB">
        <w:rPr>
          <w:b/>
        </w:rPr>
        <w:t xml:space="preserve">Proposal </w:t>
      </w:r>
      <w:r w:rsidRPr="00C359BB">
        <w:rPr>
          <w:b/>
          <w:bCs/>
        </w:rPr>
        <w:fldChar w:fldCharType="begin"/>
      </w:r>
      <w:r w:rsidRPr="00C359BB">
        <w:rPr>
          <w:b/>
        </w:rPr>
        <w:instrText xml:space="preserve"> SEQ Proposal \* ARABIC </w:instrText>
      </w:r>
      <w:r w:rsidRPr="00C359BB">
        <w:rPr>
          <w:b/>
          <w:bCs/>
        </w:rPr>
        <w:fldChar w:fldCharType="separate"/>
      </w:r>
      <w:r w:rsidR="00946888">
        <w:rPr>
          <w:b/>
          <w:noProof/>
        </w:rPr>
        <w:t>21</w:t>
      </w:r>
      <w:r w:rsidRPr="00C359BB">
        <w:rPr>
          <w:b/>
          <w:bCs/>
        </w:rPr>
        <w:fldChar w:fldCharType="end"/>
      </w:r>
      <w:r w:rsidRPr="00C359BB">
        <w:rPr>
          <w:b/>
        </w:rPr>
        <w:tab/>
      </w:r>
      <w:r w:rsidR="004078B5" w:rsidRPr="00C359BB">
        <w:rPr>
          <w:b/>
          <w:bCs/>
          <w:color w:val="000000" w:themeColor="text1"/>
        </w:rPr>
        <w:t>Only FR1 MG is considered in ATG network</w:t>
      </w:r>
      <w:r w:rsidRPr="00C359BB">
        <w:rPr>
          <w:b/>
          <w:bCs/>
        </w:rPr>
        <w:t>.</w:t>
      </w:r>
    </w:p>
    <w:p w14:paraId="01955D9F" w14:textId="782971C5" w:rsidR="003A196B" w:rsidRDefault="003A196B" w:rsidP="003A196B">
      <w:r w:rsidRPr="003A196B">
        <w:rPr>
          <w:b/>
          <w:bCs/>
        </w:rPr>
        <w:t xml:space="preserve">Proposal </w:t>
      </w:r>
      <w:r w:rsidRPr="00C359BB">
        <w:rPr>
          <w:b/>
        </w:rPr>
        <w:fldChar w:fldCharType="begin"/>
      </w:r>
      <w:r w:rsidRPr="003A196B">
        <w:rPr>
          <w:b/>
          <w:bCs/>
        </w:rPr>
        <w:instrText xml:space="preserve"> SEQ Proposal \* ARABIC </w:instrText>
      </w:r>
      <w:r w:rsidRPr="00C359BB">
        <w:rPr>
          <w:b/>
          <w:bCs/>
        </w:rPr>
        <w:fldChar w:fldCharType="separate"/>
      </w:r>
      <w:r w:rsidR="00946888">
        <w:rPr>
          <w:b/>
          <w:bCs/>
          <w:noProof/>
        </w:rPr>
        <w:t>22</w:t>
      </w:r>
      <w:r w:rsidRPr="00C359BB">
        <w:rPr>
          <w:b/>
          <w:bCs/>
        </w:rPr>
        <w:fldChar w:fldCharType="end"/>
      </w:r>
      <w:r w:rsidRPr="00C359BB">
        <w:rPr>
          <w:b/>
          <w:bCs/>
        </w:rPr>
        <w:t xml:space="preserve"> CSSF needs update if single carrier is supported, such as no deactivated </w:t>
      </w:r>
      <w:proofErr w:type="spellStart"/>
      <w:r w:rsidRPr="00C359BB">
        <w:rPr>
          <w:b/>
          <w:bCs/>
        </w:rPr>
        <w:t>SCell</w:t>
      </w:r>
      <w:proofErr w:type="spellEnd"/>
      <w:r w:rsidRPr="00C359BB">
        <w:rPr>
          <w:b/>
          <w:bCs/>
        </w:rPr>
        <w:t xml:space="preserve"> measurement, no SCCs, </w:t>
      </w:r>
      <w:proofErr w:type="spellStart"/>
      <w:r w:rsidRPr="00C359BB">
        <w:rPr>
          <w:b/>
          <w:bCs/>
        </w:rPr>
        <w:t>PSCell</w:t>
      </w:r>
      <w:proofErr w:type="spellEnd"/>
      <w:r w:rsidRPr="00C359BB">
        <w:rPr>
          <w:b/>
          <w:bCs/>
        </w:rPr>
        <w:t xml:space="preserve"> measurement.</w:t>
      </w:r>
      <w:r>
        <w:rPr>
          <w:b/>
          <w:bCs/>
        </w:rPr>
        <w:t xml:space="preserve"> </w:t>
      </w:r>
      <w:proofErr w:type="spellStart"/>
      <w:r w:rsidRPr="00C359BB">
        <w:rPr>
          <w:b/>
          <w:bCs/>
        </w:rPr>
        <w:t>RedCap</w:t>
      </w:r>
      <w:proofErr w:type="spellEnd"/>
      <w:r w:rsidRPr="00C359BB">
        <w:rPr>
          <w:b/>
          <w:bCs/>
        </w:rPr>
        <w:t xml:space="preserve"> single carrier measurement requirement can be a reference.</w:t>
      </w:r>
      <w:r w:rsidRPr="00C359BB">
        <w:t xml:space="preserve"> </w:t>
      </w:r>
      <w:r w:rsidR="00BA27CE">
        <w:t xml:space="preserve">  </w:t>
      </w:r>
    </w:p>
    <w:p w14:paraId="1A32DA9E" w14:textId="6F0E0BBE" w:rsidR="00BA27CE" w:rsidRPr="00A862AF" w:rsidRDefault="003A196B" w:rsidP="00C359BB">
      <w:r w:rsidRPr="00AB5FA8">
        <w:rPr>
          <w:b/>
          <w:bCs/>
        </w:rPr>
        <w:t xml:space="preserve">Proposal </w:t>
      </w:r>
      <w:r w:rsidRPr="00AB5FA8">
        <w:rPr>
          <w:b/>
          <w:bCs/>
        </w:rPr>
        <w:fldChar w:fldCharType="begin"/>
      </w:r>
      <w:r w:rsidRPr="00AB5FA8">
        <w:rPr>
          <w:b/>
          <w:bCs/>
        </w:rPr>
        <w:instrText xml:space="preserve"> SEQ Proposal \* ARABIC </w:instrText>
      </w:r>
      <w:r w:rsidRPr="00AB5FA8">
        <w:rPr>
          <w:b/>
          <w:bCs/>
        </w:rPr>
        <w:fldChar w:fldCharType="separate"/>
      </w:r>
      <w:r w:rsidR="00946888">
        <w:rPr>
          <w:b/>
          <w:bCs/>
          <w:noProof/>
        </w:rPr>
        <w:t>23</w:t>
      </w:r>
      <w:r w:rsidRPr="00AB5FA8">
        <w:rPr>
          <w:b/>
          <w:bCs/>
        </w:rPr>
        <w:fldChar w:fldCharType="end"/>
      </w:r>
      <w:r>
        <w:rPr>
          <w:b/>
          <w:bCs/>
        </w:rPr>
        <w:t xml:space="preserve"> </w:t>
      </w:r>
      <w:r w:rsidRPr="00C359BB">
        <w:rPr>
          <w:b/>
          <w:bCs/>
        </w:rPr>
        <w:t>RAN4 can further study the trade-off between Inter-frequency measurement within MG and the throughput due to large cell coverage.</w:t>
      </w:r>
      <w:r>
        <w:rPr>
          <w:b/>
          <w:bCs/>
        </w:rPr>
        <w:t xml:space="preserve"> </w:t>
      </w:r>
    </w:p>
    <w:p w14:paraId="32379A9A" w14:textId="7863D6A8" w:rsidR="00BA27CE" w:rsidRPr="00C359BB" w:rsidRDefault="003A196B" w:rsidP="00BA27CE">
      <w:pPr>
        <w:rPr>
          <w:b/>
        </w:rPr>
      </w:pPr>
      <w:r w:rsidRPr="00AB5FA8">
        <w:rPr>
          <w:b/>
          <w:bCs/>
        </w:rPr>
        <w:t xml:space="preserve">Proposal </w:t>
      </w:r>
      <w:r w:rsidRPr="00AB5FA8">
        <w:rPr>
          <w:b/>
          <w:bCs/>
        </w:rPr>
        <w:fldChar w:fldCharType="begin"/>
      </w:r>
      <w:r w:rsidRPr="00AB5FA8">
        <w:rPr>
          <w:b/>
          <w:bCs/>
        </w:rPr>
        <w:instrText xml:space="preserve"> SEQ Proposal \* ARABIC </w:instrText>
      </w:r>
      <w:r w:rsidRPr="00AB5FA8">
        <w:rPr>
          <w:b/>
          <w:bCs/>
        </w:rPr>
        <w:fldChar w:fldCharType="separate"/>
      </w:r>
      <w:r w:rsidR="00946888">
        <w:rPr>
          <w:b/>
          <w:bCs/>
          <w:noProof/>
        </w:rPr>
        <w:t>24</w:t>
      </w:r>
      <w:r w:rsidRPr="00AB5FA8">
        <w:rPr>
          <w:b/>
          <w:bCs/>
        </w:rPr>
        <w:fldChar w:fldCharType="end"/>
      </w:r>
      <w:r>
        <w:rPr>
          <w:b/>
          <w:bCs/>
        </w:rPr>
        <w:t xml:space="preserve"> </w:t>
      </w:r>
      <w:r w:rsidRPr="00C359BB">
        <w:rPr>
          <w:b/>
          <w:bCs/>
        </w:rPr>
        <w:t>UE doesn’t need to support any inter-RAT measurement in ATG system.</w:t>
      </w:r>
    </w:p>
    <w:p w14:paraId="5F6BD0A2" w14:textId="5A0B418A" w:rsidR="00BF310C" w:rsidRDefault="003A196B" w:rsidP="00C359BB">
      <w:pPr>
        <w:rPr>
          <w:b/>
          <w:bCs/>
        </w:rPr>
      </w:pPr>
      <w:r w:rsidRPr="00AB5FA8">
        <w:rPr>
          <w:b/>
          <w:bCs/>
        </w:rPr>
        <w:t xml:space="preserve">Proposal </w:t>
      </w:r>
      <w:r w:rsidRPr="00AB5FA8">
        <w:rPr>
          <w:b/>
          <w:bCs/>
        </w:rPr>
        <w:fldChar w:fldCharType="begin"/>
      </w:r>
      <w:r w:rsidRPr="00AB5FA8">
        <w:rPr>
          <w:b/>
          <w:bCs/>
        </w:rPr>
        <w:instrText xml:space="preserve"> SEQ Proposal \* ARABIC </w:instrText>
      </w:r>
      <w:r w:rsidRPr="00AB5FA8">
        <w:rPr>
          <w:b/>
          <w:bCs/>
        </w:rPr>
        <w:fldChar w:fldCharType="separate"/>
      </w:r>
      <w:r w:rsidR="00946888">
        <w:rPr>
          <w:b/>
          <w:bCs/>
          <w:noProof/>
        </w:rPr>
        <w:t>25</w:t>
      </w:r>
      <w:r w:rsidRPr="00AB5FA8">
        <w:rPr>
          <w:b/>
          <w:bCs/>
        </w:rPr>
        <w:fldChar w:fldCharType="end"/>
      </w:r>
      <w:r>
        <w:rPr>
          <w:b/>
          <w:bCs/>
        </w:rPr>
        <w:t xml:space="preserve"> </w:t>
      </w:r>
      <w:r w:rsidRPr="00C359BB">
        <w:rPr>
          <w:b/>
          <w:bCs/>
        </w:rPr>
        <w:t>RAN4 to further discuss whether UE supports CGI reading in ATG system.</w:t>
      </w:r>
    </w:p>
    <w:p w14:paraId="6757D0D5" w14:textId="77777777" w:rsidR="00B43653" w:rsidRDefault="00B43653" w:rsidP="00B43653">
      <w:pPr>
        <w:widowControl w:val="0"/>
        <w:spacing w:after="0"/>
        <w:rPr>
          <w:b/>
          <w:bCs/>
          <w:kern w:val="2"/>
          <w:lang w:val="en-US" w:eastAsia="zh-CN"/>
        </w:rPr>
      </w:pPr>
    </w:p>
    <w:p w14:paraId="73FE6165" w14:textId="77777777" w:rsidR="00B43653" w:rsidRPr="00C70E3A" w:rsidRDefault="00B43653" w:rsidP="00B43653">
      <w:pPr>
        <w:rPr>
          <w:b/>
          <w:bCs/>
          <w:lang w:val="en-US"/>
        </w:rPr>
      </w:pPr>
      <w:r w:rsidRPr="00C70E3A">
        <w:rPr>
          <w:b/>
          <w:bCs/>
          <w:lang w:val="en-US"/>
        </w:rPr>
        <w:t xml:space="preserve">Observation </w:t>
      </w:r>
      <w:r>
        <w:rPr>
          <w:b/>
          <w:bCs/>
          <w:lang w:val="en-US"/>
        </w:rPr>
        <w:t>3</w:t>
      </w:r>
      <w:r w:rsidRPr="00C70E3A">
        <w:rPr>
          <w:b/>
          <w:bCs/>
          <w:lang w:val="en-US"/>
        </w:rPr>
        <w:t xml:space="preserve">: Air-to-ground network (ATG) for NR WI is a RAN4 only WI. This means that we </w:t>
      </w:r>
      <w:proofErr w:type="gramStart"/>
      <w:r w:rsidRPr="00C70E3A">
        <w:rPr>
          <w:b/>
          <w:bCs/>
          <w:lang w:val="en-US"/>
        </w:rPr>
        <w:t>have to</w:t>
      </w:r>
      <w:proofErr w:type="gramEnd"/>
      <w:r w:rsidRPr="00C70E3A">
        <w:rPr>
          <w:b/>
          <w:bCs/>
          <w:lang w:val="en-US"/>
        </w:rPr>
        <w:t xml:space="preserve"> rely on the existing procedures up to an</w:t>
      </w:r>
      <w:r>
        <w:rPr>
          <w:b/>
          <w:bCs/>
          <w:lang w:val="en-US"/>
        </w:rPr>
        <w:t>d</w:t>
      </w:r>
      <w:r w:rsidRPr="00C70E3A">
        <w:rPr>
          <w:b/>
          <w:bCs/>
          <w:lang w:val="en-US"/>
        </w:rPr>
        <w:t xml:space="preserve"> including rel-17</w:t>
      </w:r>
      <w:r>
        <w:rPr>
          <w:b/>
          <w:bCs/>
          <w:lang w:val="en-US"/>
        </w:rPr>
        <w:t>, that is TN and NTN procedures up to and including release-17, for random access and Timing Advance.</w:t>
      </w:r>
    </w:p>
    <w:p w14:paraId="67A65B03" w14:textId="77777777" w:rsidR="00B43653" w:rsidRDefault="00B43653" w:rsidP="00B43653">
      <w:pPr>
        <w:widowControl w:val="0"/>
        <w:spacing w:after="0"/>
        <w:rPr>
          <w:b/>
          <w:bCs/>
          <w:kern w:val="2"/>
          <w:lang w:val="en-US" w:eastAsia="zh-CN"/>
        </w:rPr>
      </w:pPr>
    </w:p>
    <w:p w14:paraId="6B0C5739" w14:textId="77777777" w:rsidR="00B43653" w:rsidRPr="008665BC" w:rsidRDefault="00B43653" w:rsidP="00B43653">
      <w:pPr>
        <w:widowControl w:val="0"/>
        <w:spacing w:after="0"/>
        <w:rPr>
          <w:b/>
          <w:bCs/>
          <w:kern w:val="2"/>
          <w:lang w:val="en-US" w:eastAsia="zh-CN"/>
        </w:rPr>
      </w:pPr>
      <w:r w:rsidRPr="008665BC">
        <w:rPr>
          <w:b/>
          <w:bCs/>
          <w:kern w:val="2"/>
          <w:lang w:val="en-US" w:eastAsia="zh-CN"/>
        </w:rPr>
        <w:t xml:space="preserve">Observation </w:t>
      </w:r>
      <w:r>
        <w:rPr>
          <w:b/>
          <w:bCs/>
          <w:kern w:val="2"/>
          <w:lang w:val="en-US" w:eastAsia="zh-CN"/>
        </w:rPr>
        <w:t>4</w:t>
      </w:r>
      <w:r w:rsidRPr="008665BC">
        <w:rPr>
          <w:b/>
          <w:bCs/>
          <w:kern w:val="2"/>
          <w:lang w:val="en-US" w:eastAsia="zh-CN"/>
        </w:rPr>
        <w:t xml:space="preserve">: The maximum Doppler frequency for ATG </w:t>
      </w:r>
      <w:r>
        <w:rPr>
          <w:b/>
          <w:bCs/>
          <w:kern w:val="2"/>
          <w:lang w:val="en-US" w:eastAsia="zh-CN"/>
        </w:rPr>
        <w:t xml:space="preserve">UE </w:t>
      </w:r>
      <w:r w:rsidRPr="008665BC">
        <w:rPr>
          <w:b/>
          <w:bCs/>
          <w:kern w:val="2"/>
          <w:lang w:val="en-US" w:eastAsia="zh-CN"/>
        </w:rPr>
        <w:t>is at least 5.6 kHz to cover example bands.</w:t>
      </w:r>
    </w:p>
    <w:p w14:paraId="37E1C341" w14:textId="77777777" w:rsidR="00B43653" w:rsidRDefault="00B43653" w:rsidP="00B43653">
      <w:pPr>
        <w:widowControl w:val="0"/>
        <w:spacing w:after="0"/>
        <w:rPr>
          <w:b/>
          <w:bCs/>
          <w:kern w:val="2"/>
          <w:lang w:val="en-US" w:eastAsia="zh-CN"/>
        </w:rPr>
      </w:pPr>
    </w:p>
    <w:p w14:paraId="08A19BE6" w14:textId="4D7FB8CF" w:rsidR="00B43653" w:rsidRDefault="00B43653" w:rsidP="00B43653">
      <w:pPr>
        <w:widowControl w:val="0"/>
        <w:spacing w:after="0"/>
        <w:rPr>
          <w:b/>
          <w:bCs/>
          <w:kern w:val="2"/>
          <w:lang w:val="en-US" w:eastAsia="zh-CN"/>
        </w:rPr>
      </w:pPr>
      <w:r w:rsidRPr="00881675">
        <w:rPr>
          <w:b/>
          <w:bCs/>
          <w:kern w:val="2"/>
          <w:lang w:val="en-US" w:eastAsia="zh-CN"/>
        </w:rPr>
        <w:t xml:space="preserve">Observation </w:t>
      </w:r>
      <w:r>
        <w:rPr>
          <w:b/>
          <w:bCs/>
          <w:kern w:val="2"/>
          <w:lang w:val="en-US" w:eastAsia="zh-CN"/>
        </w:rPr>
        <w:t>5</w:t>
      </w:r>
      <w:r w:rsidRPr="00881675">
        <w:rPr>
          <w:b/>
          <w:bCs/>
          <w:kern w:val="2"/>
          <w:lang w:val="en-US" w:eastAsia="zh-CN"/>
        </w:rPr>
        <w:t xml:space="preserve">: The maximum Doppler frequency for ATG </w:t>
      </w:r>
      <w:r>
        <w:rPr>
          <w:b/>
          <w:bCs/>
          <w:kern w:val="2"/>
          <w:lang w:val="en-US" w:eastAsia="zh-CN"/>
        </w:rPr>
        <w:t xml:space="preserve">BS </w:t>
      </w:r>
      <w:r w:rsidRPr="00881675">
        <w:rPr>
          <w:b/>
          <w:bCs/>
          <w:kern w:val="2"/>
          <w:lang w:val="en-US" w:eastAsia="zh-CN"/>
        </w:rPr>
        <w:t xml:space="preserve">is at least </w:t>
      </w:r>
      <w:r>
        <w:rPr>
          <w:b/>
          <w:bCs/>
          <w:kern w:val="2"/>
          <w:lang w:val="en-US" w:eastAsia="zh-CN"/>
        </w:rPr>
        <w:t>11</w:t>
      </w:r>
      <w:r w:rsidRPr="00881675">
        <w:rPr>
          <w:b/>
          <w:bCs/>
          <w:kern w:val="2"/>
          <w:lang w:val="en-US" w:eastAsia="zh-CN"/>
        </w:rPr>
        <w:t>.6 kHz to cover example bands</w:t>
      </w:r>
      <w:r>
        <w:rPr>
          <w:b/>
          <w:bCs/>
          <w:kern w:val="2"/>
          <w:lang w:val="en-US" w:eastAsia="zh-CN"/>
        </w:rPr>
        <w:t xml:space="preserve"> whilst assuming existing terrestrial 5G access procedures</w:t>
      </w:r>
      <w:r w:rsidRPr="00881675">
        <w:rPr>
          <w:b/>
          <w:bCs/>
          <w:kern w:val="2"/>
          <w:lang w:val="en-US" w:eastAsia="zh-CN"/>
        </w:rPr>
        <w:t>.</w:t>
      </w:r>
    </w:p>
    <w:p w14:paraId="1BEB5AB8" w14:textId="77777777" w:rsidR="00833744" w:rsidRDefault="00833744" w:rsidP="00B43653">
      <w:pPr>
        <w:rPr>
          <w:b/>
          <w:bCs/>
          <w:lang w:val="en-US"/>
        </w:rPr>
      </w:pPr>
    </w:p>
    <w:p w14:paraId="1296A1FA" w14:textId="2E9EC4A9" w:rsidR="00B43653" w:rsidRDefault="00B43653" w:rsidP="00B43653">
      <w:r w:rsidRPr="00C70E3A">
        <w:rPr>
          <w:b/>
          <w:bCs/>
          <w:lang w:val="en-US"/>
        </w:rPr>
        <w:t xml:space="preserve">Observation </w:t>
      </w:r>
      <w:r>
        <w:rPr>
          <w:b/>
          <w:bCs/>
          <w:lang w:val="en-US"/>
        </w:rPr>
        <w:t>6</w:t>
      </w:r>
      <w:r w:rsidRPr="00C70E3A">
        <w:rPr>
          <w:b/>
          <w:bCs/>
          <w:lang w:val="en-US"/>
        </w:rPr>
        <w:t>:</w:t>
      </w:r>
      <w:r>
        <w:rPr>
          <w:b/>
          <w:bCs/>
          <w:lang w:val="en-US"/>
        </w:rPr>
        <w:t xml:space="preserve"> </w:t>
      </w:r>
      <w:r w:rsidRPr="00C70E3A">
        <w:rPr>
          <w:b/>
          <w:bCs/>
          <w:lang w:val="en-US"/>
        </w:rPr>
        <w:t xml:space="preserve"> </w:t>
      </w:r>
      <w:r w:rsidRPr="00683D82">
        <w:rPr>
          <w:b/>
          <w:bCs/>
          <w:lang w:val="en-US"/>
        </w:rPr>
        <w:t>There is a fundamental tradeoff between cell range and ability to suppress Doppler frequency in a TN network</w:t>
      </w:r>
      <w:r>
        <w:rPr>
          <w:b/>
          <w:bCs/>
          <w:lang w:val="en-US"/>
        </w:rPr>
        <w:t>.</w:t>
      </w:r>
    </w:p>
    <w:p w14:paraId="252088A6" w14:textId="77777777" w:rsidR="00B43653" w:rsidRDefault="00B43653" w:rsidP="00B43653">
      <w:r w:rsidRPr="00C70E3A">
        <w:rPr>
          <w:b/>
          <w:bCs/>
          <w:lang w:val="en-US"/>
        </w:rPr>
        <w:t xml:space="preserve">Observation </w:t>
      </w:r>
      <w:r>
        <w:rPr>
          <w:b/>
          <w:bCs/>
          <w:lang w:val="en-US"/>
        </w:rPr>
        <w:t>7</w:t>
      </w:r>
      <w:r w:rsidRPr="00C70E3A">
        <w:rPr>
          <w:b/>
          <w:bCs/>
          <w:lang w:val="en-US"/>
        </w:rPr>
        <w:t>:</w:t>
      </w:r>
      <w:r>
        <w:rPr>
          <w:b/>
          <w:bCs/>
          <w:lang w:val="en-US"/>
        </w:rPr>
        <w:t xml:space="preserve"> </w:t>
      </w:r>
      <w:r w:rsidRPr="00C70E3A">
        <w:rPr>
          <w:b/>
          <w:bCs/>
          <w:lang w:val="en-US"/>
        </w:rPr>
        <w:t xml:space="preserve"> </w:t>
      </w:r>
      <w:r w:rsidRPr="00683D82">
        <w:rPr>
          <w:b/>
          <w:bCs/>
        </w:rPr>
        <w:t xml:space="preserve">A long sequence is closer to meet the ATG requirement of up to 300 km cell range but can only reach around 100 km and handle ordinary Doppler </w:t>
      </w:r>
      <w:r>
        <w:rPr>
          <w:b/>
          <w:bCs/>
        </w:rPr>
        <w:t xml:space="preserve">corresponding to UE speed of </w:t>
      </w:r>
      <w:r w:rsidRPr="00683D82">
        <w:rPr>
          <w:b/>
          <w:bCs/>
        </w:rPr>
        <w:t>up to 300 km/h</w:t>
      </w:r>
      <w:r>
        <w:rPr>
          <w:b/>
          <w:bCs/>
        </w:rPr>
        <w:t xml:space="preserve"> or 500 km/h with Restricted Sets</w:t>
      </w:r>
      <w:r w:rsidRPr="00683D82">
        <w:rPr>
          <w:b/>
          <w:bCs/>
        </w:rPr>
        <w:t>. A short sequence can handle the Doppler of ATG but not the range.</w:t>
      </w:r>
      <w:r>
        <w:t xml:space="preserve"> </w:t>
      </w:r>
    </w:p>
    <w:p w14:paraId="219A286A" w14:textId="7BE810FF" w:rsidR="00B43653" w:rsidRDefault="00B43653" w:rsidP="00B43653">
      <w:pPr>
        <w:rPr>
          <w:b/>
          <w:bCs/>
          <w:lang w:val="en-US"/>
        </w:rPr>
      </w:pPr>
      <w:r w:rsidRPr="00C70E3A">
        <w:rPr>
          <w:b/>
          <w:bCs/>
          <w:lang w:val="en-US"/>
        </w:rPr>
        <w:t xml:space="preserve">Observation </w:t>
      </w:r>
      <w:r>
        <w:rPr>
          <w:b/>
          <w:bCs/>
          <w:lang w:val="en-US"/>
        </w:rPr>
        <w:t>8</w:t>
      </w:r>
      <w:r w:rsidRPr="00C70E3A">
        <w:rPr>
          <w:b/>
          <w:bCs/>
          <w:lang w:val="en-US"/>
        </w:rPr>
        <w:t>:</w:t>
      </w:r>
      <w:r>
        <w:rPr>
          <w:b/>
          <w:bCs/>
          <w:lang w:val="en-US"/>
        </w:rPr>
        <w:t xml:space="preserve"> An ATG system needs a full slot or even several slots of GP, however t</w:t>
      </w:r>
      <w:r w:rsidRPr="009A068D">
        <w:rPr>
          <w:b/>
          <w:bCs/>
          <w:lang w:val="en-US"/>
        </w:rPr>
        <w:t xml:space="preserve">he large ISD and beamforming might mitigate any issues with regards to </w:t>
      </w:r>
      <w:r>
        <w:rPr>
          <w:b/>
          <w:bCs/>
          <w:lang w:val="en-US"/>
        </w:rPr>
        <w:t xml:space="preserve">GP for TDD. </w:t>
      </w:r>
      <w:r w:rsidRPr="00C70E3A">
        <w:rPr>
          <w:b/>
          <w:bCs/>
          <w:lang w:val="en-US"/>
        </w:rPr>
        <w:t xml:space="preserve"> </w:t>
      </w:r>
    </w:p>
    <w:p w14:paraId="6E8987CF" w14:textId="3F69DCA5" w:rsidR="00B43653" w:rsidRDefault="00B43653" w:rsidP="00B43653">
      <w:pPr>
        <w:rPr>
          <w:b/>
          <w:bCs/>
          <w:lang w:val="en-US" w:eastAsia="zh-CN"/>
        </w:rPr>
      </w:pPr>
      <w:r>
        <w:rPr>
          <w:b/>
          <w:bCs/>
          <w:lang w:val="en-US" w:eastAsia="zh-CN"/>
        </w:rPr>
        <w:t>Observation 9: An NTN network can handle the 300 km cell range of an ATG system.</w:t>
      </w:r>
    </w:p>
    <w:p w14:paraId="64E7453C" w14:textId="77777777" w:rsidR="00B43653" w:rsidRDefault="00B43653" w:rsidP="00B43653">
      <w:pPr>
        <w:rPr>
          <w:b/>
          <w:bCs/>
          <w:lang w:val="en-US" w:eastAsia="zh-CN"/>
        </w:rPr>
      </w:pPr>
      <w:r>
        <w:rPr>
          <w:b/>
          <w:bCs/>
          <w:lang w:val="en-US" w:eastAsia="zh-CN"/>
        </w:rPr>
        <w:t>Observation 10: An NTN network can handle the Doppler of an ATG system.</w:t>
      </w:r>
    </w:p>
    <w:p w14:paraId="6728E8D7" w14:textId="77777777" w:rsidR="00B43653" w:rsidRPr="0048157E" w:rsidRDefault="00B43653" w:rsidP="00B43653">
      <w:pPr>
        <w:rPr>
          <w:lang w:val="en-US" w:eastAsia="zh-CN"/>
        </w:rPr>
      </w:pPr>
      <w:r>
        <w:rPr>
          <w:b/>
          <w:bCs/>
          <w:lang w:val="en-US" w:eastAsia="zh-CN"/>
        </w:rPr>
        <w:t xml:space="preserve">Observation 11: </w:t>
      </w:r>
      <w:r w:rsidRPr="00876CF6">
        <w:rPr>
          <w:b/>
          <w:bCs/>
          <w:lang w:val="en-US" w:eastAsia="zh-CN"/>
        </w:rPr>
        <w:t>For ATG, the scenario differs in that the UE is in the air and the BS is on the ground. The equivalent of ephemeris information would be a knowledge of BS positions.</w:t>
      </w:r>
    </w:p>
    <w:p w14:paraId="7F330CBB" w14:textId="77777777" w:rsidR="00617A74" w:rsidRPr="008665BC" w:rsidRDefault="00617A74" w:rsidP="00617A74">
      <w:pPr>
        <w:widowControl w:val="0"/>
        <w:spacing w:after="0"/>
        <w:rPr>
          <w:b/>
          <w:bCs/>
          <w:kern w:val="2"/>
          <w:lang w:val="en-US" w:eastAsia="zh-CN"/>
        </w:rPr>
      </w:pPr>
      <w:r>
        <w:rPr>
          <w:b/>
          <w:bCs/>
          <w:kern w:val="2"/>
          <w:lang w:val="en-US" w:eastAsia="zh-CN"/>
        </w:rPr>
        <w:t>Proposal 25: Clarify maximum Doppler frequency for ATG UE and BS requirements.</w:t>
      </w:r>
      <w:r>
        <w:rPr>
          <w:b/>
          <w:bCs/>
          <w:kern w:val="2"/>
          <w:lang w:val="en-US" w:eastAsia="zh-CN"/>
        </w:rPr>
        <w:br/>
      </w:r>
    </w:p>
    <w:p w14:paraId="14ADB4F1" w14:textId="77777777" w:rsidR="00617A74" w:rsidRPr="00754AD8" w:rsidRDefault="00617A74" w:rsidP="00617A74">
      <w:pPr>
        <w:rPr>
          <w:b/>
          <w:bCs/>
        </w:rPr>
      </w:pPr>
      <w:r w:rsidRPr="00754AD8">
        <w:rPr>
          <w:b/>
          <w:bCs/>
        </w:rPr>
        <w:t>Proposal 2</w:t>
      </w:r>
      <w:r>
        <w:rPr>
          <w:b/>
          <w:bCs/>
          <w:lang w:val="en-US"/>
        </w:rPr>
        <w:t>6</w:t>
      </w:r>
      <w:r>
        <w:rPr>
          <w:b/>
          <w:bCs/>
        </w:rPr>
        <w:t xml:space="preserve">: </w:t>
      </w:r>
      <w:r>
        <w:rPr>
          <w:b/>
          <w:bCs/>
          <w:kern w:val="2"/>
          <w:lang w:val="en-US" w:eastAsia="zh-CN"/>
        </w:rPr>
        <w:t xml:space="preserve">Clarify maximum range in ATG given the capabilities of existing releases up to and including release 17. </w:t>
      </w:r>
    </w:p>
    <w:p w14:paraId="2CC1A14D" w14:textId="77777777" w:rsidR="00617A74" w:rsidRPr="00A20BCC" w:rsidRDefault="00617A74" w:rsidP="00617A74">
      <w:pPr>
        <w:rPr>
          <w:lang w:val="en-US" w:eastAsia="zh-CN"/>
        </w:rPr>
      </w:pPr>
      <w:r w:rsidRPr="00094BD1">
        <w:rPr>
          <w:b/>
          <w:bCs/>
        </w:rPr>
        <w:t xml:space="preserve">Proposal </w:t>
      </w:r>
      <w:r>
        <w:rPr>
          <w:b/>
          <w:bCs/>
          <w:lang w:val="en-US"/>
        </w:rPr>
        <w:t>27</w:t>
      </w:r>
      <w:r>
        <w:rPr>
          <w:b/>
          <w:bCs/>
        </w:rPr>
        <w:t>: Clarify the need for and size of GP for ATG TDD.</w:t>
      </w:r>
    </w:p>
    <w:p w14:paraId="492E5F59" w14:textId="77777777" w:rsidR="00B43653" w:rsidRPr="00A862AF" w:rsidRDefault="00B43653" w:rsidP="00C359BB"/>
    <w:p w14:paraId="4CA81E87" w14:textId="77777777" w:rsidR="00F507D1" w:rsidRPr="00F6302A" w:rsidRDefault="00F507D1" w:rsidP="00F507D1">
      <w:pPr>
        <w:pStyle w:val="Heading1"/>
        <w:rPr>
          <w:lang w:val="en-US"/>
        </w:rPr>
      </w:pPr>
      <w:r w:rsidRPr="00F6302A">
        <w:rPr>
          <w:lang w:val="en-US"/>
        </w:rPr>
        <w:t>References</w:t>
      </w:r>
    </w:p>
    <w:p w14:paraId="68A803F2" w14:textId="246121FB" w:rsidR="004D36B1" w:rsidRPr="00C359BB" w:rsidRDefault="00787065" w:rsidP="00311702">
      <w:pPr>
        <w:pStyle w:val="Reference"/>
        <w:rPr>
          <w:color w:val="000000" w:themeColor="text1"/>
        </w:rPr>
      </w:pPr>
      <w:bookmarkStart w:id="9" w:name="_Ref174151459"/>
      <w:bookmarkStart w:id="10" w:name="_Ref189809556"/>
      <w:bookmarkStart w:id="11" w:name="_Ref110778841"/>
      <w:r w:rsidRPr="00C359BB">
        <w:rPr>
          <w:color w:val="000000" w:themeColor="text1"/>
        </w:rPr>
        <w:t>RP-220962</w:t>
      </w:r>
      <w:r w:rsidR="00311702" w:rsidRPr="00C359BB">
        <w:rPr>
          <w:color w:val="000000" w:themeColor="text1"/>
        </w:rPr>
        <w:t xml:space="preserve">, </w:t>
      </w:r>
      <w:r w:rsidR="001C3D2A" w:rsidRPr="00C359BB">
        <w:rPr>
          <w:color w:val="000000" w:themeColor="text1"/>
        </w:rPr>
        <w:t>“</w:t>
      </w:r>
      <w:r w:rsidR="00A85504" w:rsidRPr="00C359BB">
        <w:rPr>
          <w:color w:val="000000" w:themeColor="text1"/>
        </w:rPr>
        <w:t>New WID: Air-to-ground network for NR</w:t>
      </w:r>
      <w:r w:rsidR="004D36B1" w:rsidRPr="00C359BB">
        <w:rPr>
          <w:color w:val="000000" w:themeColor="text1"/>
        </w:rPr>
        <w:t xml:space="preserve">”, </w:t>
      </w:r>
      <w:bookmarkEnd w:id="9"/>
      <w:bookmarkEnd w:id="10"/>
      <w:r w:rsidRPr="00C359BB">
        <w:rPr>
          <w:color w:val="000000" w:themeColor="text1"/>
        </w:rPr>
        <w:t>CMCC</w:t>
      </w:r>
      <w:bookmarkEnd w:id="11"/>
    </w:p>
    <w:p w14:paraId="10AC5221" w14:textId="77777777" w:rsidR="003A7EF3" w:rsidRPr="00F6302A" w:rsidRDefault="003A7EF3" w:rsidP="00311702">
      <w:pPr>
        <w:pStyle w:val="BodyText"/>
      </w:pPr>
    </w:p>
    <w:sectPr w:rsidR="003A7EF3" w:rsidRPr="00F6302A">
      <w:headerReference w:type="even" r:id="rId66"/>
      <w:footerReference w:type="default" r:id="rId6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877AF" w14:textId="77777777" w:rsidR="00B00485" w:rsidRDefault="00B00485">
      <w:r>
        <w:separator/>
      </w:r>
    </w:p>
  </w:endnote>
  <w:endnote w:type="continuationSeparator" w:id="0">
    <w:p w14:paraId="47AB4EC4" w14:textId="77777777" w:rsidR="00B00485" w:rsidRDefault="00B00485">
      <w:r>
        <w:continuationSeparator/>
      </w:r>
    </w:p>
  </w:endnote>
  <w:endnote w:type="continuationNotice" w:id="1">
    <w:p w14:paraId="2C8A1AD6" w14:textId="77777777" w:rsidR="008606C6" w:rsidRDefault="008606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611F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E786F" w14:textId="77777777" w:rsidR="00B00485" w:rsidRDefault="00B00485">
      <w:r>
        <w:separator/>
      </w:r>
    </w:p>
  </w:footnote>
  <w:footnote w:type="continuationSeparator" w:id="0">
    <w:p w14:paraId="384623C7" w14:textId="77777777" w:rsidR="00B00485" w:rsidRDefault="00B00485">
      <w:r>
        <w:continuationSeparator/>
      </w:r>
    </w:p>
  </w:footnote>
  <w:footnote w:type="continuationNotice" w:id="1">
    <w:p w14:paraId="5F488BF5" w14:textId="77777777" w:rsidR="008606C6" w:rsidRDefault="008606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9332B"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864DC9"/>
    <w:multiLevelType w:val="hybridMultilevel"/>
    <w:tmpl w:val="15943324"/>
    <w:lvl w:ilvl="0" w:tplc="B48AA7C0">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1FC2EB5"/>
    <w:multiLevelType w:val="hybridMultilevel"/>
    <w:tmpl w:val="FF589E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4885D5C"/>
    <w:multiLevelType w:val="hybridMultilevel"/>
    <w:tmpl w:val="C71ADCB8"/>
    <w:lvl w:ilvl="0" w:tplc="FA02C08A">
      <w:start w:val="1"/>
      <w:numFmt w:val="bullet"/>
      <w:lvlText w:val="•"/>
      <w:lvlJc w:val="left"/>
      <w:pPr>
        <w:tabs>
          <w:tab w:val="num" w:pos="720"/>
        </w:tabs>
        <w:ind w:left="720" w:hanging="360"/>
      </w:pPr>
      <w:rPr>
        <w:rFonts w:ascii="Arial" w:hAnsi="Arial" w:hint="default"/>
      </w:rPr>
    </w:lvl>
    <w:lvl w:ilvl="1" w:tplc="DF02F866">
      <w:start w:val="1"/>
      <w:numFmt w:val="bullet"/>
      <w:lvlText w:val="•"/>
      <w:lvlJc w:val="left"/>
      <w:pPr>
        <w:tabs>
          <w:tab w:val="num" w:pos="1440"/>
        </w:tabs>
        <w:ind w:left="1440" w:hanging="360"/>
      </w:pPr>
      <w:rPr>
        <w:rFonts w:ascii="Arial" w:hAnsi="Arial" w:hint="default"/>
      </w:rPr>
    </w:lvl>
    <w:lvl w:ilvl="2" w:tplc="00783D0E">
      <w:numFmt w:val="bullet"/>
      <w:lvlText w:val="•"/>
      <w:lvlJc w:val="left"/>
      <w:pPr>
        <w:tabs>
          <w:tab w:val="num" w:pos="2160"/>
        </w:tabs>
        <w:ind w:left="2160" w:hanging="360"/>
      </w:pPr>
      <w:rPr>
        <w:rFonts w:ascii="Arial" w:hAnsi="Arial" w:hint="default"/>
      </w:rPr>
    </w:lvl>
    <w:lvl w:ilvl="3" w:tplc="99FE3BAA">
      <w:numFmt w:val="bullet"/>
      <w:lvlText w:val="•"/>
      <w:lvlJc w:val="left"/>
      <w:pPr>
        <w:tabs>
          <w:tab w:val="num" w:pos="2880"/>
        </w:tabs>
        <w:ind w:left="2880" w:hanging="360"/>
      </w:pPr>
      <w:rPr>
        <w:rFonts w:ascii="Arial" w:hAnsi="Arial" w:hint="default"/>
      </w:rPr>
    </w:lvl>
    <w:lvl w:ilvl="4" w:tplc="581A6E4A" w:tentative="1">
      <w:start w:val="1"/>
      <w:numFmt w:val="bullet"/>
      <w:lvlText w:val="•"/>
      <w:lvlJc w:val="left"/>
      <w:pPr>
        <w:tabs>
          <w:tab w:val="num" w:pos="3600"/>
        </w:tabs>
        <w:ind w:left="3600" w:hanging="360"/>
      </w:pPr>
      <w:rPr>
        <w:rFonts w:ascii="Arial" w:hAnsi="Arial" w:hint="default"/>
      </w:rPr>
    </w:lvl>
    <w:lvl w:ilvl="5" w:tplc="6F64B976" w:tentative="1">
      <w:start w:val="1"/>
      <w:numFmt w:val="bullet"/>
      <w:lvlText w:val="•"/>
      <w:lvlJc w:val="left"/>
      <w:pPr>
        <w:tabs>
          <w:tab w:val="num" w:pos="4320"/>
        </w:tabs>
        <w:ind w:left="4320" w:hanging="360"/>
      </w:pPr>
      <w:rPr>
        <w:rFonts w:ascii="Arial" w:hAnsi="Arial" w:hint="default"/>
      </w:rPr>
    </w:lvl>
    <w:lvl w:ilvl="6" w:tplc="6772028E" w:tentative="1">
      <w:start w:val="1"/>
      <w:numFmt w:val="bullet"/>
      <w:lvlText w:val="•"/>
      <w:lvlJc w:val="left"/>
      <w:pPr>
        <w:tabs>
          <w:tab w:val="num" w:pos="5040"/>
        </w:tabs>
        <w:ind w:left="5040" w:hanging="360"/>
      </w:pPr>
      <w:rPr>
        <w:rFonts w:ascii="Arial" w:hAnsi="Arial" w:hint="default"/>
      </w:rPr>
    </w:lvl>
    <w:lvl w:ilvl="7" w:tplc="3DF65808" w:tentative="1">
      <w:start w:val="1"/>
      <w:numFmt w:val="bullet"/>
      <w:lvlText w:val="•"/>
      <w:lvlJc w:val="left"/>
      <w:pPr>
        <w:tabs>
          <w:tab w:val="num" w:pos="5760"/>
        </w:tabs>
        <w:ind w:left="5760" w:hanging="360"/>
      </w:pPr>
      <w:rPr>
        <w:rFonts w:ascii="Arial" w:hAnsi="Arial" w:hint="default"/>
      </w:rPr>
    </w:lvl>
    <w:lvl w:ilvl="8" w:tplc="9260EE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0E3DC2"/>
    <w:multiLevelType w:val="hybridMultilevel"/>
    <w:tmpl w:val="DF7665CC"/>
    <w:lvl w:ilvl="0" w:tplc="98B28616">
      <w:start w:val="1"/>
      <w:numFmt w:val="bullet"/>
      <w:lvlText w:val="•"/>
      <w:lvlJc w:val="left"/>
      <w:pPr>
        <w:tabs>
          <w:tab w:val="num" w:pos="720"/>
        </w:tabs>
        <w:ind w:left="720" w:hanging="360"/>
      </w:pPr>
      <w:rPr>
        <w:rFonts w:ascii="Arial" w:hAnsi="Arial" w:hint="default"/>
      </w:rPr>
    </w:lvl>
    <w:lvl w:ilvl="1" w:tplc="780270EE">
      <w:numFmt w:val="bullet"/>
      <w:lvlText w:val="•"/>
      <w:lvlJc w:val="left"/>
      <w:pPr>
        <w:tabs>
          <w:tab w:val="num" w:pos="1440"/>
        </w:tabs>
        <w:ind w:left="1440" w:hanging="360"/>
      </w:pPr>
      <w:rPr>
        <w:rFonts w:ascii="Arial" w:hAnsi="Arial" w:hint="default"/>
      </w:rPr>
    </w:lvl>
    <w:lvl w:ilvl="2" w:tplc="E7F07E28" w:tentative="1">
      <w:start w:val="1"/>
      <w:numFmt w:val="bullet"/>
      <w:lvlText w:val="•"/>
      <w:lvlJc w:val="left"/>
      <w:pPr>
        <w:tabs>
          <w:tab w:val="num" w:pos="2160"/>
        </w:tabs>
        <w:ind w:left="2160" w:hanging="360"/>
      </w:pPr>
      <w:rPr>
        <w:rFonts w:ascii="Arial" w:hAnsi="Arial" w:hint="default"/>
      </w:rPr>
    </w:lvl>
    <w:lvl w:ilvl="3" w:tplc="3736787E" w:tentative="1">
      <w:start w:val="1"/>
      <w:numFmt w:val="bullet"/>
      <w:lvlText w:val="•"/>
      <w:lvlJc w:val="left"/>
      <w:pPr>
        <w:tabs>
          <w:tab w:val="num" w:pos="2880"/>
        </w:tabs>
        <w:ind w:left="2880" w:hanging="360"/>
      </w:pPr>
      <w:rPr>
        <w:rFonts w:ascii="Arial" w:hAnsi="Arial" w:hint="default"/>
      </w:rPr>
    </w:lvl>
    <w:lvl w:ilvl="4" w:tplc="E34EB352" w:tentative="1">
      <w:start w:val="1"/>
      <w:numFmt w:val="bullet"/>
      <w:lvlText w:val="•"/>
      <w:lvlJc w:val="left"/>
      <w:pPr>
        <w:tabs>
          <w:tab w:val="num" w:pos="3600"/>
        </w:tabs>
        <w:ind w:left="3600" w:hanging="360"/>
      </w:pPr>
      <w:rPr>
        <w:rFonts w:ascii="Arial" w:hAnsi="Arial" w:hint="default"/>
      </w:rPr>
    </w:lvl>
    <w:lvl w:ilvl="5" w:tplc="BCDE32B2" w:tentative="1">
      <w:start w:val="1"/>
      <w:numFmt w:val="bullet"/>
      <w:lvlText w:val="•"/>
      <w:lvlJc w:val="left"/>
      <w:pPr>
        <w:tabs>
          <w:tab w:val="num" w:pos="4320"/>
        </w:tabs>
        <w:ind w:left="4320" w:hanging="360"/>
      </w:pPr>
      <w:rPr>
        <w:rFonts w:ascii="Arial" w:hAnsi="Arial" w:hint="default"/>
      </w:rPr>
    </w:lvl>
    <w:lvl w:ilvl="6" w:tplc="2278BF44" w:tentative="1">
      <w:start w:val="1"/>
      <w:numFmt w:val="bullet"/>
      <w:lvlText w:val="•"/>
      <w:lvlJc w:val="left"/>
      <w:pPr>
        <w:tabs>
          <w:tab w:val="num" w:pos="5040"/>
        </w:tabs>
        <w:ind w:left="5040" w:hanging="360"/>
      </w:pPr>
      <w:rPr>
        <w:rFonts w:ascii="Arial" w:hAnsi="Arial" w:hint="default"/>
      </w:rPr>
    </w:lvl>
    <w:lvl w:ilvl="7" w:tplc="344461A8" w:tentative="1">
      <w:start w:val="1"/>
      <w:numFmt w:val="bullet"/>
      <w:lvlText w:val="•"/>
      <w:lvlJc w:val="left"/>
      <w:pPr>
        <w:tabs>
          <w:tab w:val="num" w:pos="5760"/>
        </w:tabs>
        <w:ind w:left="5760" w:hanging="360"/>
      </w:pPr>
      <w:rPr>
        <w:rFonts w:ascii="Arial" w:hAnsi="Arial" w:hint="default"/>
      </w:rPr>
    </w:lvl>
    <w:lvl w:ilvl="8" w:tplc="C37627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7B67FF"/>
    <w:multiLevelType w:val="hybridMultilevel"/>
    <w:tmpl w:val="FE629A8C"/>
    <w:lvl w:ilvl="0" w:tplc="796CC2E2">
      <w:numFmt w:val="bullet"/>
      <w:lvlText w:val=""/>
      <w:lvlJc w:val="left"/>
      <w:pPr>
        <w:ind w:left="720" w:hanging="360"/>
      </w:pPr>
      <w:rPr>
        <w:rFonts w:ascii="Symbol" w:eastAsia="SimSun"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713C69"/>
    <w:multiLevelType w:val="hybridMultilevel"/>
    <w:tmpl w:val="B2086B92"/>
    <w:lvl w:ilvl="0" w:tplc="54A83BCE">
      <w:start w:val="1"/>
      <w:numFmt w:val="bullet"/>
      <w:lvlText w:val="•"/>
      <w:lvlJc w:val="left"/>
      <w:pPr>
        <w:tabs>
          <w:tab w:val="num" w:pos="720"/>
        </w:tabs>
        <w:ind w:left="720" w:hanging="360"/>
      </w:pPr>
      <w:rPr>
        <w:rFonts w:ascii="Arial" w:hAnsi="Arial" w:hint="default"/>
      </w:rPr>
    </w:lvl>
    <w:lvl w:ilvl="1" w:tplc="BCD6F364" w:tentative="1">
      <w:start w:val="1"/>
      <w:numFmt w:val="bullet"/>
      <w:lvlText w:val="•"/>
      <w:lvlJc w:val="left"/>
      <w:pPr>
        <w:tabs>
          <w:tab w:val="num" w:pos="1440"/>
        </w:tabs>
        <w:ind w:left="1440" w:hanging="360"/>
      </w:pPr>
      <w:rPr>
        <w:rFonts w:ascii="Arial" w:hAnsi="Arial" w:hint="default"/>
      </w:rPr>
    </w:lvl>
    <w:lvl w:ilvl="2" w:tplc="0C4E600E" w:tentative="1">
      <w:start w:val="1"/>
      <w:numFmt w:val="bullet"/>
      <w:lvlText w:val="•"/>
      <w:lvlJc w:val="left"/>
      <w:pPr>
        <w:tabs>
          <w:tab w:val="num" w:pos="2160"/>
        </w:tabs>
        <w:ind w:left="2160" w:hanging="360"/>
      </w:pPr>
      <w:rPr>
        <w:rFonts w:ascii="Arial" w:hAnsi="Arial" w:hint="default"/>
      </w:rPr>
    </w:lvl>
    <w:lvl w:ilvl="3" w:tplc="712C44F8" w:tentative="1">
      <w:start w:val="1"/>
      <w:numFmt w:val="bullet"/>
      <w:lvlText w:val="•"/>
      <w:lvlJc w:val="left"/>
      <w:pPr>
        <w:tabs>
          <w:tab w:val="num" w:pos="2880"/>
        </w:tabs>
        <w:ind w:left="2880" w:hanging="360"/>
      </w:pPr>
      <w:rPr>
        <w:rFonts w:ascii="Arial" w:hAnsi="Arial" w:hint="default"/>
      </w:rPr>
    </w:lvl>
    <w:lvl w:ilvl="4" w:tplc="42308146" w:tentative="1">
      <w:start w:val="1"/>
      <w:numFmt w:val="bullet"/>
      <w:lvlText w:val="•"/>
      <w:lvlJc w:val="left"/>
      <w:pPr>
        <w:tabs>
          <w:tab w:val="num" w:pos="3600"/>
        </w:tabs>
        <w:ind w:left="3600" w:hanging="360"/>
      </w:pPr>
      <w:rPr>
        <w:rFonts w:ascii="Arial" w:hAnsi="Arial" w:hint="default"/>
      </w:rPr>
    </w:lvl>
    <w:lvl w:ilvl="5" w:tplc="D0EECA68" w:tentative="1">
      <w:start w:val="1"/>
      <w:numFmt w:val="bullet"/>
      <w:lvlText w:val="•"/>
      <w:lvlJc w:val="left"/>
      <w:pPr>
        <w:tabs>
          <w:tab w:val="num" w:pos="4320"/>
        </w:tabs>
        <w:ind w:left="4320" w:hanging="360"/>
      </w:pPr>
      <w:rPr>
        <w:rFonts w:ascii="Arial" w:hAnsi="Arial" w:hint="default"/>
      </w:rPr>
    </w:lvl>
    <w:lvl w:ilvl="6" w:tplc="6E1EF58A" w:tentative="1">
      <w:start w:val="1"/>
      <w:numFmt w:val="bullet"/>
      <w:lvlText w:val="•"/>
      <w:lvlJc w:val="left"/>
      <w:pPr>
        <w:tabs>
          <w:tab w:val="num" w:pos="5040"/>
        </w:tabs>
        <w:ind w:left="5040" w:hanging="360"/>
      </w:pPr>
      <w:rPr>
        <w:rFonts w:ascii="Arial" w:hAnsi="Arial" w:hint="default"/>
      </w:rPr>
    </w:lvl>
    <w:lvl w:ilvl="7" w:tplc="3F9215B6" w:tentative="1">
      <w:start w:val="1"/>
      <w:numFmt w:val="bullet"/>
      <w:lvlText w:val="•"/>
      <w:lvlJc w:val="left"/>
      <w:pPr>
        <w:tabs>
          <w:tab w:val="num" w:pos="5760"/>
        </w:tabs>
        <w:ind w:left="5760" w:hanging="360"/>
      </w:pPr>
      <w:rPr>
        <w:rFonts w:ascii="Arial" w:hAnsi="Arial" w:hint="default"/>
      </w:rPr>
    </w:lvl>
    <w:lvl w:ilvl="8" w:tplc="3E8AA99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BFC74E7"/>
    <w:multiLevelType w:val="hybridMultilevel"/>
    <w:tmpl w:val="14FED130"/>
    <w:lvl w:ilvl="0" w:tplc="A4AE47D4">
      <w:start w:val="1"/>
      <w:numFmt w:val="bullet"/>
      <w:lvlText w:val="—"/>
      <w:lvlJc w:val="left"/>
      <w:pPr>
        <w:tabs>
          <w:tab w:val="num" w:pos="720"/>
        </w:tabs>
        <w:ind w:left="720" w:hanging="360"/>
      </w:pPr>
      <w:rPr>
        <w:rFonts w:ascii="Ericsson Hilda Light" w:hAnsi="Ericsson Hilda Light" w:hint="default"/>
      </w:rPr>
    </w:lvl>
    <w:lvl w:ilvl="1" w:tplc="F2BEF07C">
      <w:numFmt w:val="bullet"/>
      <w:lvlText w:val="—"/>
      <w:lvlJc w:val="left"/>
      <w:pPr>
        <w:tabs>
          <w:tab w:val="num" w:pos="1440"/>
        </w:tabs>
        <w:ind w:left="1440" w:hanging="360"/>
      </w:pPr>
      <w:rPr>
        <w:rFonts w:ascii="Ericsson Hilda Light" w:hAnsi="Ericsson Hilda Light" w:hint="default"/>
      </w:rPr>
    </w:lvl>
    <w:lvl w:ilvl="2" w:tplc="52669B4C" w:tentative="1">
      <w:start w:val="1"/>
      <w:numFmt w:val="bullet"/>
      <w:lvlText w:val="—"/>
      <w:lvlJc w:val="left"/>
      <w:pPr>
        <w:tabs>
          <w:tab w:val="num" w:pos="2160"/>
        </w:tabs>
        <w:ind w:left="2160" w:hanging="360"/>
      </w:pPr>
      <w:rPr>
        <w:rFonts w:ascii="Ericsson Hilda Light" w:hAnsi="Ericsson Hilda Light" w:hint="default"/>
      </w:rPr>
    </w:lvl>
    <w:lvl w:ilvl="3" w:tplc="29E46EBA" w:tentative="1">
      <w:start w:val="1"/>
      <w:numFmt w:val="bullet"/>
      <w:lvlText w:val="—"/>
      <w:lvlJc w:val="left"/>
      <w:pPr>
        <w:tabs>
          <w:tab w:val="num" w:pos="2880"/>
        </w:tabs>
        <w:ind w:left="2880" w:hanging="360"/>
      </w:pPr>
      <w:rPr>
        <w:rFonts w:ascii="Ericsson Hilda Light" w:hAnsi="Ericsson Hilda Light" w:hint="default"/>
      </w:rPr>
    </w:lvl>
    <w:lvl w:ilvl="4" w:tplc="4C32B136" w:tentative="1">
      <w:start w:val="1"/>
      <w:numFmt w:val="bullet"/>
      <w:lvlText w:val="—"/>
      <w:lvlJc w:val="left"/>
      <w:pPr>
        <w:tabs>
          <w:tab w:val="num" w:pos="3600"/>
        </w:tabs>
        <w:ind w:left="3600" w:hanging="360"/>
      </w:pPr>
      <w:rPr>
        <w:rFonts w:ascii="Ericsson Hilda Light" w:hAnsi="Ericsson Hilda Light" w:hint="default"/>
      </w:rPr>
    </w:lvl>
    <w:lvl w:ilvl="5" w:tplc="FF562D62" w:tentative="1">
      <w:start w:val="1"/>
      <w:numFmt w:val="bullet"/>
      <w:lvlText w:val="—"/>
      <w:lvlJc w:val="left"/>
      <w:pPr>
        <w:tabs>
          <w:tab w:val="num" w:pos="4320"/>
        </w:tabs>
        <w:ind w:left="4320" w:hanging="360"/>
      </w:pPr>
      <w:rPr>
        <w:rFonts w:ascii="Ericsson Hilda Light" w:hAnsi="Ericsson Hilda Light" w:hint="default"/>
      </w:rPr>
    </w:lvl>
    <w:lvl w:ilvl="6" w:tplc="6CD47C1A" w:tentative="1">
      <w:start w:val="1"/>
      <w:numFmt w:val="bullet"/>
      <w:lvlText w:val="—"/>
      <w:lvlJc w:val="left"/>
      <w:pPr>
        <w:tabs>
          <w:tab w:val="num" w:pos="5040"/>
        </w:tabs>
        <w:ind w:left="5040" w:hanging="360"/>
      </w:pPr>
      <w:rPr>
        <w:rFonts w:ascii="Ericsson Hilda Light" w:hAnsi="Ericsson Hilda Light" w:hint="default"/>
      </w:rPr>
    </w:lvl>
    <w:lvl w:ilvl="7" w:tplc="76EA7E62" w:tentative="1">
      <w:start w:val="1"/>
      <w:numFmt w:val="bullet"/>
      <w:lvlText w:val="—"/>
      <w:lvlJc w:val="left"/>
      <w:pPr>
        <w:tabs>
          <w:tab w:val="num" w:pos="5760"/>
        </w:tabs>
        <w:ind w:left="5760" w:hanging="360"/>
      </w:pPr>
      <w:rPr>
        <w:rFonts w:ascii="Ericsson Hilda Light" w:hAnsi="Ericsson Hilda Light" w:hint="default"/>
      </w:rPr>
    </w:lvl>
    <w:lvl w:ilvl="8" w:tplc="092887FC"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733174B0"/>
    <w:multiLevelType w:val="hybridMultilevel"/>
    <w:tmpl w:val="C11E5612"/>
    <w:lvl w:ilvl="0" w:tplc="5380BDAE">
      <w:start w:val="1"/>
      <w:numFmt w:val="bullet"/>
      <w:lvlText w:val="•"/>
      <w:lvlJc w:val="left"/>
      <w:pPr>
        <w:tabs>
          <w:tab w:val="num" w:pos="720"/>
        </w:tabs>
        <w:ind w:left="720" w:hanging="360"/>
      </w:pPr>
      <w:rPr>
        <w:rFonts w:ascii="Arial" w:hAnsi="Arial" w:hint="default"/>
      </w:rPr>
    </w:lvl>
    <w:lvl w:ilvl="1" w:tplc="61406944" w:tentative="1">
      <w:start w:val="1"/>
      <w:numFmt w:val="bullet"/>
      <w:lvlText w:val="•"/>
      <w:lvlJc w:val="left"/>
      <w:pPr>
        <w:tabs>
          <w:tab w:val="num" w:pos="1440"/>
        </w:tabs>
        <w:ind w:left="1440" w:hanging="360"/>
      </w:pPr>
      <w:rPr>
        <w:rFonts w:ascii="Arial" w:hAnsi="Arial" w:hint="default"/>
      </w:rPr>
    </w:lvl>
    <w:lvl w:ilvl="2" w:tplc="C2F860D0" w:tentative="1">
      <w:start w:val="1"/>
      <w:numFmt w:val="bullet"/>
      <w:lvlText w:val="•"/>
      <w:lvlJc w:val="left"/>
      <w:pPr>
        <w:tabs>
          <w:tab w:val="num" w:pos="2160"/>
        </w:tabs>
        <w:ind w:left="2160" w:hanging="360"/>
      </w:pPr>
      <w:rPr>
        <w:rFonts w:ascii="Arial" w:hAnsi="Arial" w:hint="default"/>
      </w:rPr>
    </w:lvl>
    <w:lvl w:ilvl="3" w:tplc="64B25940" w:tentative="1">
      <w:start w:val="1"/>
      <w:numFmt w:val="bullet"/>
      <w:lvlText w:val="•"/>
      <w:lvlJc w:val="left"/>
      <w:pPr>
        <w:tabs>
          <w:tab w:val="num" w:pos="2880"/>
        </w:tabs>
        <w:ind w:left="2880" w:hanging="360"/>
      </w:pPr>
      <w:rPr>
        <w:rFonts w:ascii="Arial" w:hAnsi="Arial" w:hint="default"/>
      </w:rPr>
    </w:lvl>
    <w:lvl w:ilvl="4" w:tplc="3D229B48" w:tentative="1">
      <w:start w:val="1"/>
      <w:numFmt w:val="bullet"/>
      <w:lvlText w:val="•"/>
      <w:lvlJc w:val="left"/>
      <w:pPr>
        <w:tabs>
          <w:tab w:val="num" w:pos="3600"/>
        </w:tabs>
        <w:ind w:left="3600" w:hanging="360"/>
      </w:pPr>
      <w:rPr>
        <w:rFonts w:ascii="Arial" w:hAnsi="Arial" w:hint="default"/>
      </w:rPr>
    </w:lvl>
    <w:lvl w:ilvl="5" w:tplc="867CAF4E" w:tentative="1">
      <w:start w:val="1"/>
      <w:numFmt w:val="bullet"/>
      <w:lvlText w:val="•"/>
      <w:lvlJc w:val="left"/>
      <w:pPr>
        <w:tabs>
          <w:tab w:val="num" w:pos="4320"/>
        </w:tabs>
        <w:ind w:left="4320" w:hanging="360"/>
      </w:pPr>
      <w:rPr>
        <w:rFonts w:ascii="Arial" w:hAnsi="Arial" w:hint="default"/>
      </w:rPr>
    </w:lvl>
    <w:lvl w:ilvl="6" w:tplc="AFCCBE34" w:tentative="1">
      <w:start w:val="1"/>
      <w:numFmt w:val="bullet"/>
      <w:lvlText w:val="•"/>
      <w:lvlJc w:val="left"/>
      <w:pPr>
        <w:tabs>
          <w:tab w:val="num" w:pos="5040"/>
        </w:tabs>
        <w:ind w:left="5040" w:hanging="360"/>
      </w:pPr>
      <w:rPr>
        <w:rFonts w:ascii="Arial" w:hAnsi="Arial" w:hint="default"/>
      </w:rPr>
    </w:lvl>
    <w:lvl w:ilvl="7" w:tplc="566E3BF2" w:tentative="1">
      <w:start w:val="1"/>
      <w:numFmt w:val="bullet"/>
      <w:lvlText w:val="•"/>
      <w:lvlJc w:val="left"/>
      <w:pPr>
        <w:tabs>
          <w:tab w:val="num" w:pos="5760"/>
        </w:tabs>
        <w:ind w:left="5760" w:hanging="360"/>
      </w:pPr>
      <w:rPr>
        <w:rFonts w:ascii="Arial" w:hAnsi="Arial" w:hint="default"/>
      </w:rPr>
    </w:lvl>
    <w:lvl w:ilvl="8" w:tplc="2B06E45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4"/>
  </w:num>
  <w:num w:numId="10">
    <w:abstractNumId w:val="2"/>
  </w:num>
  <w:num w:numId="11">
    <w:abstractNumId w:val="1"/>
  </w:num>
  <w:num w:numId="12">
    <w:abstractNumId w:val="15"/>
  </w:num>
  <w:num w:numId="13">
    <w:abstractNumId w:val="5"/>
  </w:num>
  <w:num w:numId="14">
    <w:abstractNumId w:val="3"/>
  </w:num>
  <w:num w:numId="15">
    <w:abstractNumId w:val="16"/>
  </w:num>
  <w:num w:numId="16">
    <w:abstractNumId w:val="14"/>
  </w:num>
  <w:num w:numId="1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563"/>
    <w:rsid w:val="00007CDC"/>
    <w:rsid w:val="00011B28"/>
    <w:rsid w:val="00015D15"/>
    <w:rsid w:val="000250AA"/>
    <w:rsid w:val="0002564D"/>
    <w:rsid w:val="00025BFD"/>
    <w:rsid w:val="00025ECA"/>
    <w:rsid w:val="00026058"/>
    <w:rsid w:val="000306E2"/>
    <w:rsid w:val="000325B8"/>
    <w:rsid w:val="00034C15"/>
    <w:rsid w:val="00035BED"/>
    <w:rsid w:val="00036BA1"/>
    <w:rsid w:val="000422E2"/>
    <w:rsid w:val="00042F22"/>
    <w:rsid w:val="000444EF"/>
    <w:rsid w:val="00046376"/>
    <w:rsid w:val="00051531"/>
    <w:rsid w:val="00052A07"/>
    <w:rsid w:val="000534E3"/>
    <w:rsid w:val="0005606A"/>
    <w:rsid w:val="00057117"/>
    <w:rsid w:val="000616E7"/>
    <w:rsid w:val="00061DB8"/>
    <w:rsid w:val="0006487E"/>
    <w:rsid w:val="00065D5B"/>
    <w:rsid w:val="00065E1A"/>
    <w:rsid w:val="00073BA4"/>
    <w:rsid w:val="00075AA4"/>
    <w:rsid w:val="00077D1A"/>
    <w:rsid w:val="00077E5F"/>
    <w:rsid w:val="0008036A"/>
    <w:rsid w:val="00081AE6"/>
    <w:rsid w:val="00083B7F"/>
    <w:rsid w:val="000855EB"/>
    <w:rsid w:val="00085B52"/>
    <w:rsid w:val="000866F2"/>
    <w:rsid w:val="0009009F"/>
    <w:rsid w:val="00091557"/>
    <w:rsid w:val="00091E10"/>
    <w:rsid w:val="000924C1"/>
    <w:rsid w:val="000924F0"/>
    <w:rsid w:val="00093474"/>
    <w:rsid w:val="00093F42"/>
    <w:rsid w:val="0009510F"/>
    <w:rsid w:val="000A1B7B"/>
    <w:rsid w:val="000A56F2"/>
    <w:rsid w:val="000A6079"/>
    <w:rsid w:val="000B25CC"/>
    <w:rsid w:val="000B2719"/>
    <w:rsid w:val="000B3A8F"/>
    <w:rsid w:val="000B4AB9"/>
    <w:rsid w:val="000B58C3"/>
    <w:rsid w:val="000B61E9"/>
    <w:rsid w:val="000B696C"/>
    <w:rsid w:val="000B6AD4"/>
    <w:rsid w:val="000B6E14"/>
    <w:rsid w:val="000B71D8"/>
    <w:rsid w:val="000B7479"/>
    <w:rsid w:val="000C165A"/>
    <w:rsid w:val="000C1FB0"/>
    <w:rsid w:val="000C2E19"/>
    <w:rsid w:val="000C316D"/>
    <w:rsid w:val="000C559D"/>
    <w:rsid w:val="000D0D07"/>
    <w:rsid w:val="000D32DC"/>
    <w:rsid w:val="000D3B01"/>
    <w:rsid w:val="000D3DC9"/>
    <w:rsid w:val="000D4797"/>
    <w:rsid w:val="000E0527"/>
    <w:rsid w:val="000E1E92"/>
    <w:rsid w:val="000E22AA"/>
    <w:rsid w:val="000F06D6"/>
    <w:rsid w:val="000F0EB1"/>
    <w:rsid w:val="000F1106"/>
    <w:rsid w:val="000F2579"/>
    <w:rsid w:val="000F28FF"/>
    <w:rsid w:val="000F3BE9"/>
    <w:rsid w:val="000F3F6C"/>
    <w:rsid w:val="000F6DF3"/>
    <w:rsid w:val="001000BC"/>
    <w:rsid w:val="001005FF"/>
    <w:rsid w:val="00105C62"/>
    <w:rsid w:val="001062FB"/>
    <w:rsid w:val="001063E6"/>
    <w:rsid w:val="00110706"/>
    <w:rsid w:val="00113CF4"/>
    <w:rsid w:val="001153EA"/>
    <w:rsid w:val="00115643"/>
    <w:rsid w:val="00116765"/>
    <w:rsid w:val="00116B0C"/>
    <w:rsid w:val="001219F5"/>
    <w:rsid w:val="00121A20"/>
    <w:rsid w:val="0012377F"/>
    <w:rsid w:val="00124314"/>
    <w:rsid w:val="001266D3"/>
    <w:rsid w:val="00126B4A"/>
    <w:rsid w:val="00130268"/>
    <w:rsid w:val="00132FD0"/>
    <w:rsid w:val="00133957"/>
    <w:rsid w:val="00133964"/>
    <w:rsid w:val="001344C0"/>
    <w:rsid w:val="001346FA"/>
    <w:rsid w:val="00135252"/>
    <w:rsid w:val="00137AB5"/>
    <w:rsid w:val="00137EFE"/>
    <w:rsid w:val="00137F0B"/>
    <w:rsid w:val="001415FF"/>
    <w:rsid w:val="00150E9D"/>
    <w:rsid w:val="00151E23"/>
    <w:rsid w:val="001526E0"/>
    <w:rsid w:val="00154AC7"/>
    <w:rsid w:val="001551B5"/>
    <w:rsid w:val="0016075D"/>
    <w:rsid w:val="00161884"/>
    <w:rsid w:val="001659C1"/>
    <w:rsid w:val="0017164F"/>
    <w:rsid w:val="001734D5"/>
    <w:rsid w:val="00173A8E"/>
    <w:rsid w:val="001740C6"/>
    <w:rsid w:val="0018143F"/>
    <w:rsid w:val="00181D8D"/>
    <w:rsid w:val="00185CD4"/>
    <w:rsid w:val="00186DA5"/>
    <w:rsid w:val="00190AC1"/>
    <w:rsid w:val="00191339"/>
    <w:rsid w:val="00191613"/>
    <w:rsid w:val="0019341A"/>
    <w:rsid w:val="0019566F"/>
    <w:rsid w:val="00196BF8"/>
    <w:rsid w:val="00197DF9"/>
    <w:rsid w:val="001A142A"/>
    <w:rsid w:val="001A1987"/>
    <w:rsid w:val="001A2257"/>
    <w:rsid w:val="001A2564"/>
    <w:rsid w:val="001A2F26"/>
    <w:rsid w:val="001A3DE6"/>
    <w:rsid w:val="001A6173"/>
    <w:rsid w:val="001A6CBA"/>
    <w:rsid w:val="001B0D97"/>
    <w:rsid w:val="001B58C6"/>
    <w:rsid w:val="001B5A5D"/>
    <w:rsid w:val="001C1CE5"/>
    <w:rsid w:val="001C3D2A"/>
    <w:rsid w:val="001D51BA"/>
    <w:rsid w:val="001D6342"/>
    <w:rsid w:val="001D6D53"/>
    <w:rsid w:val="001E58E2"/>
    <w:rsid w:val="001E7AED"/>
    <w:rsid w:val="001F0E71"/>
    <w:rsid w:val="001F1A72"/>
    <w:rsid w:val="001F3916"/>
    <w:rsid w:val="001F54C5"/>
    <w:rsid w:val="001F662C"/>
    <w:rsid w:val="001F7074"/>
    <w:rsid w:val="001F79D4"/>
    <w:rsid w:val="00200490"/>
    <w:rsid w:val="002016BF"/>
    <w:rsid w:val="00201F3A"/>
    <w:rsid w:val="00203F96"/>
    <w:rsid w:val="00204B4B"/>
    <w:rsid w:val="002069B2"/>
    <w:rsid w:val="00207FA3"/>
    <w:rsid w:val="00214DA8"/>
    <w:rsid w:val="00215423"/>
    <w:rsid w:val="002157A2"/>
    <w:rsid w:val="002158FA"/>
    <w:rsid w:val="00216430"/>
    <w:rsid w:val="00216EDF"/>
    <w:rsid w:val="00220600"/>
    <w:rsid w:val="00221144"/>
    <w:rsid w:val="00222139"/>
    <w:rsid w:val="002224DB"/>
    <w:rsid w:val="00223594"/>
    <w:rsid w:val="00223FCB"/>
    <w:rsid w:val="002252C3"/>
    <w:rsid w:val="00225C54"/>
    <w:rsid w:val="00227CF4"/>
    <w:rsid w:val="00230765"/>
    <w:rsid w:val="002319E4"/>
    <w:rsid w:val="00235632"/>
    <w:rsid w:val="00235872"/>
    <w:rsid w:val="00241559"/>
    <w:rsid w:val="002435B3"/>
    <w:rsid w:val="002458EB"/>
    <w:rsid w:val="00247ECE"/>
    <w:rsid w:val="002500C8"/>
    <w:rsid w:val="00254769"/>
    <w:rsid w:val="00256807"/>
    <w:rsid w:val="0025692E"/>
    <w:rsid w:val="00257543"/>
    <w:rsid w:val="00257C78"/>
    <w:rsid w:val="002617E7"/>
    <w:rsid w:val="00264228"/>
    <w:rsid w:val="00264334"/>
    <w:rsid w:val="0026473E"/>
    <w:rsid w:val="00266214"/>
    <w:rsid w:val="002675A1"/>
    <w:rsid w:val="00267A6E"/>
    <w:rsid w:val="00267C83"/>
    <w:rsid w:val="00267F65"/>
    <w:rsid w:val="0027144F"/>
    <w:rsid w:val="00271F3A"/>
    <w:rsid w:val="00273278"/>
    <w:rsid w:val="002737F4"/>
    <w:rsid w:val="00275B40"/>
    <w:rsid w:val="002804A2"/>
    <w:rsid w:val="002805F5"/>
    <w:rsid w:val="00280751"/>
    <w:rsid w:val="00280D89"/>
    <w:rsid w:val="00280FAD"/>
    <w:rsid w:val="00281854"/>
    <w:rsid w:val="0028280A"/>
    <w:rsid w:val="00286ACD"/>
    <w:rsid w:val="00287838"/>
    <w:rsid w:val="002907B5"/>
    <w:rsid w:val="00290DA7"/>
    <w:rsid w:val="00292A11"/>
    <w:rsid w:val="00292EB7"/>
    <w:rsid w:val="0029309B"/>
    <w:rsid w:val="00296227"/>
    <w:rsid w:val="00296F44"/>
    <w:rsid w:val="0029777D"/>
    <w:rsid w:val="002A055E"/>
    <w:rsid w:val="002A1398"/>
    <w:rsid w:val="002A1D4E"/>
    <w:rsid w:val="002A2869"/>
    <w:rsid w:val="002A38EE"/>
    <w:rsid w:val="002A4B87"/>
    <w:rsid w:val="002A5830"/>
    <w:rsid w:val="002A768F"/>
    <w:rsid w:val="002B05D5"/>
    <w:rsid w:val="002B24D6"/>
    <w:rsid w:val="002B2859"/>
    <w:rsid w:val="002B5C5A"/>
    <w:rsid w:val="002B7C08"/>
    <w:rsid w:val="002C1F50"/>
    <w:rsid w:val="002C41E6"/>
    <w:rsid w:val="002C5E7A"/>
    <w:rsid w:val="002D071A"/>
    <w:rsid w:val="002D34B2"/>
    <w:rsid w:val="002D7637"/>
    <w:rsid w:val="002E17F2"/>
    <w:rsid w:val="002E1CCA"/>
    <w:rsid w:val="002E7CAE"/>
    <w:rsid w:val="002F21E0"/>
    <w:rsid w:val="002F2673"/>
    <w:rsid w:val="002F2771"/>
    <w:rsid w:val="002F37A9"/>
    <w:rsid w:val="002F7170"/>
    <w:rsid w:val="00301B90"/>
    <w:rsid w:val="00301CE6"/>
    <w:rsid w:val="0030256B"/>
    <w:rsid w:val="00304695"/>
    <w:rsid w:val="0030501F"/>
    <w:rsid w:val="00306787"/>
    <w:rsid w:val="003077DE"/>
    <w:rsid w:val="00307BA1"/>
    <w:rsid w:val="00310435"/>
    <w:rsid w:val="00311702"/>
    <w:rsid w:val="00311E82"/>
    <w:rsid w:val="00313FD6"/>
    <w:rsid w:val="0031400E"/>
    <w:rsid w:val="003143BD"/>
    <w:rsid w:val="00314A0B"/>
    <w:rsid w:val="003203ED"/>
    <w:rsid w:val="00322C9F"/>
    <w:rsid w:val="00324D23"/>
    <w:rsid w:val="00331751"/>
    <w:rsid w:val="00334579"/>
    <w:rsid w:val="00335858"/>
    <w:rsid w:val="00336BDA"/>
    <w:rsid w:val="00337A0D"/>
    <w:rsid w:val="00341014"/>
    <w:rsid w:val="00342BD7"/>
    <w:rsid w:val="00346DB5"/>
    <w:rsid w:val="003477B1"/>
    <w:rsid w:val="00357380"/>
    <w:rsid w:val="003602D9"/>
    <w:rsid w:val="003604CE"/>
    <w:rsid w:val="003624BE"/>
    <w:rsid w:val="00366B37"/>
    <w:rsid w:val="0037027E"/>
    <w:rsid w:val="00370E47"/>
    <w:rsid w:val="003742AC"/>
    <w:rsid w:val="00377791"/>
    <w:rsid w:val="00377CE1"/>
    <w:rsid w:val="00384748"/>
    <w:rsid w:val="00385BF0"/>
    <w:rsid w:val="00392166"/>
    <w:rsid w:val="003939FF"/>
    <w:rsid w:val="003942EB"/>
    <w:rsid w:val="003947EB"/>
    <w:rsid w:val="003A196B"/>
    <w:rsid w:val="003A2223"/>
    <w:rsid w:val="003A2A0F"/>
    <w:rsid w:val="003A45A1"/>
    <w:rsid w:val="003A5B0A"/>
    <w:rsid w:val="003A5F82"/>
    <w:rsid w:val="003A6BAC"/>
    <w:rsid w:val="003A7EF3"/>
    <w:rsid w:val="003B0FE1"/>
    <w:rsid w:val="003B159C"/>
    <w:rsid w:val="003B2C92"/>
    <w:rsid w:val="003B369F"/>
    <w:rsid w:val="003B36A3"/>
    <w:rsid w:val="003B633A"/>
    <w:rsid w:val="003B6A94"/>
    <w:rsid w:val="003B7036"/>
    <w:rsid w:val="003B7840"/>
    <w:rsid w:val="003B7FE5"/>
    <w:rsid w:val="003C1077"/>
    <w:rsid w:val="003C11C8"/>
    <w:rsid w:val="003C2702"/>
    <w:rsid w:val="003C7806"/>
    <w:rsid w:val="003C7A0A"/>
    <w:rsid w:val="003D104C"/>
    <w:rsid w:val="003D109F"/>
    <w:rsid w:val="003D2478"/>
    <w:rsid w:val="003D4461"/>
    <w:rsid w:val="003D5B1F"/>
    <w:rsid w:val="003E15FA"/>
    <w:rsid w:val="003E1B81"/>
    <w:rsid w:val="003E55E4"/>
    <w:rsid w:val="003E74E3"/>
    <w:rsid w:val="003F05C7"/>
    <w:rsid w:val="003F0F8A"/>
    <w:rsid w:val="003F1DF3"/>
    <w:rsid w:val="003F2CD4"/>
    <w:rsid w:val="003F6BBE"/>
    <w:rsid w:val="004000E8"/>
    <w:rsid w:val="004001AC"/>
    <w:rsid w:val="00402E2B"/>
    <w:rsid w:val="00404C69"/>
    <w:rsid w:val="0040512B"/>
    <w:rsid w:val="00405CA5"/>
    <w:rsid w:val="004078B5"/>
    <w:rsid w:val="00407CD3"/>
    <w:rsid w:val="00410134"/>
    <w:rsid w:val="00410302"/>
    <w:rsid w:val="00410B72"/>
    <w:rsid w:val="00410F18"/>
    <w:rsid w:val="0041263E"/>
    <w:rsid w:val="00413AAC"/>
    <w:rsid w:val="004164AF"/>
    <w:rsid w:val="00421105"/>
    <w:rsid w:val="004242F4"/>
    <w:rsid w:val="00424D63"/>
    <w:rsid w:val="00424F52"/>
    <w:rsid w:val="004250D0"/>
    <w:rsid w:val="00427248"/>
    <w:rsid w:val="0043042B"/>
    <w:rsid w:val="00434235"/>
    <w:rsid w:val="00437447"/>
    <w:rsid w:val="00441940"/>
    <w:rsid w:val="00441A92"/>
    <w:rsid w:val="00444290"/>
    <w:rsid w:val="00444F56"/>
    <w:rsid w:val="00446488"/>
    <w:rsid w:val="00450D7F"/>
    <w:rsid w:val="004517AA"/>
    <w:rsid w:val="004525D8"/>
    <w:rsid w:val="00452CAC"/>
    <w:rsid w:val="00457565"/>
    <w:rsid w:val="004579CC"/>
    <w:rsid w:val="00457B71"/>
    <w:rsid w:val="004667CB"/>
    <w:rsid w:val="004669E2"/>
    <w:rsid w:val="00470C31"/>
    <w:rsid w:val="004734D0"/>
    <w:rsid w:val="0047556B"/>
    <w:rsid w:val="00476065"/>
    <w:rsid w:val="00477768"/>
    <w:rsid w:val="0048157E"/>
    <w:rsid w:val="004821AF"/>
    <w:rsid w:val="004844DC"/>
    <w:rsid w:val="004844F6"/>
    <w:rsid w:val="00486536"/>
    <w:rsid w:val="004917E3"/>
    <w:rsid w:val="00492BC5"/>
    <w:rsid w:val="0049621F"/>
    <w:rsid w:val="004964F1"/>
    <w:rsid w:val="0049791D"/>
    <w:rsid w:val="00497BCF"/>
    <w:rsid w:val="004A042F"/>
    <w:rsid w:val="004A16BC"/>
    <w:rsid w:val="004A2B94"/>
    <w:rsid w:val="004A4335"/>
    <w:rsid w:val="004B7C0C"/>
    <w:rsid w:val="004C3898"/>
    <w:rsid w:val="004D36B1"/>
    <w:rsid w:val="004D73A1"/>
    <w:rsid w:val="004D78DD"/>
    <w:rsid w:val="004D7EBD"/>
    <w:rsid w:val="004D7F1E"/>
    <w:rsid w:val="004E2680"/>
    <w:rsid w:val="004E28F9"/>
    <w:rsid w:val="004E462E"/>
    <w:rsid w:val="004E56DC"/>
    <w:rsid w:val="004E76F4"/>
    <w:rsid w:val="004F0B4E"/>
    <w:rsid w:val="004F0B6C"/>
    <w:rsid w:val="004F2078"/>
    <w:rsid w:val="004F4DA3"/>
    <w:rsid w:val="004F5C34"/>
    <w:rsid w:val="005032DC"/>
    <w:rsid w:val="00504763"/>
    <w:rsid w:val="00506557"/>
    <w:rsid w:val="0050677A"/>
    <w:rsid w:val="005108D8"/>
    <w:rsid w:val="00510F36"/>
    <w:rsid w:val="005116F9"/>
    <w:rsid w:val="00511980"/>
    <w:rsid w:val="00514447"/>
    <w:rsid w:val="005153A7"/>
    <w:rsid w:val="00516D2A"/>
    <w:rsid w:val="00520BF6"/>
    <w:rsid w:val="00520F86"/>
    <w:rsid w:val="005219CF"/>
    <w:rsid w:val="00521FF5"/>
    <w:rsid w:val="00527EC1"/>
    <w:rsid w:val="00530F92"/>
    <w:rsid w:val="00534B59"/>
    <w:rsid w:val="00535579"/>
    <w:rsid w:val="00536759"/>
    <w:rsid w:val="00537869"/>
    <w:rsid w:val="00537C62"/>
    <w:rsid w:val="00541255"/>
    <w:rsid w:val="00546970"/>
    <w:rsid w:val="0054776A"/>
    <w:rsid w:val="00547AA9"/>
    <w:rsid w:val="00554E19"/>
    <w:rsid w:val="00557C93"/>
    <w:rsid w:val="0056121F"/>
    <w:rsid w:val="00561DD8"/>
    <w:rsid w:val="00570E25"/>
    <w:rsid w:val="00572505"/>
    <w:rsid w:val="00582809"/>
    <w:rsid w:val="0058395D"/>
    <w:rsid w:val="00584C2D"/>
    <w:rsid w:val="0058798C"/>
    <w:rsid w:val="005900FA"/>
    <w:rsid w:val="005935A4"/>
    <w:rsid w:val="005948C2"/>
    <w:rsid w:val="00595DCA"/>
    <w:rsid w:val="0059779B"/>
    <w:rsid w:val="005A209A"/>
    <w:rsid w:val="005A662D"/>
    <w:rsid w:val="005A707A"/>
    <w:rsid w:val="005B35D7"/>
    <w:rsid w:val="005B392A"/>
    <w:rsid w:val="005B3AA3"/>
    <w:rsid w:val="005B3C0A"/>
    <w:rsid w:val="005B6F83"/>
    <w:rsid w:val="005C0C5F"/>
    <w:rsid w:val="005C17E5"/>
    <w:rsid w:val="005C3F23"/>
    <w:rsid w:val="005C5FE9"/>
    <w:rsid w:val="005C6150"/>
    <w:rsid w:val="005C675A"/>
    <w:rsid w:val="005C6B8F"/>
    <w:rsid w:val="005C74A5"/>
    <w:rsid w:val="005C74FB"/>
    <w:rsid w:val="005D1602"/>
    <w:rsid w:val="005D4171"/>
    <w:rsid w:val="005E2337"/>
    <w:rsid w:val="005E385F"/>
    <w:rsid w:val="005E5B81"/>
    <w:rsid w:val="005E647A"/>
    <w:rsid w:val="005F0271"/>
    <w:rsid w:val="005F14D0"/>
    <w:rsid w:val="005F2CB1"/>
    <w:rsid w:val="005F57E8"/>
    <w:rsid w:val="005F618C"/>
    <w:rsid w:val="005F70BD"/>
    <w:rsid w:val="00600CE5"/>
    <w:rsid w:val="0060283C"/>
    <w:rsid w:val="00602DF7"/>
    <w:rsid w:val="00604F14"/>
    <w:rsid w:val="006071D7"/>
    <w:rsid w:val="00611B83"/>
    <w:rsid w:val="00613257"/>
    <w:rsid w:val="00617A74"/>
    <w:rsid w:val="00620A71"/>
    <w:rsid w:val="00620D80"/>
    <w:rsid w:val="006234A6"/>
    <w:rsid w:val="00630001"/>
    <w:rsid w:val="006309C2"/>
    <w:rsid w:val="006311B3"/>
    <w:rsid w:val="0063284C"/>
    <w:rsid w:val="00636398"/>
    <w:rsid w:val="006368D3"/>
    <w:rsid w:val="006377EC"/>
    <w:rsid w:val="006405CF"/>
    <w:rsid w:val="0064151F"/>
    <w:rsid w:val="00641533"/>
    <w:rsid w:val="0064208D"/>
    <w:rsid w:val="00643475"/>
    <w:rsid w:val="0064396A"/>
    <w:rsid w:val="0064624E"/>
    <w:rsid w:val="00650AB9"/>
    <w:rsid w:val="00651589"/>
    <w:rsid w:val="00655733"/>
    <w:rsid w:val="00655ACD"/>
    <w:rsid w:val="00656A92"/>
    <w:rsid w:val="00656DDE"/>
    <w:rsid w:val="0066011D"/>
    <w:rsid w:val="006607C0"/>
    <w:rsid w:val="006613A6"/>
    <w:rsid w:val="006627A2"/>
    <w:rsid w:val="00662B60"/>
    <w:rsid w:val="006634A2"/>
    <w:rsid w:val="006634E6"/>
    <w:rsid w:val="006639D0"/>
    <w:rsid w:val="006655EE"/>
    <w:rsid w:val="00667EE7"/>
    <w:rsid w:val="00670922"/>
    <w:rsid w:val="00670BE1"/>
    <w:rsid w:val="0067218F"/>
    <w:rsid w:val="006741F2"/>
    <w:rsid w:val="00674CC3"/>
    <w:rsid w:val="00675C72"/>
    <w:rsid w:val="006771F9"/>
    <w:rsid w:val="006776D7"/>
    <w:rsid w:val="00681003"/>
    <w:rsid w:val="006817C9"/>
    <w:rsid w:val="006837B9"/>
    <w:rsid w:val="00683ECE"/>
    <w:rsid w:val="00691690"/>
    <w:rsid w:val="00695FC2"/>
    <w:rsid w:val="00696949"/>
    <w:rsid w:val="00697052"/>
    <w:rsid w:val="006A0758"/>
    <w:rsid w:val="006A46FB"/>
    <w:rsid w:val="006A5E28"/>
    <w:rsid w:val="006A697B"/>
    <w:rsid w:val="006A7AFF"/>
    <w:rsid w:val="006B1816"/>
    <w:rsid w:val="006B2099"/>
    <w:rsid w:val="006B50CF"/>
    <w:rsid w:val="006B5771"/>
    <w:rsid w:val="006B7782"/>
    <w:rsid w:val="006C03B8"/>
    <w:rsid w:val="006C1944"/>
    <w:rsid w:val="006C269A"/>
    <w:rsid w:val="006C5EC9"/>
    <w:rsid w:val="006C6059"/>
    <w:rsid w:val="006C7522"/>
    <w:rsid w:val="006D2C8D"/>
    <w:rsid w:val="006D3EFB"/>
    <w:rsid w:val="006D41CF"/>
    <w:rsid w:val="006D6F08"/>
    <w:rsid w:val="006E062C"/>
    <w:rsid w:val="006E28B7"/>
    <w:rsid w:val="006E3310"/>
    <w:rsid w:val="006E4E39"/>
    <w:rsid w:val="006E565E"/>
    <w:rsid w:val="006E652A"/>
    <w:rsid w:val="006E673D"/>
    <w:rsid w:val="006E7D3B"/>
    <w:rsid w:val="006F0C9D"/>
    <w:rsid w:val="006F1B70"/>
    <w:rsid w:val="006F25AC"/>
    <w:rsid w:val="006F341D"/>
    <w:rsid w:val="006F3CDE"/>
    <w:rsid w:val="006F58D4"/>
    <w:rsid w:val="006F7D86"/>
    <w:rsid w:val="0070346E"/>
    <w:rsid w:val="00704EDB"/>
    <w:rsid w:val="00706101"/>
    <w:rsid w:val="00707072"/>
    <w:rsid w:val="00707D61"/>
    <w:rsid w:val="00710EB2"/>
    <w:rsid w:val="00712287"/>
    <w:rsid w:val="00712772"/>
    <w:rsid w:val="007148D3"/>
    <w:rsid w:val="00715B9A"/>
    <w:rsid w:val="00717822"/>
    <w:rsid w:val="00721BA2"/>
    <w:rsid w:val="00726EA6"/>
    <w:rsid w:val="00726F51"/>
    <w:rsid w:val="00727208"/>
    <w:rsid w:val="00727680"/>
    <w:rsid w:val="0073157F"/>
    <w:rsid w:val="00734266"/>
    <w:rsid w:val="007348B1"/>
    <w:rsid w:val="007348C3"/>
    <w:rsid w:val="007362A6"/>
    <w:rsid w:val="00736D7D"/>
    <w:rsid w:val="00740E58"/>
    <w:rsid w:val="007445A0"/>
    <w:rsid w:val="0074524B"/>
    <w:rsid w:val="00747D8B"/>
    <w:rsid w:val="00750E64"/>
    <w:rsid w:val="00751228"/>
    <w:rsid w:val="00755640"/>
    <w:rsid w:val="007571E1"/>
    <w:rsid w:val="007604B2"/>
    <w:rsid w:val="007625B2"/>
    <w:rsid w:val="00765281"/>
    <w:rsid w:val="00766BAD"/>
    <w:rsid w:val="007755F2"/>
    <w:rsid w:val="00776971"/>
    <w:rsid w:val="00780AB6"/>
    <w:rsid w:val="0078177E"/>
    <w:rsid w:val="0078304C"/>
    <w:rsid w:val="00783673"/>
    <w:rsid w:val="00785490"/>
    <w:rsid w:val="00787065"/>
    <w:rsid w:val="00787985"/>
    <w:rsid w:val="00792000"/>
    <w:rsid w:val="007925EA"/>
    <w:rsid w:val="00793CD8"/>
    <w:rsid w:val="00795C92"/>
    <w:rsid w:val="00796231"/>
    <w:rsid w:val="007A1CB3"/>
    <w:rsid w:val="007A306F"/>
    <w:rsid w:val="007A43A6"/>
    <w:rsid w:val="007A58A6"/>
    <w:rsid w:val="007A6F24"/>
    <w:rsid w:val="007B1685"/>
    <w:rsid w:val="007B3D2D"/>
    <w:rsid w:val="007B50AE"/>
    <w:rsid w:val="007B51DF"/>
    <w:rsid w:val="007C05DD"/>
    <w:rsid w:val="007C0F7A"/>
    <w:rsid w:val="007C3D18"/>
    <w:rsid w:val="007C60BF"/>
    <w:rsid w:val="007C6A07"/>
    <w:rsid w:val="007C75A1"/>
    <w:rsid w:val="007C77A5"/>
    <w:rsid w:val="007D04E5"/>
    <w:rsid w:val="007D15E2"/>
    <w:rsid w:val="007D5901"/>
    <w:rsid w:val="007D634F"/>
    <w:rsid w:val="007D7526"/>
    <w:rsid w:val="007E3365"/>
    <w:rsid w:val="007E4610"/>
    <w:rsid w:val="007E4715"/>
    <w:rsid w:val="007E505B"/>
    <w:rsid w:val="007E7091"/>
    <w:rsid w:val="007F3EFE"/>
    <w:rsid w:val="007F4A47"/>
    <w:rsid w:val="007F52D6"/>
    <w:rsid w:val="00803FAE"/>
    <w:rsid w:val="0080605F"/>
    <w:rsid w:val="008072FB"/>
    <w:rsid w:val="00807786"/>
    <w:rsid w:val="008103C4"/>
    <w:rsid w:val="00811FCB"/>
    <w:rsid w:val="008158D6"/>
    <w:rsid w:val="00817196"/>
    <w:rsid w:val="00822EB2"/>
    <w:rsid w:val="008235DB"/>
    <w:rsid w:val="00824AB4"/>
    <w:rsid w:val="008258DF"/>
    <w:rsid w:val="00825C42"/>
    <w:rsid w:val="00825D25"/>
    <w:rsid w:val="00827D6F"/>
    <w:rsid w:val="0083373D"/>
    <w:rsid w:val="00833744"/>
    <w:rsid w:val="00834F05"/>
    <w:rsid w:val="008376AC"/>
    <w:rsid w:val="008444E8"/>
    <w:rsid w:val="00844905"/>
    <w:rsid w:val="00844E80"/>
    <w:rsid w:val="00846FE7"/>
    <w:rsid w:val="00853A05"/>
    <w:rsid w:val="00856911"/>
    <w:rsid w:val="008606C6"/>
    <w:rsid w:val="008677FD"/>
    <w:rsid w:val="008706D4"/>
    <w:rsid w:val="00870F8A"/>
    <w:rsid w:val="008719A4"/>
    <w:rsid w:val="00871D23"/>
    <w:rsid w:val="00874312"/>
    <w:rsid w:val="00874379"/>
    <w:rsid w:val="0087437C"/>
    <w:rsid w:val="0087528E"/>
    <w:rsid w:val="00875CD7"/>
    <w:rsid w:val="00876B4D"/>
    <w:rsid w:val="00877F18"/>
    <w:rsid w:val="008921DD"/>
    <w:rsid w:val="008934E0"/>
    <w:rsid w:val="00893A96"/>
    <w:rsid w:val="00894A88"/>
    <w:rsid w:val="00895386"/>
    <w:rsid w:val="00895E1F"/>
    <w:rsid w:val="008A21FF"/>
    <w:rsid w:val="008A2CE2"/>
    <w:rsid w:val="008A30AC"/>
    <w:rsid w:val="008A44B8"/>
    <w:rsid w:val="008A51A8"/>
    <w:rsid w:val="008A54C7"/>
    <w:rsid w:val="008A5E05"/>
    <w:rsid w:val="008A77D8"/>
    <w:rsid w:val="008B0483"/>
    <w:rsid w:val="008B120C"/>
    <w:rsid w:val="008B421F"/>
    <w:rsid w:val="008B51A0"/>
    <w:rsid w:val="008B592A"/>
    <w:rsid w:val="008B7B5C"/>
    <w:rsid w:val="008C0C99"/>
    <w:rsid w:val="008C2017"/>
    <w:rsid w:val="008C3F6A"/>
    <w:rsid w:val="008C4958"/>
    <w:rsid w:val="008C4BAA"/>
    <w:rsid w:val="008C547C"/>
    <w:rsid w:val="008C6AE8"/>
    <w:rsid w:val="008C7573"/>
    <w:rsid w:val="008D34F1"/>
    <w:rsid w:val="008D39D8"/>
    <w:rsid w:val="008D6D1A"/>
    <w:rsid w:val="008E0927"/>
    <w:rsid w:val="008E1909"/>
    <w:rsid w:val="008E575C"/>
    <w:rsid w:val="008E6155"/>
    <w:rsid w:val="008E6489"/>
    <w:rsid w:val="008F0AC6"/>
    <w:rsid w:val="008F1EAB"/>
    <w:rsid w:val="008F33DC"/>
    <w:rsid w:val="008F477F"/>
    <w:rsid w:val="00902350"/>
    <w:rsid w:val="0090336B"/>
    <w:rsid w:val="009053AA"/>
    <w:rsid w:val="00906939"/>
    <w:rsid w:val="00910B7D"/>
    <w:rsid w:val="00911DFB"/>
    <w:rsid w:val="009139D9"/>
    <w:rsid w:val="00914AD8"/>
    <w:rsid w:val="00916079"/>
    <w:rsid w:val="00917CE9"/>
    <w:rsid w:val="0092054D"/>
    <w:rsid w:val="00920BF2"/>
    <w:rsid w:val="00922010"/>
    <w:rsid w:val="00931BD9"/>
    <w:rsid w:val="009333FE"/>
    <w:rsid w:val="0093426A"/>
    <w:rsid w:val="009368F3"/>
    <w:rsid w:val="00937336"/>
    <w:rsid w:val="00941636"/>
    <w:rsid w:val="00943742"/>
    <w:rsid w:val="00945C05"/>
    <w:rsid w:val="00946888"/>
    <w:rsid w:val="00946945"/>
    <w:rsid w:val="00947713"/>
    <w:rsid w:val="00950DE7"/>
    <w:rsid w:val="00951D9C"/>
    <w:rsid w:val="00953920"/>
    <w:rsid w:val="00953D47"/>
    <w:rsid w:val="0095681E"/>
    <w:rsid w:val="009572D4"/>
    <w:rsid w:val="00960929"/>
    <w:rsid w:val="00961921"/>
    <w:rsid w:val="0096430A"/>
    <w:rsid w:val="0096554B"/>
    <w:rsid w:val="0096584A"/>
    <w:rsid w:val="009678E6"/>
    <w:rsid w:val="00971F08"/>
    <w:rsid w:val="0097603D"/>
    <w:rsid w:val="00976949"/>
    <w:rsid w:val="00977075"/>
    <w:rsid w:val="00980477"/>
    <w:rsid w:val="00985253"/>
    <w:rsid w:val="009853B3"/>
    <w:rsid w:val="00986A55"/>
    <w:rsid w:val="00990630"/>
    <w:rsid w:val="00991761"/>
    <w:rsid w:val="00991BAD"/>
    <w:rsid w:val="00993FD7"/>
    <w:rsid w:val="00994905"/>
    <w:rsid w:val="00994DCA"/>
    <w:rsid w:val="009960EC"/>
    <w:rsid w:val="009970DD"/>
    <w:rsid w:val="009A0FBA"/>
    <w:rsid w:val="009A1229"/>
    <w:rsid w:val="009A1601"/>
    <w:rsid w:val="009A2E87"/>
    <w:rsid w:val="009A462D"/>
    <w:rsid w:val="009A5CBA"/>
    <w:rsid w:val="009B1F30"/>
    <w:rsid w:val="009B3AC2"/>
    <w:rsid w:val="009B4DF4"/>
    <w:rsid w:val="009B564E"/>
    <w:rsid w:val="009B5DE4"/>
    <w:rsid w:val="009B7E87"/>
    <w:rsid w:val="009C2ADE"/>
    <w:rsid w:val="009C403E"/>
    <w:rsid w:val="009D4FF0"/>
    <w:rsid w:val="009D703C"/>
    <w:rsid w:val="009D718F"/>
    <w:rsid w:val="009D7F7F"/>
    <w:rsid w:val="009E068F"/>
    <w:rsid w:val="009E0879"/>
    <w:rsid w:val="009E14E0"/>
    <w:rsid w:val="009E281A"/>
    <w:rsid w:val="009E31A8"/>
    <w:rsid w:val="009E35DB"/>
    <w:rsid w:val="009E47A3"/>
    <w:rsid w:val="009E5C17"/>
    <w:rsid w:val="009E79DA"/>
    <w:rsid w:val="009E79FE"/>
    <w:rsid w:val="009F08F3"/>
    <w:rsid w:val="009F344F"/>
    <w:rsid w:val="009F74A5"/>
    <w:rsid w:val="009F7636"/>
    <w:rsid w:val="009F7A71"/>
    <w:rsid w:val="00A01149"/>
    <w:rsid w:val="00A048A8"/>
    <w:rsid w:val="00A0719A"/>
    <w:rsid w:val="00A13E54"/>
    <w:rsid w:val="00A17F63"/>
    <w:rsid w:val="00A2193B"/>
    <w:rsid w:val="00A2351A"/>
    <w:rsid w:val="00A260DD"/>
    <w:rsid w:val="00A264A9"/>
    <w:rsid w:val="00A27785"/>
    <w:rsid w:val="00A30187"/>
    <w:rsid w:val="00A31070"/>
    <w:rsid w:val="00A33994"/>
    <w:rsid w:val="00A3448A"/>
    <w:rsid w:val="00A36297"/>
    <w:rsid w:val="00A3760A"/>
    <w:rsid w:val="00A41E2B"/>
    <w:rsid w:val="00A45B74"/>
    <w:rsid w:val="00A468B4"/>
    <w:rsid w:val="00A477DF"/>
    <w:rsid w:val="00A47A94"/>
    <w:rsid w:val="00A522E4"/>
    <w:rsid w:val="00A526C3"/>
    <w:rsid w:val="00A52E1D"/>
    <w:rsid w:val="00A61499"/>
    <w:rsid w:val="00A62A04"/>
    <w:rsid w:val="00A62A77"/>
    <w:rsid w:val="00A63483"/>
    <w:rsid w:val="00A63A3B"/>
    <w:rsid w:val="00A657D7"/>
    <w:rsid w:val="00A660AC"/>
    <w:rsid w:val="00A6653D"/>
    <w:rsid w:val="00A6736C"/>
    <w:rsid w:val="00A67E6C"/>
    <w:rsid w:val="00A71B99"/>
    <w:rsid w:val="00A739D0"/>
    <w:rsid w:val="00A745AC"/>
    <w:rsid w:val="00A74DD7"/>
    <w:rsid w:val="00A761D4"/>
    <w:rsid w:val="00A76ABE"/>
    <w:rsid w:val="00A77836"/>
    <w:rsid w:val="00A77EC4"/>
    <w:rsid w:val="00A83D19"/>
    <w:rsid w:val="00A85504"/>
    <w:rsid w:val="00A862AF"/>
    <w:rsid w:val="00A8651C"/>
    <w:rsid w:val="00A902EB"/>
    <w:rsid w:val="00A923F4"/>
    <w:rsid w:val="00A92879"/>
    <w:rsid w:val="00A9442A"/>
    <w:rsid w:val="00AA016F"/>
    <w:rsid w:val="00AA1ED6"/>
    <w:rsid w:val="00AA51D6"/>
    <w:rsid w:val="00AA769D"/>
    <w:rsid w:val="00AB0BC8"/>
    <w:rsid w:val="00AB0D92"/>
    <w:rsid w:val="00AB11CA"/>
    <w:rsid w:val="00AB14D9"/>
    <w:rsid w:val="00AB19DF"/>
    <w:rsid w:val="00AB4AB8"/>
    <w:rsid w:val="00AB655E"/>
    <w:rsid w:val="00AC007F"/>
    <w:rsid w:val="00AC1944"/>
    <w:rsid w:val="00AC20D5"/>
    <w:rsid w:val="00AC2ECD"/>
    <w:rsid w:val="00AC3119"/>
    <w:rsid w:val="00AC49FB"/>
    <w:rsid w:val="00AC5A10"/>
    <w:rsid w:val="00AC7874"/>
    <w:rsid w:val="00AD0AA3"/>
    <w:rsid w:val="00AD3F94"/>
    <w:rsid w:val="00AD4A5A"/>
    <w:rsid w:val="00AD51CC"/>
    <w:rsid w:val="00AE27AC"/>
    <w:rsid w:val="00AE40E0"/>
    <w:rsid w:val="00AE4581"/>
    <w:rsid w:val="00AE4AFB"/>
    <w:rsid w:val="00AE4DBA"/>
    <w:rsid w:val="00AE4F07"/>
    <w:rsid w:val="00AF106E"/>
    <w:rsid w:val="00AF1C5D"/>
    <w:rsid w:val="00AF42D7"/>
    <w:rsid w:val="00AF7FBD"/>
    <w:rsid w:val="00B00485"/>
    <w:rsid w:val="00B006FE"/>
    <w:rsid w:val="00B007CB"/>
    <w:rsid w:val="00B02AA9"/>
    <w:rsid w:val="00B02FA3"/>
    <w:rsid w:val="00B0475D"/>
    <w:rsid w:val="00B05084"/>
    <w:rsid w:val="00B157F9"/>
    <w:rsid w:val="00B20256"/>
    <w:rsid w:val="00B20D09"/>
    <w:rsid w:val="00B20E55"/>
    <w:rsid w:val="00B21F2E"/>
    <w:rsid w:val="00B22211"/>
    <w:rsid w:val="00B272EB"/>
    <w:rsid w:val="00B2763F"/>
    <w:rsid w:val="00B27AAC"/>
    <w:rsid w:val="00B30929"/>
    <w:rsid w:val="00B3313D"/>
    <w:rsid w:val="00B35ACE"/>
    <w:rsid w:val="00B372AA"/>
    <w:rsid w:val="00B40445"/>
    <w:rsid w:val="00B41888"/>
    <w:rsid w:val="00B43653"/>
    <w:rsid w:val="00B45A52"/>
    <w:rsid w:val="00B46175"/>
    <w:rsid w:val="00B51C9A"/>
    <w:rsid w:val="00B5351A"/>
    <w:rsid w:val="00B546C3"/>
    <w:rsid w:val="00B54B19"/>
    <w:rsid w:val="00B664C7"/>
    <w:rsid w:val="00B739F6"/>
    <w:rsid w:val="00B7592E"/>
    <w:rsid w:val="00B80648"/>
    <w:rsid w:val="00B81A6C"/>
    <w:rsid w:val="00B83DDF"/>
    <w:rsid w:val="00B8472F"/>
    <w:rsid w:val="00B85DE5"/>
    <w:rsid w:val="00B90F73"/>
    <w:rsid w:val="00B93B59"/>
    <w:rsid w:val="00B9406A"/>
    <w:rsid w:val="00B942C6"/>
    <w:rsid w:val="00B960B4"/>
    <w:rsid w:val="00B9636B"/>
    <w:rsid w:val="00B974F8"/>
    <w:rsid w:val="00BA04E2"/>
    <w:rsid w:val="00BA2280"/>
    <w:rsid w:val="00BA27CE"/>
    <w:rsid w:val="00BA2A08"/>
    <w:rsid w:val="00BA3800"/>
    <w:rsid w:val="00BA56D2"/>
    <w:rsid w:val="00BA76E0"/>
    <w:rsid w:val="00BB1601"/>
    <w:rsid w:val="00BB2A25"/>
    <w:rsid w:val="00BB3882"/>
    <w:rsid w:val="00BB51E9"/>
    <w:rsid w:val="00BB571B"/>
    <w:rsid w:val="00BC00C8"/>
    <w:rsid w:val="00BC0FDC"/>
    <w:rsid w:val="00BC3053"/>
    <w:rsid w:val="00BC4D2E"/>
    <w:rsid w:val="00BD0171"/>
    <w:rsid w:val="00BD0817"/>
    <w:rsid w:val="00BD48AC"/>
    <w:rsid w:val="00BD5F1A"/>
    <w:rsid w:val="00BE1234"/>
    <w:rsid w:val="00BE2FA6"/>
    <w:rsid w:val="00BE333F"/>
    <w:rsid w:val="00BE3788"/>
    <w:rsid w:val="00BE3B35"/>
    <w:rsid w:val="00BE43A8"/>
    <w:rsid w:val="00BE7406"/>
    <w:rsid w:val="00BE7603"/>
    <w:rsid w:val="00BF1BC7"/>
    <w:rsid w:val="00BF2FAF"/>
    <w:rsid w:val="00BF310C"/>
    <w:rsid w:val="00BF3279"/>
    <w:rsid w:val="00BF5535"/>
    <w:rsid w:val="00BF74C7"/>
    <w:rsid w:val="00C015F1"/>
    <w:rsid w:val="00C01F33"/>
    <w:rsid w:val="00C02CC6"/>
    <w:rsid w:val="00C040F7"/>
    <w:rsid w:val="00C044AB"/>
    <w:rsid w:val="00C05706"/>
    <w:rsid w:val="00C07377"/>
    <w:rsid w:val="00C10478"/>
    <w:rsid w:val="00C11177"/>
    <w:rsid w:val="00C12107"/>
    <w:rsid w:val="00C12183"/>
    <w:rsid w:val="00C1464F"/>
    <w:rsid w:val="00C14D4B"/>
    <w:rsid w:val="00C154BB"/>
    <w:rsid w:val="00C15672"/>
    <w:rsid w:val="00C15891"/>
    <w:rsid w:val="00C15EDE"/>
    <w:rsid w:val="00C262DF"/>
    <w:rsid w:val="00C26AD5"/>
    <w:rsid w:val="00C279B5"/>
    <w:rsid w:val="00C27C45"/>
    <w:rsid w:val="00C359BB"/>
    <w:rsid w:val="00C3719D"/>
    <w:rsid w:val="00C42CB3"/>
    <w:rsid w:val="00C45B13"/>
    <w:rsid w:val="00C50790"/>
    <w:rsid w:val="00C52D35"/>
    <w:rsid w:val="00C54995"/>
    <w:rsid w:val="00C54D41"/>
    <w:rsid w:val="00C60783"/>
    <w:rsid w:val="00C64672"/>
    <w:rsid w:val="00C7011E"/>
    <w:rsid w:val="00C70697"/>
    <w:rsid w:val="00C71128"/>
    <w:rsid w:val="00C72EF4"/>
    <w:rsid w:val="00C733E2"/>
    <w:rsid w:val="00C7571A"/>
    <w:rsid w:val="00C75D2F"/>
    <w:rsid w:val="00C767BE"/>
    <w:rsid w:val="00C76E3C"/>
    <w:rsid w:val="00C81568"/>
    <w:rsid w:val="00C9027A"/>
    <w:rsid w:val="00C9068E"/>
    <w:rsid w:val="00C9341C"/>
    <w:rsid w:val="00C93C4B"/>
    <w:rsid w:val="00C944AB"/>
    <w:rsid w:val="00C95B40"/>
    <w:rsid w:val="00CA1ED8"/>
    <w:rsid w:val="00CA4C37"/>
    <w:rsid w:val="00CA592D"/>
    <w:rsid w:val="00CB169C"/>
    <w:rsid w:val="00CB1F63"/>
    <w:rsid w:val="00CB64B5"/>
    <w:rsid w:val="00CB7170"/>
    <w:rsid w:val="00CB7D66"/>
    <w:rsid w:val="00CC040E"/>
    <w:rsid w:val="00CC111F"/>
    <w:rsid w:val="00CC2011"/>
    <w:rsid w:val="00CC2E3C"/>
    <w:rsid w:val="00CC3EA0"/>
    <w:rsid w:val="00CC42A0"/>
    <w:rsid w:val="00CC7B45"/>
    <w:rsid w:val="00CD1188"/>
    <w:rsid w:val="00CD2ED1"/>
    <w:rsid w:val="00CD337B"/>
    <w:rsid w:val="00CE51BB"/>
    <w:rsid w:val="00CE576B"/>
    <w:rsid w:val="00CE5D3F"/>
    <w:rsid w:val="00CE5ED3"/>
    <w:rsid w:val="00CE7561"/>
    <w:rsid w:val="00CF1354"/>
    <w:rsid w:val="00CF359A"/>
    <w:rsid w:val="00CF3B1F"/>
    <w:rsid w:val="00CF3BF6"/>
    <w:rsid w:val="00CF625B"/>
    <w:rsid w:val="00CF687E"/>
    <w:rsid w:val="00D0349B"/>
    <w:rsid w:val="00D035DA"/>
    <w:rsid w:val="00D056BD"/>
    <w:rsid w:val="00D10249"/>
    <w:rsid w:val="00D115C3"/>
    <w:rsid w:val="00D11897"/>
    <w:rsid w:val="00D13135"/>
    <w:rsid w:val="00D13E4E"/>
    <w:rsid w:val="00D141B4"/>
    <w:rsid w:val="00D17522"/>
    <w:rsid w:val="00D239A7"/>
    <w:rsid w:val="00D23F47"/>
    <w:rsid w:val="00D26436"/>
    <w:rsid w:val="00D3157A"/>
    <w:rsid w:val="00D32CA9"/>
    <w:rsid w:val="00D33A1C"/>
    <w:rsid w:val="00D36E71"/>
    <w:rsid w:val="00D37D87"/>
    <w:rsid w:val="00D40B33"/>
    <w:rsid w:val="00D41822"/>
    <w:rsid w:val="00D4318F"/>
    <w:rsid w:val="00D438BF"/>
    <w:rsid w:val="00D440F8"/>
    <w:rsid w:val="00D44493"/>
    <w:rsid w:val="00D53423"/>
    <w:rsid w:val="00D546FF"/>
    <w:rsid w:val="00D559A8"/>
    <w:rsid w:val="00D55AD5"/>
    <w:rsid w:val="00D56C32"/>
    <w:rsid w:val="00D576CA"/>
    <w:rsid w:val="00D60697"/>
    <w:rsid w:val="00D61AF5"/>
    <w:rsid w:val="00D652B5"/>
    <w:rsid w:val="00D65E1F"/>
    <w:rsid w:val="00D66155"/>
    <w:rsid w:val="00D708B0"/>
    <w:rsid w:val="00D74D00"/>
    <w:rsid w:val="00D76491"/>
    <w:rsid w:val="00D77B1D"/>
    <w:rsid w:val="00D8021F"/>
    <w:rsid w:val="00D80383"/>
    <w:rsid w:val="00D80CA2"/>
    <w:rsid w:val="00D823C6"/>
    <w:rsid w:val="00D86CA3"/>
    <w:rsid w:val="00D871CE"/>
    <w:rsid w:val="00D90F9B"/>
    <w:rsid w:val="00D9196D"/>
    <w:rsid w:val="00D92982"/>
    <w:rsid w:val="00DA09BD"/>
    <w:rsid w:val="00DA1EDC"/>
    <w:rsid w:val="00DA26EA"/>
    <w:rsid w:val="00DA305E"/>
    <w:rsid w:val="00DA5417"/>
    <w:rsid w:val="00DA56E8"/>
    <w:rsid w:val="00DA603C"/>
    <w:rsid w:val="00DA7C1E"/>
    <w:rsid w:val="00DB1F82"/>
    <w:rsid w:val="00DB2749"/>
    <w:rsid w:val="00DB377D"/>
    <w:rsid w:val="00DB4D84"/>
    <w:rsid w:val="00DC2D36"/>
    <w:rsid w:val="00DC53EF"/>
    <w:rsid w:val="00DD3487"/>
    <w:rsid w:val="00DD40AF"/>
    <w:rsid w:val="00DD542A"/>
    <w:rsid w:val="00DD6A71"/>
    <w:rsid w:val="00DD7BC1"/>
    <w:rsid w:val="00DE2C26"/>
    <w:rsid w:val="00DE5608"/>
    <w:rsid w:val="00DE58D0"/>
    <w:rsid w:val="00DE654F"/>
    <w:rsid w:val="00DE761A"/>
    <w:rsid w:val="00DF05C1"/>
    <w:rsid w:val="00DF0B6E"/>
    <w:rsid w:val="00DF15E0"/>
    <w:rsid w:val="00DF16A2"/>
    <w:rsid w:val="00DF37A0"/>
    <w:rsid w:val="00DF4180"/>
    <w:rsid w:val="00DF5BFA"/>
    <w:rsid w:val="00E007AE"/>
    <w:rsid w:val="00E04517"/>
    <w:rsid w:val="00E110C0"/>
    <w:rsid w:val="00E110E7"/>
    <w:rsid w:val="00E11B20"/>
    <w:rsid w:val="00E17FA2"/>
    <w:rsid w:val="00E21720"/>
    <w:rsid w:val="00E22330"/>
    <w:rsid w:val="00E2235F"/>
    <w:rsid w:val="00E26279"/>
    <w:rsid w:val="00E300F7"/>
    <w:rsid w:val="00E30B5A"/>
    <w:rsid w:val="00E3123D"/>
    <w:rsid w:val="00E31461"/>
    <w:rsid w:val="00E31D43"/>
    <w:rsid w:val="00E31F07"/>
    <w:rsid w:val="00E32608"/>
    <w:rsid w:val="00E34188"/>
    <w:rsid w:val="00E34B6E"/>
    <w:rsid w:val="00E352E3"/>
    <w:rsid w:val="00E35559"/>
    <w:rsid w:val="00E3647E"/>
    <w:rsid w:val="00E3723A"/>
    <w:rsid w:val="00E37860"/>
    <w:rsid w:val="00E446F1"/>
    <w:rsid w:val="00E45403"/>
    <w:rsid w:val="00E46886"/>
    <w:rsid w:val="00E47AEF"/>
    <w:rsid w:val="00E53B75"/>
    <w:rsid w:val="00E54E3B"/>
    <w:rsid w:val="00E570FA"/>
    <w:rsid w:val="00E57565"/>
    <w:rsid w:val="00E63838"/>
    <w:rsid w:val="00E64434"/>
    <w:rsid w:val="00E66893"/>
    <w:rsid w:val="00E66903"/>
    <w:rsid w:val="00E67C51"/>
    <w:rsid w:val="00E727B8"/>
    <w:rsid w:val="00E72EFC"/>
    <w:rsid w:val="00E758EC"/>
    <w:rsid w:val="00E8234C"/>
    <w:rsid w:val="00E83AA9"/>
    <w:rsid w:val="00E844A9"/>
    <w:rsid w:val="00E85928"/>
    <w:rsid w:val="00E86D6C"/>
    <w:rsid w:val="00E87822"/>
    <w:rsid w:val="00E90395"/>
    <w:rsid w:val="00E90E49"/>
    <w:rsid w:val="00E917F9"/>
    <w:rsid w:val="00E9291C"/>
    <w:rsid w:val="00E93FFE"/>
    <w:rsid w:val="00E94F8A"/>
    <w:rsid w:val="00E96375"/>
    <w:rsid w:val="00EA1637"/>
    <w:rsid w:val="00EA7A41"/>
    <w:rsid w:val="00EB077B"/>
    <w:rsid w:val="00EB256A"/>
    <w:rsid w:val="00EB4EA2"/>
    <w:rsid w:val="00EC17E9"/>
    <w:rsid w:val="00EC27C6"/>
    <w:rsid w:val="00EC4207"/>
    <w:rsid w:val="00EC50F4"/>
    <w:rsid w:val="00EC5653"/>
    <w:rsid w:val="00EC5EA8"/>
    <w:rsid w:val="00EC71CE"/>
    <w:rsid w:val="00ED1006"/>
    <w:rsid w:val="00ED5AD9"/>
    <w:rsid w:val="00ED6450"/>
    <w:rsid w:val="00EE25BB"/>
    <w:rsid w:val="00EF18FE"/>
    <w:rsid w:val="00EF5787"/>
    <w:rsid w:val="00EF60D0"/>
    <w:rsid w:val="00F0528D"/>
    <w:rsid w:val="00F06075"/>
    <w:rsid w:val="00F06C67"/>
    <w:rsid w:val="00F06DFD"/>
    <w:rsid w:val="00F071D1"/>
    <w:rsid w:val="00F07533"/>
    <w:rsid w:val="00F10629"/>
    <w:rsid w:val="00F12F6B"/>
    <w:rsid w:val="00F13E27"/>
    <w:rsid w:val="00F15FA5"/>
    <w:rsid w:val="00F16B5A"/>
    <w:rsid w:val="00F1793B"/>
    <w:rsid w:val="00F2084F"/>
    <w:rsid w:val="00F209B7"/>
    <w:rsid w:val="00F22728"/>
    <w:rsid w:val="00F2376F"/>
    <w:rsid w:val="00F23846"/>
    <w:rsid w:val="00F243D8"/>
    <w:rsid w:val="00F2778E"/>
    <w:rsid w:val="00F27DC3"/>
    <w:rsid w:val="00F30828"/>
    <w:rsid w:val="00F313D6"/>
    <w:rsid w:val="00F31409"/>
    <w:rsid w:val="00F321F9"/>
    <w:rsid w:val="00F40F0C"/>
    <w:rsid w:val="00F43AF1"/>
    <w:rsid w:val="00F4766C"/>
    <w:rsid w:val="00F507D1"/>
    <w:rsid w:val="00F519CE"/>
    <w:rsid w:val="00F51ADA"/>
    <w:rsid w:val="00F54AFB"/>
    <w:rsid w:val="00F60282"/>
    <w:rsid w:val="00F607C5"/>
    <w:rsid w:val="00F60DEA"/>
    <w:rsid w:val="00F610D6"/>
    <w:rsid w:val="00F6302A"/>
    <w:rsid w:val="00F64C2B"/>
    <w:rsid w:val="00F651BE"/>
    <w:rsid w:val="00F67F53"/>
    <w:rsid w:val="00F700CE"/>
    <w:rsid w:val="00F703BE"/>
    <w:rsid w:val="00F71F69"/>
    <w:rsid w:val="00F72B72"/>
    <w:rsid w:val="00F74BB9"/>
    <w:rsid w:val="00F75582"/>
    <w:rsid w:val="00F76EFA"/>
    <w:rsid w:val="00F804BE"/>
    <w:rsid w:val="00F817CE"/>
    <w:rsid w:val="00F831AF"/>
    <w:rsid w:val="00F8456C"/>
    <w:rsid w:val="00F859D8"/>
    <w:rsid w:val="00F868F5"/>
    <w:rsid w:val="00F87B5C"/>
    <w:rsid w:val="00F9056A"/>
    <w:rsid w:val="00F90F8D"/>
    <w:rsid w:val="00F9187E"/>
    <w:rsid w:val="00F9255B"/>
    <w:rsid w:val="00F92782"/>
    <w:rsid w:val="00F92CEE"/>
    <w:rsid w:val="00F93AA9"/>
    <w:rsid w:val="00F95021"/>
    <w:rsid w:val="00F96985"/>
    <w:rsid w:val="00F97838"/>
    <w:rsid w:val="00FA2BB3"/>
    <w:rsid w:val="00FA6EAA"/>
    <w:rsid w:val="00FA6EB9"/>
    <w:rsid w:val="00FB0854"/>
    <w:rsid w:val="00FB4C80"/>
    <w:rsid w:val="00FB5E9C"/>
    <w:rsid w:val="00FB6A6A"/>
    <w:rsid w:val="00FC7429"/>
    <w:rsid w:val="00FD0306"/>
    <w:rsid w:val="00FD07F6"/>
    <w:rsid w:val="00FD1669"/>
    <w:rsid w:val="00FD1EC8"/>
    <w:rsid w:val="00FD47ED"/>
    <w:rsid w:val="00FD510C"/>
    <w:rsid w:val="00FD74DB"/>
    <w:rsid w:val="00FD7660"/>
    <w:rsid w:val="00FE0655"/>
    <w:rsid w:val="00FE2365"/>
    <w:rsid w:val="00FE34D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7"/>
    <o:shapelayout v:ext="edit">
      <o:idmap v:ext="edit" data="1"/>
    </o:shapelayout>
  </w:shapeDefaults>
  <w:decimalSymbol w:val=","/>
  <w:listSeparator w:val=","/>
  <w14:docId w14:val="64040DFC"/>
  <w15:chartTrackingRefBased/>
  <w15:docId w15:val="{8F464FFD-6AE8-4814-AF06-B4D70BD30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603C"/>
    <w:pPr>
      <w:spacing w:after="160" w:line="259" w:lineRule="auto"/>
    </w:pPr>
    <w:rPr>
      <w:rFonts w:asciiTheme="minorHAnsi" w:eastAsiaTheme="minorHAnsi" w:hAnsiTheme="minorHAnsi" w:cstheme="minorBidi"/>
      <w:sz w:val="22"/>
      <w:szCs w:val="22"/>
      <w:lang w:val="en-SE"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A60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603C"/>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rsid w:val="009C403E"/>
    <w:rPr>
      <w:sz w:val="16"/>
      <w:szCs w:val="16"/>
    </w:rPr>
  </w:style>
  <w:style w:type="paragraph" w:styleId="CommentText">
    <w:name w:val="annotation text"/>
    <w:basedOn w:val="Normal"/>
    <w:link w:val="CommentTextChar"/>
    <w:uiPriority w:val="99"/>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 w:type="table" w:styleId="TableGrid">
    <w:name w:val="Table Grid"/>
    <w:basedOn w:val="TableNormal"/>
    <w:rsid w:val="00E66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
    <w:basedOn w:val="Normal"/>
    <w:link w:val="ListParagraphChar"/>
    <w:uiPriority w:val="34"/>
    <w:qFormat/>
    <w:rsid w:val="00E66903"/>
    <w:pPr>
      <w:overflowPunct w:val="0"/>
      <w:autoSpaceDE w:val="0"/>
      <w:autoSpaceDN w:val="0"/>
      <w:adjustRightInd w:val="0"/>
      <w:spacing w:after="180" w:line="276" w:lineRule="auto"/>
      <w:ind w:firstLineChars="200" w:firstLine="420"/>
      <w:textAlignment w:val="baseline"/>
    </w:pPr>
    <w:rPr>
      <w:rFonts w:ascii="Times New Roman" w:eastAsia="MS Mincho" w:hAnsi="Times New Roman" w:cs="Times New Roman"/>
      <w:sz w:val="20"/>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E66903"/>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8606C6"/>
    <w:rPr>
      <w:rFonts w:asciiTheme="minorHAnsi" w:eastAsiaTheme="minorHAnsi" w:hAnsiTheme="minorHAnsi" w:cstheme="minorBidi"/>
      <w:sz w:val="22"/>
      <w:szCs w:val="22"/>
      <w:lang w:val="en-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93917">
      <w:bodyDiv w:val="1"/>
      <w:marLeft w:val="0"/>
      <w:marRight w:val="0"/>
      <w:marTop w:val="0"/>
      <w:marBottom w:val="0"/>
      <w:divBdr>
        <w:top w:val="none" w:sz="0" w:space="0" w:color="auto"/>
        <w:left w:val="none" w:sz="0" w:space="0" w:color="auto"/>
        <w:bottom w:val="none" w:sz="0" w:space="0" w:color="auto"/>
        <w:right w:val="none" w:sz="0" w:space="0" w:color="auto"/>
      </w:divBdr>
      <w:divsChild>
        <w:div w:id="1057315931">
          <w:marLeft w:val="360"/>
          <w:marRight w:val="0"/>
          <w:marTop w:val="200"/>
          <w:marBottom w:val="0"/>
          <w:divBdr>
            <w:top w:val="none" w:sz="0" w:space="0" w:color="auto"/>
            <w:left w:val="none" w:sz="0" w:space="0" w:color="auto"/>
            <w:bottom w:val="none" w:sz="0" w:space="0" w:color="auto"/>
            <w:right w:val="none" w:sz="0" w:space="0" w:color="auto"/>
          </w:divBdr>
        </w:div>
        <w:div w:id="1078671312">
          <w:marLeft w:val="1080"/>
          <w:marRight w:val="0"/>
          <w:marTop w:val="100"/>
          <w:marBottom w:val="0"/>
          <w:divBdr>
            <w:top w:val="none" w:sz="0" w:space="0" w:color="auto"/>
            <w:left w:val="none" w:sz="0" w:space="0" w:color="auto"/>
            <w:bottom w:val="none" w:sz="0" w:space="0" w:color="auto"/>
            <w:right w:val="none" w:sz="0" w:space="0" w:color="auto"/>
          </w:divBdr>
        </w:div>
        <w:div w:id="578296422">
          <w:marLeft w:val="1080"/>
          <w:marRight w:val="0"/>
          <w:marTop w:val="100"/>
          <w:marBottom w:val="0"/>
          <w:divBdr>
            <w:top w:val="none" w:sz="0" w:space="0" w:color="auto"/>
            <w:left w:val="none" w:sz="0" w:space="0" w:color="auto"/>
            <w:bottom w:val="none" w:sz="0" w:space="0" w:color="auto"/>
            <w:right w:val="none" w:sz="0" w:space="0" w:color="auto"/>
          </w:divBdr>
        </w:div>
        <w:div w:id="291248322">
          <w:marLeft w:val="360"/>
          <w:marRight w:val="0"/>
          <w:marTop w:val="200"/>
          <w:marBottom w:val="0"/>
          <w:divBdr>
            <w:top w:val="none" w:sz="0" w:space="0" w:color="auto"/>
            <w:left w:val="none" w:sz="0" w:space="0" w:color="auto"/>
            <w:bottom w:val="none" w:sz="0" w:space="0" w:color="auto"/>
            <w:right w:val="none" w:sz="0" w:space="0" w:color="auto"/>
          </w:divBdr>
        </w:div>
        <w:div w:id="1813205772">
          <w:marLeft w:val="1080"/>
          <w:marRight w:val="0"/>
          <w:marTop w:val="100"/>
          <w:marBottom w:val="0"/>
          <w:divBdr>
            <w:top w:val="none" w:sz="0" w:space="0" w:color="auto"/>
            <w:left w:val="none" w:sz="0" w:space="0" w:color="auto"/>
            <w:bottom w:val="none" w:sz="0" w:space="0" w:color="auto"/>
            <w:right w:val="none" w:sz="0" w:space="0" w:color="auto"/>
          </w:divBdr>
        </w:div>
      </w:divsChild>
    </w:div>
    <w:div w:id="700715178">
      <w:bodyDiv w:val="1"/>
      <w:marLeft w:val="0"/>
      <w:marRight w:val="0"/>
      <w:marTop w:val="0"/>
      <w:marBottom w:val="0"/>
      <w:divBdr>
        <w:top w:val="none" w:sz="0" w:space="0" w:color="auto"/>
        <w:left w:val="none" w:sz="0" w:space="0" w:color="auto"/>
        <w:bottom w:val="none" w:sz="0" w:space="0" w:color="auto"/>
        <w:right w:val="none" w:sz="0" w:space="0" w:color="auto"/>
      </w:divBdr>
      <w:divsChild>
        <w:div w:id="1601526040">
          <w:marLeft w:val="360"/>
          <w:marRight w:val="0"/>
          <w:marTop w:val="200"/>
          <w:marBottom w:val="0"/>
          <w:divBdr>
            <w:top w:val="none" w:sz="0" w:space="0" w:color="auto"/>
            <w:left w:val="none" w:sz="0" w:space="0" w:color="auto"/>
            <w:bottom w:val="none" w:sz="0" w:space="0" w:color="auto"/>
            <w:right w:val="none" w:sz="0" w:space="0" w:color="auto"/>
          </w:divBdr>
        </w:div>
        <w:div w:id="1968850971">
          <w:marLeft w:val="360"/>
          <w:marRight w:val="0"/>
          <w:marTop w:val="200"/>
          <w:marBottom w:val="0"/>
          <w:divBdr>
            <w:top w:val="none" w:sz="0" w:space="0" w:color="auto"/>
            <w:left w:val="none" w:sz="0" w:space="0" w:color="auto"/>
            <w:bottom w:val="none" w:sz="0" w:space="0" w:color="auto"/>
            <w:right w:val="none" w:sz="0" w:space="0" w:color="auto"/>
          </w:divBdr>
        </w:div>
        <w:div w:id="650213770">
          <w:marLeft w:val="360"/>
          <w:marRight w:val="0"/>
          <w:marTop w:val="200"/>
          <w:marBottom w:val="0"/>
          <w:divBdr>
            <w:top w:val="none" w:sz="0" w:space="0" w:color="auto"/>
            <w:left w:val="none" w:sz="0" w:space="0" w:color="auto"/>
            <w:bottom w:val="none" w:sz="0" w:space="0" w:color="auto"/>
            <w:right w:val="none" w:sz="0" w:space="0" w:color="auto"/>
          </w:divBdr>
        </w:div>
        <w:div w:id="1849831051">
          <w:marLeft w:val="360"/>
          <w:marRight w:val="0"/>
          <w:marTop w:val="200"/>
          <w:marBottom w:val="0"/>
          <w:divBdr>
            <w:top w:val="none" w:sz="0" w:space="0" w:color="auto"/>
            <w:left w:val="none" w:sz="0" w:space="0" w:color="auto"/>
            <w:bottom w:val="none" w:sz="0" w:space="0" w:color="auto"/>
            <w:right w:val="none" w:sz="0" w:space="0" w:color="auto"/>
          </w:divBdr>
        </w:div>
      </w:divsChild>
    </w:div>
    <w:div w:id="1244219475">
      <w:bodyDiv w:val="1"/>
      <w:marLeft w:val="0"/>
      <w:marRight w:val="0"/>
      <w:marTop w:val="0"/>
      <w:marBottom w:val="0"/>
      <w:divBdr>
        <w:top w:val="none" w:sz="0" w:space="0" w:color="auto"/>
        <w:left w:val="none" w:sz="0" w:space="0" w:color="auto"/>
        <w:bottom w:val="none" w:sz="0" w:space="0" w:color="auto"/>
        <w:right w:val="none" w:sz="0" w:space="0" w:color="auto"/>
      </w:divBdr>
      <w:divsChild>
        <w:div w:id="2055420041">
          <w:marLeft w:val="360"/>
          <w:marRight w:val="0"/>
          <w:marTop w:val="200"/>
          <w:marBottom w:val="0"/>
          <w:divBdr>
            <w:top w:val="none" w:sz="0" w:space="0" w:color="auto"/>
            <w:left w:val="none" w:sz="0" w:space="0" w:color="auto"/>
            <w:bottom w:val="none" w:sz="0" w:space="0" w:color="auto"/>
            <w:right w:val="none" w:sz="0" w:space="0" w:color="auto"/>
          </w:divBdr>
        </w:div>
        <w:div w:id="1348873015">
          <w:marLeft w:val="1080"/>
          <w:marRight w:val="0"/>
          <w:marTop w:val="100"/>
          <w:marBottom w:val="0"/>
          <w:divBdr>
            <w:top w:val="none" w:sz="0" w:space="0" w:color="auto"/>
            <w:left w:val="none" w:sz="0" w:space="0" w:color="auto"/>
            <w:bottom w:val="none" w:sz="0" w:space="0" w:color="auto"/>
            <w:right w:val="none" w:sz="0" w:space="0" w:color="auto"/>
          </w:divBdr>
        </w:div>
        <w:div w:id="716127232">
          <w:marLeft w:val="1080"/>
          <w:marRight w:val="0"/>
          <w:marTop w:val="100"/>
          <w:marBottom w:val="0"/>
          <w:divBdr>
            <w:top w:val="none" w:sz="0" w:space="0" w:color="auto"/>
            <w:left w:val="none" w:sz="0" w:space="0" w:color="auto"/>
            <w:bottom w:val="none" w:sz="0" w:space="0" w:color="auto"/>
            <w:right w:val="none" w:sz="0" w:space="0" w:color="auto"/>
          </w:divBdr>
        </w:div>
        <w:div w:id="1981155342">
          <w:marLeft w:val="360"/>
          <w:marRight w:val="0"/>
          <w:marTop w:val="200"/>
          <w:marBottom w:val="0"/>
          <w:divBdr>
            <w:top w:val="none" w:sz="0" w:space="0" w:color="auto"/>
            <w:left w:val="none" w:sz="0" w:space="0" w:color="auto"/>
            <w:bottom w:val="none" w:sz="0" w:space="0" w:color="auto"/>
            <w:right w:val="none" w:sz="0" w:space="0" w:color="auto"/>
          </w:divBdr>
        </w:div>
        <w:div w:id="632903845">
          <w:marLeft w:val="1080"/>
          <w:marRight w:val="0"/>
          <w:marTop w:val="100"/>
          <w:marBottom w:val="0"/>
          <w:divBdr>
            <w:top w:val="none" w:sz="0" w:space="0" w:color="auto"/>
            <w:left w:val="none" w:sz="0" w:space="0" w:color="auto"/>
            <w:bottom w:val="none" w:sz="0" w:space="0" w:color="auto"/>
            <w:right w:val="none" w:sz="0" w:space="0" w:color="auto"/>
          </w:divBdr>
        </w:div>
      </w:divsChild>
    </w:div>
    <w:div w:id="1523783309">
      <w:bodyDiv w:val="1"/>
      <w:marLeft w:val="0"/>
      <w:marRight w:val="0"/>
      <w:marTop w:val="0"/>
      <w:marBottom w:val="0"/>
      <w:divBdr>
        <w:top w:val="none" w:sz="0" w:space="0" w:color="auto"/>
        <w:left w:val="none" w:sz="0" w:space="0" w:color="auto"/>
        <w:bottom w:val="none" w:sz="0" w:space="0" w:color="auto"/>
        <w:right w:val="none" w:sz="0" w:space="0" w:color="auto"/>
      </w:divBdr>
      <w:divsChild>
        <w:div w:id="1484348423">
          <w:marLeft w:val="1080"/>
          <w:marRight w:val="0"/>
          <w:marTop w:val="100"/>
          <w:marBottom w:val="0"/>
          <w:divBdr>
            <w:top w:val="none" w:sz="0" w:space="0" w:color="auto"/>
            <w:left w:val="none" w:sz="0" w:space="0" w:color="auto"/>
            <w:bottom w:val="none" w:sz="0" w:space="0" w:color="auto"/>
            <w:right w:val="none" w:sz="0" w:space="0" w:color="auto"/>
          </w:divBdr>
        </w:div>
        <w:div w:id="1177696720">
          <w:marLeft w:val="1800"/>
          <w:marRight w:val="0"/>
          <w:marTop w:val="100"/>
          <w:marBottom w:val="0"/>
          <w:divBdr>
            <w:top w:val="none" w:sz="0" w:space="0" w:color="auto"/>
            <w:left w:val="none" w:sz="0" w:space="0" w:color="auto"/>
            <w:bottom w:val="none" w:sz="0" w:space="0" w:color="auto"/>
            <w:right w:val="none" w:sz="0" w:space="0" w:color="auto"/>
          </w:divBdr>
        </w:div>
        <w:div w:id="1467048365">
          <w:marLeft w:val="2520"/>
          <w:marRight w:val="0"/>
          <w:marTop w:val="100"/>
          <w:marBottom w:val="0"/>
          <w:divBdr>
            <w:top w:val="none" w:sz="0" w:space="0" w:color="auto"/>
            <w:left w:val="none" w:sz="0" w:space="0" w:color="auto"/>
            <w:bottom w:val="none" w:sz="0" w:space="0" w:color="auto"/>
            <w:right w:val="none" w:sz="0" w:space="0" w:color="auto"/>
          </w:divBdr>
        </w:div>
      </w:divsChild>
    </w:div>
    <w:div w:id="2088769537">
      <w:bodyDiv w:val="1"/>
      <w:marLeft w:val="0"/>
      <w:marRight w:val="0"/>
      <w:marTop w:val="0"/>
      <w:marBottom w:val="0"/>
      <w:divBdr>
        <w:top w:val="none" w:sz="0" w:space="0" w:color="auto"/>
        <w:left w:val="none" w:sz="0" w:space="0" w:color="auto"/>
        <w:bottom w:val="none" w:sz="0" w:space="0" w:color="auto"/>
        <w:right w:val="none" w:sz="0" w:space="0" w:color="auto"/>
      </w:divBdr>
      <w:divsChild>
        <w:div w:id="1701584071">
          <w:marLeft w:val="360"/>
          <w:marRight w:val="0"/>
          <w:marTop w:val="200"/>
          <w:marBottom w:val="0"/>
          <w:divBdr>
            <w:top w:val="none" w:sz="0" w:space="0" w:color="auto"/>
            <w:left w:val="none" w:sz="0" w:space="0" w:color="auto"/>
            <w:bottom w:val="none" w:sz="0" w:space="0" w:color="auto"/>
            <w:right w:val="none" w:sz="0" w:space="0" w:color="auto"/>
          </w:divBdr>
        </w:div>
        <w:div w:id="44015020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image" Target="media/image15.wmf"/><Relationship Id="rId53" Type="http://schemas.openxmlformats.org/officeDocument/2006/relationships/image" Target="media/image18.wmf"/><Relationship Id="rId58" Type="http://schemas.openxmlformats.org/officeDocument/2006/relationships/image" Target="media/image20.wmf"/><Relationship Id="rId66" Type="http://schemas.openxmlformats.org/officeDocument/2006/relationships/header" Target="header1.xml"/><Relationship Id="rId5" Type="http://schemas.openxmlformats.org/officeDocument/2006/relationships/customXml" Target="../customXml/item4.xml"/><Relationship Id="rId61" Type="http://schemas.openxmlformats.org/officeDocument/2006/relationships/oleObject" Target="embeddings/oleObject28.bin"/><Relationship Id="rId19" Type="http://schemas.openxmlformats.org/officeDocument/2006/relationships/image" Target="media/image4.wmf"/><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oleObject" Target="embeddings/oleObject25.bin"/><Relationship Id="rId64" Type="http://schemas.openxmlformats.org/officeDocument/2006/relationships/image" Target="media/image22.wmf"/><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22.bin"/><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footer" Target="footer1.xml"/><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oleObject" Target="embeddings/oleObject24.bin"/><Relationship Id="rId62" Type="http://schemas.openxmlformats.org/officeDocument/2006/relationships/oleObject" Target="embeddings/oleObject29.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oleObject" Target="embeddings/oleObject26.bin"/><Relationship Id="rId10" Type="http://schemas.openxmlformats.org/officeDocument/2006/relationships/footnotes" Target="footnotes.xm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image" Target="media/image21.wmf"/><Relationship Id="rId65" Type="http://schemas.openxmlformats.org/officeDocument/2006/relationships/oleObject" Target="embeddings/oleObject31.bin"/><Relationship Id="rId4" Type="http://schemas.openxmlformats.org/officeDocument/2006/relationships/customXml" Target="../customXml/item3.xml"/><Relationship Id="rId9" Type="http://schemas.openxmlformats.org/officeDocument/2006/relationships/webSettings" Target="webSettings.xml"/><Relationship Id="rId13" Type="http://schemas.microsoft.com/office/2007/relationships/hdphoto" Target="media/hdphoto1.wdp"/><Relationship Id="rId18" Type="http://schemas.openxmlformats.org/officeDocument/2006/relationships/oleObject" Target="embeddings/oleObject3.bin"/><Relationship Id="rId39" Type="http://schemas.openxmlformats.org/officeDocument/2006/relationships/oleObject" Target="embeddings/oleObject15.bin"/><Relationship Id="rId34" Type="http://schemas.openxmlformats.org/officeDocument/2006/relationships/oleObject" Target="embeddings/oleObject12.bin"/><Relationship Id="rId50" Type="http://schemas.openxmlformats.org/officeDocument/2006/relationships/image" Target="media/image17.wmf"/><Relationship Id="rId55" Type="http://schemas.openxmlformats.org/officeDocument/2006/relationships/image" Target="media/image1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4FE20-2EAD-4C50-9B92-353D96490638}">
  <ds:schemaRefs>
    <ds:schemaRef ds:uri="http://schemas.microsoft.com/sharepoint/v3/contenttype/forms"/>
  </ds:schemaRefs>
</ds:datastoreItem>
</file>

<file path=customXml/itemProps2.xml><?xml version="1.0" encoding="utf-8"?>
<ds:datastoreItem xmlns:ds="http://schemas.openxmlformats.org/officeDocument/2006/customXml" ds:itemID="{AAFEACF0-4F5A-482C-9BC7-697F03173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7851E1-7A2D-4397-B0E7-9BEBEDF93C92}">
  <ds:schemaRefs>
    <ds:schemaRef ds:uri="http://purl.org/dc/elements/1.1/"/>
    <ds:schemaRef ds:uri="2f282d3b-eb4a-4b09-b61f-b9593442e286"/>
    <ds:schemaRef ds:uri="http://schemas.microsoft.com/sharepoint/v3"/>
    <ds:schemaRef ds:uri="http://schemas.microsoft.com/office/2006/documentManagement/types"/>
    <ds:schemaRef ds:uri="d8762117-8292-4133-b1c7-eab5c6487cfd"/>
    <ds:schemaRef ds:uri="http://schemas.microsoft.com/office/2006/metadata/properties"/>
    <ds:schemaRef ds:uri="http://purl.org/dc/terms/"/>
    <ds:schemaRef ds:uri="http://schemas.microsoft.com/office/infopath/2007/PartnerControls"/>
    <ds:schemaRef ds:uri="http://schemas.openxmlformats.org/package/2006/metadata/core-properties"/>
    <ds:schemaRef ds:uri="9b239327-9e80-40e4-b1b7-4394fed77a33"/>
    <ds:schemaRef ds:uri="http://www.w3.org/XML/1998/namespace"/>
    <ds:schemaRef ds:uri="http://purl.org/dc/dcmitype/"/>
  </ds:schemaRefs>
</ds:datastoreItem>
</file>

<file path=customXml/itemProps4.xml><?xml version="1.0" encoding="utf-8"?>
<ds:datastoreItem xmlns:ds="http://schemas.openxmlformats.org/officeDocument/2006/customXml" ds:itemID="{824F4404-ECC7-4D54-8D7F-4C0B56780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4336</Words>
  <Characters>24721</Characters>
  <Application>Microsoft Office Word</Application>
  <DocSecurity>0</DocSecurity>
  <Lines>206</Lines>
  <Paragraphs>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Santhan Thangarasa</cp:lastModifiedBy>
  <cp:revision>2</cp:revision>
  <cp:lastPrinted>2008-01-31T07:09:00Z</cp:lastPrinted>
  <dcterms:created xsi:type="dcterms:W3CDTF">2022-08-10T13:49:00Z</dcterms:created>
  <dcterms:modified xsi:type="dcterms:W3CDTF">2022-08-10T13:49:00Z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y fmtid="{D5CDD505-2E9C-101B-9397-08002B2CF9AE}" pid="4" name="MediaServiceImageTags">
    <vt:lpwstr/>
  </property>
</Properties>
</file>