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E8EF" w14:textId="10E298E4" w:rsidR="00BB29E1" w:rsidRPr="00BB29E1" w:rsidRDefault="00BB29E1" w:rsidP="00BB29E1">
      <w:pPr>
        <w:pStyle w:val="a5"/>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3GPP TSG-RAN WG4 Meeting # 104-e</w:t>
      </w:r>
      <w:r w:rsidRPr="00BB29E1">
        <w:rPr>
          <w:rFonts w:asciiTheme="minorHAnsi" w:hAnsiTheme="minorHAnsi" w:cstheme="minorHAnsi"/>
          <w:sz w:val="24"/>
          <w:szCs w:val="24"/>
        </w:rPr>
        <w:tab/>
        <w:t>R4-22</w:t>
      </w:r>
      <w:r w:rsidR="005471E4" w:rsidRPr="005471E4">
        <w:rPr>
          <w:rFonts w:asciiTheme="minorHAnsi" w:hAnsiTheme="minorHAnsi" w:cstheme="minorHAnsi" w:hint="eastAsia"/>
          <w:sz w:val="24"/>
          <w:szCs w:val="24"/>
        </w:rPr>
        <w:t>12528</w:t>
      </w:r>
    </w:p>
    <w:p w14:paraId="02183684" w14:textId="77777777" w:rsidR="00BB29E1" w:rsidRDefault="00BB29E1" w:rsidP="00BB29E1">
      <w:pPr>
        <w:pStyle w:val="a5"/>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Electronic Meeting, August 15 – August 26, 2022</w:t>
      </w:r>
    </w:p>
    <w:p w14:paraId="169FBA1C" w14:textId="1A243065" w:rsidR="003533F2" w:rsidRPr="006F3377" w:rsidRDefault="003533F2" w:rsidP="00BB29E1">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E83E23">
        <w:rPr>
          <w:rFonts w:asciiTheme="minorHAnsi" w:eastAsia="新細明體" w:hAnsiTheme="minorHAnsi" w:cstheme="minorHAnsi"/>
          <w:bCs/>
          <w:noProof w:val="0"/>
          <w:sz w:val="24"/>
          <w:szCs w:val="24"/>
          <w:lang w:eastAsia="zh-TW"/>
        </w:rPr>
        <w:t>9.17.2.2</w:t>
      </w:r>
    </w:p>
    <w:p w14:paraId="08B3763A" w14:textId="77777777" w:rsidR="003533F2" w:rsidRPr="009A2A8B"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18BB7F98" w:rsidR="003533F2" w:rsidRPr="009A2A8B"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E83E23">
        <w:rPr>
          <w:rFonts w:ascii="Calibri" w:hAnsi="Calibri" w:cs="Calibri"/>
          <w:sz w:val="22"/>
          <w:szCs w:val="22"/>
        </w:rPr>
        <w:t xml:space="preserve">Discussion on LS on SSB measurement for L1-RSRP on inter-cell beam management </w:t>
      </w:r>
      <w:r w:rsidRPr="00CA71C3">
        <w:rPr>
          <w:rFonts w:asciiTheme="minorHAnsi" w:eastAsiaTheme="minorEastAsia" w:hAnsiTheme="minorHAnsi" w:cstheme="minorHAnsi"/>
          <w:bCs/>
          <w:noProof w:val="0"/>
          <w:sz w:val="24"/>
          <w:szCs w:val="24"/>
          <w:lang w:eastAsia="zh-CN"/>
        </w:rPr>
        <w:t xml:space="preserve"> </w:t>
      </w:r>
      <w:r w:rsidRPr="009A2A8B">
        <w:rPr>
          <w:rFonts w:asciiTheme="minorHAnsi" w:eastAsiaTheme="minorEastAsia" w:hAnsiTheme="minorHAnsi" w:cstheme="minorHAnsi"/>
          <w:bCs/>
          <w:noProof w:val="0"/>
          <w:sz w:val="24"/>
          <w:szCs w:val="24"/>
          <w:lang w:eastAsia="zh-CN"/>
        </w:rPr>
        <w:t xml:space="preserve"> </w:t>
      </w:r>
    </w:p>
    <w:p w14:paraId="66AAD5BC" w14:textId="7DB33049" w:rsidR="0034111C" w:rsidRPr="00C86203" w:rsidRDefault="003533F2" w:rsidP="003533F2">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CDF50EA" w14:textId="0A36E971" w:rsidR="0028162D" w:rsidRDefault="00E83E23" w:rsidP="00E83E23">
      <w:pPr>
        <w:jc w:val="both"/>
        <w:rPr>
          <w:rFonts w:eastAsia="新細明體" w:cstheme="minorHAnsi"/>
          <w:szCs w:val="24"/>
        </w:rPr>
      </w:pPr>
      <w:r>
        <w:rPr>
          <w:rFonts w:eastAsia="新細明體" w:cstheme="minorHAnsi" w:hint="eastAsia"/>
          <w:szCs w:val="24"/>
        </w:rPr>
        <w:t>I</w:t>
      </w:r>
      <w:r>
        <w:rPr>
          <w:rFonts w:eastAsia="新細明體" w:cstheme="minorHAnsi"/>
          <w:szCs w:val="24"/>
        </w:rPr>
        <w:t xml:space="preserve">n the last meeting, one </w:t>
      </w:r>
      <w:r w:rsidRPr="00E83E23">
        <w:rPr>
          <w:rFonts w:eastAsia="新細明體" w:cstheme="minorHAnsi"/>
          <w:szCs w:val="24"/>
        </w:rPr>
        <w:t xml:space="preserve">LS </w:t>
      </w:r>
      <w:hyperlink r:id="rId8" w:history="1">
        <w:r w:rsidRPr="00E83E23">
          <w:rPr>
            <w:rStyle w:val="af0"/>
            <w:rFonts w:ascii="Calibri" w:hAnsi="Calibri" w:cs="Calibri"/>
            <w:szCs w:val="24"/>
          </w:rPr>
          <w:t>R1-2205640</w:t>
        </w:r>
      </w:hyperlink>
      <w:r w:rsidRPr="00E83E23">
        <w:rPr>
          <w:rFonts w:eastAsia="新細明體" w:cstheme="minorHAnsi"/>
          <w:szCs w:val="24"/>
        </w:rPr>
        <w:t xml:space="preserve"> regardin</w:t>
      </w:r>
      <w:r>
        <w:rPr>
          <w:rFonts w:eastAsia="新細明體" w:cstheme="minorHAnsi"/>
          <w:szCs w:val="24"/>
        </w:rPr>
        <w:t>g SSB based L1-RSRP measurement for inter-cell BM is set from RAN1 to RAN4. Our view on this LS is provided in this paper.</w:t>
      </w:r>
      <w:r w:rsidR="000B0F8D">
        <w:rPr>
          <w:rFonts w:eastAsia="新細明體" w:cstheme="minorHAnsi"/>
          <w:szCs w:val="24"/>
        </w:rPr>
        <w:t xml:space="preserve"> </w:t>
      </w:r>
    </w:p>
    <w:p w14:paraId="1E6626BF" w14:textId="77777777" w:rsidR="0028162D" w:rsidRPr="00C86203" w:rsidRDefault="0028162D" w:rsidP="00C86203">
      <w:pPr>
        <w:jc w:val="both"/>
        <w:rPr>
          <w:rFonts w:eastAsia="新細明體" w:cstheme="minorHAnsi"/>
          <w:szCs w:val="24"/>
        </w:rPr>
      </w:pPr>
    </w:p>
    <w:p w14:paraId="3CA86362" w14:textId="47352AB4" w:rsidR="0028162D" w:rsidRDefault="00C51F3B"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3F0D6EFE" w14:textId="11A236D0" w:rsidR="00E83E23" w:rsidRDefault="00E83E23" w:rsidP="000B0F8D">
      <w:pPr>
        <w:rPr>
          <w:rFonts w:eastAsia="新細明體"/>
          <w:lang w:val="en-GB"/>
        </w:rPr>
      </w:pPr>
      <w:r>
        <w:rPr>
          <w:rFonts w:eastAsia="新細明體" w:hint="eastAsia"/>
          <w:lang w:val="en-GB"/>
        </w:rPr>
        <w:t>T</w:t>
      </w:r>
      <w:r>
        <w:rPr>
          <w:rFonts w:eastAsia="新細明體"/>
          <w:lang w:val="en-GB"/>
        </w:rPr>
        <w:t>he content of LS is provided below for reference.</w:t>
      </w:r>
    </w:p>
    <w:p w14:paraId="171D8C40" w14:textId="77777777" w:rsidR="005B6748" w:rsidRDefault="005B6748" w:rsidP="000B0F8D">
      <w:pPr>
        <w:rPr>
          <w:rFonts w:eastAsia="新細明體"/>
          <w:lang w:val="en-GB"/>
        </w:rPr>
      </w:pPr>
    </w:p>
    <w:tbl>
      <w:tblPr>
        <w:tblStyle w:val="af7"/>
        <w:tblW w:w="0" w:type="auto"/>
        <w:tblLook w:val="04A0" w:firstRow="1" w:lastRow="0" w:firstColumn="1" w:lastColumn="0" w:noHBand="0" w:noVBand="1"/>
      </w:tblPr>
      <w:tblGrid>
        <w:gridCol w:w="9629"/>
      </w:tblGrid>
      <w:tr w:rsidR="00E83E23" w14:paraId="4DE6D4AA" w14:textId="77777777" w:rsidTr="00E83E23">
        <w:tc>
          <w:tcPr>
            <w:tcW w:w="9629" w:type="dxa"/>
          </w:tcPr>
          <w:p w14:paraId="220050C7" w14:textId="639A400D" w:rsidR="00E83E23" w:rsidRPr="005B6748" w:rsidRDefault="00E83E23" w:rsidP="005B6748">
            <w:pPr>
              <w:spacing w:beforeLines="100" w:before="240" w:afterLines="100" w:after="240"/>
              <w:rPr>
                <w:rFonts w:eastAsia="新細明體" w:cstheme="minorHAnsi"/>
                <w:b/>
              </w:rPr>
            </w:pPr>
            <w:r w:rsidRPr="00E83E23">
              <w:rPr>
                <w:rFonts w:cstheme="minorHAnsi"/>
                <w:b/>
              </w:rPr>
              <w:t>Overall Description:</w:t>
            </w:r>
          </w:p>
          <w:p w14:paraId="69B47530" w14:textId="2D57B499" w:rsidR="00E83E23" w:rsidRPr="00E83E23" w:rsidRDefault="00E83E23" w:rsidP="005B6748">
            <w:pPr>
              <w:spacing w:beforeLines="100" w:before="240" w:afterLines="100" w:after="240" w:line="271" w:lineRule="auto"/>
              <w:jc w:val="both"/>
              <w:rPr>
                <w:rFonts w:cstheme="minorHAnsi"/>
              </w:rPr>
            </w:pPr>
            <w:r w:rsidRPr="00E83E23">
              <w:rPr>
                <w:rFonts w:cstheme="minorHAnsi"/>
              </w:rPr>
              <w:t xml:space="preserve">In Rel-17 </w:t>
            </w:r>
            <w:proofErr w:type="spellStart"/>
            <w:r w:rsidRPr="00E83E23">
              <w:rPr>
                <w:rFonts w:cstheme="minorHAnsi"/>
              </w:rPr>
              <w:t>FeMIMO</w:t>
            </w:r>
            <w:proofErr w:type="spellEnd"/>
            <w:r w:rsidRPr="00E83E23">
              <w:rPr>
                <w:rFonts w:cstheme="minorHAnsi"/>
              </w:rPr>
              <w:t xml:space="preserve">, for inter-cell beam management, RAN1 has agreed to support PDCCH/PDSCH rate matching around the SSBs indicated by </w:t>
            </w:r>
            <w:r w:rsidRPr="00E83E23">
              <w:rPr>
                <w:rFonts w:cstheme="minorHAnsi"/>
                <w:i/>
                <w:iCs/>
              </w:rPr>
              <w:t>ssb-PositionsInBurst-r17</w:t>
            </w:r>
            <w:r w:rsidRPr="00E83E23">
              <w:rPr>
                <w:rFonts w:cstheme="minorHAnsi"/>
                <w:iCs/>
              </w:rPr>
              <w:t xml:space="preserve"> for the same PCI as that associated with TCI state of the PDSCH/PDCCH as working </w:t>
            </w:r>
            <w:r w:rsidRPr="00E83E23">
              <w:rPr>
                <w:rFonts w:cstheme="minorHAnsi"/>
              </w:rPr>
              <w:t>assumption</w:t>
            </w:r>
            <w:r w:rsidRPr="00E83E23">
              <w:rPr>
                <w:rFonts w:cstheme="minorHAnsi"/>
                <w:iCs/>
              </w:rPr>
              <w:t xml:space="preserve">. </w:t>
            </w:r>
          </w:p>
          <w:p w14:paraId="4B00ADEC" w14:textId="77777777" w:rsidR="00E83E23" w:rsidRPr="00E83E23" w:rsidRDefault="00E83E23" w:rsidP="005B6748">
            <w:pPr>
              <w:snapToGrid w:val="0"/>
              <w:spacing w:beforeLines="100" w:before="240" w:afterLines="100" w:after="240"/>
              <w:jc w:val="both"/>
              <w:rPr>
                <w:rFonts w:cstheme="minorHAnsi"/>
                <w:b/>
                <w:color w:val="000000"/>
                <w:sz w:val="21"/>
                <w:szCs w:val="21"/>
              </w:rPr>
            </w:pPr>
            <w:r w:rsidRPr="00E83E23">
              <w:rPr>
                <w:rStyle w:val="aff0"/>
                <w:rFonts w:cstheme="minorHAnsi"/>
                <w:iCs/>
                <w:color w:val="000000"/>
                <w:u w:val="single"/>
                <w:shd w:val="clear" w:color="auto" w:fill="808000"/>
              </w:rPr>
              <w:t>Working assumption</w:t>
            </w:r>
            <w:r w:rsidRPr="00E83E23">
              <w:rPr>
                <w:rStyle w:val="apple-converted-space"/>
                <w:rFonts w:cstheme="minorHAnsi"/>
                <w:b/>
                <w:bCs/>
                <w:iCs/>
                <w:color w:val="000000"/>
              </w:rPr>
              <w:t> </w:t>
            </w:r>
            <w:r w:rsidRPr="00E83E23">
              <w:rPr>
                <w:rStyle w:val="afe"/>
                <w:rFonts w:cstheme="minorHAnsi"/>
                <w:b/>
                <w:color w:val="000000"/>
              </w:rPr>
              <w:t>On inter-cell beam management, the PDCCH /PDSCH should be rate matched around the SSBs indicated by ssb-PositionsInBurst-r17 for the same PCI as that associated with TCI state of the PDSCH /PDCCH</w:t>
            </w:r>
          </w:p>
          <w:p w14:paraId="1803A0BE" w14:textId="36882980" w:rsidR="00E83E23" w:rsidRPr="005B6748" w:rsidRDefault="00E83E23" w:rsidP="005B6748">
            <w:pPr>
              <w:widowControl/>
              <w:numPr>
                <w:ilvl w:val="0"/>
                <w:numId w:val="28"/>
              </w:numPr>
              <w:spacing w:beforeLines="100" w:before="240" w:afterLines="100" w:after="240"/>
              <w:jc w:val="both"/>
              <w:rPr>
                <w:rFonts w:cstheme="minorHAnsi"/>
                <w:b/>
                <w:color w:val="000000"/>
                <w:sz w:val="21"/>
                <w:szCs w:val="21"/>
              </w:rPr>
            </w:pPr>
            <w:r w:rsidRPr="00E83E23">
              <w:rPr>
                <w:rStyle w:val="afe"/>
                <w:rFonts w:cstheme="minorHAnsi"/>
                <w:b/>
                <w:color w:val="000000"/>
              </w:rPr>
              <w:t xml:space="preserve">Send LS to RAN4 on </w:t>
            </w:r>
            <w:r w:rsidRPr="00B23C6B">
              <w:rPr>
                <w:rStyle w:val="afe"/>
                <w:rFonts w:cstheme="minorHAnsi"/>
                <w:b/>
                <w:color w:val="0000FF"/>
              </w:rPr>
              <w:t>whether there is requirements in RAN4 that assumes UE to measure SSB for L1-RSRP measurement and receiving PDSCH /PDCCH on the same RE in FR1</w:t>
            </w:r>
            <w:r w:rsidRPr="00E83E23">
              <w:rPr>
                <w:rStyle w:val="afe"/>
                <w:rFonts w:cstheme="minorHAnsi"/>
                <w:b/>
                <w:color w:val="000000"/>
              </w:rPr>
              <w:t>. Revisit this issue after there is RAN4 feedback.</w:t>
            </w:r>
          </w:p>
          <w:p w14:paraId="2620A857" w14:textId="014FF13D" w:rsidR="00E83E23" w:rsidRPr="00E83E23" w:rsidRDefault="00E83E23" w:rsidP="005B6748">
            <w:pPr>
              <w:spacing w:beforeLines="100" w:before="240" w:afterLines="100" w:after="240" w:line="271" w:lineRule="auto"/>
              <w:jc w:val="both"/>
              <w:rPr>
                <w:rFonts w:ascii="Arial" w:eastAsia="新細明體" w:hAnsi="Arial" w:cs="Arial"/>
              </w:rPr>
            </w:pPr>
            <w:r w:rsidRPr="00E83E23">
              <w:rPr>
                <w:rFonts w:cstheme="minorHAnsi"/>
              </w:rPr>
              <w:t>RAN1 would kindly like to ask RAN4 to provide feedback on whether there are any requirements that are related to UE measurements of L1-RSRP and reception of PDSCH/PDCCH on the same RE in FR1 for inter-cell beam management. RAN1 would revisit this issue when there is RAN4 feedback.</w:t>
            </w:r>
          </w:p>
        </w:tc>
      </w:tr>
    </w:tbl>
    <w:p w14:paraId="0A27564A" w14:textId="222608F6" w:rsidR="00E83E23" w:rsidRDefault="00E83E23" w:rsidP="000B0F8D">
      <w:pPr>
        <w:rPr>
          <w:rFonts w:eastAsia="新細明體"/>
          <w:lang w:val="en-GB"/>
        </w:rPr>
      </w:pPr>
    </w:p>
    <w:p w14:paraId="47138F8B" w14:textId="2266A88C" w:rsidR="004E4BCC" w:rsidRPr="00E83E23" w:rsidRDefault="00E83E23" w:rsidP="004E4BCC">
      <w:pPr>
        <w:ind w:leftChars="18" w:left="43"/>
        <w:jc w:val="both"/>
        <w:rPr>
          <w:rFonts w:eastAsia="新細明體"/>
          <w:bCs/>
          <w:szCs w:val="24"/>
        </w:rPr>
      </w:pPr>
      <w:r w:rsidRPr="00E83E23">
        <w:rPr>
          <w:rFonts w:eastAsia="新細明體"/>
          <w:bCs/>
          <w:szCs w:val="24"/>
        </w:rPr>
        <w:t>For the question from RAN1 “</w:t>
      </w:r>
      <w:r w:rsidRPr="00E83E23">
        <w:rPr>
          <w:rStyle w:val="afe"/>
          <w:rFonts w:cstheme="minorHAnsi"/>
          <w:bCs/>
          <w:color w:val="000000"/>
        </w:rPr>
        <w:t>whether there is requirements in RAN4 that assumes UE to measure SSB for L1-RSRP measurement and receiving PDSCH /PDCCH on the same RE in FR1</w:t>
      </w:r>
      <w:r w:rsidRPr="00E83E23">
        <w:rPr>
          <w:rFonts w:eastAsia="新細明體"/>
          <w:bCs/>
          <w:szCs w:val="24"/>
        </w:rPr>
        <w:t>”. To our</w:t>
      </w:r>
      <w:r>
        <w:rPr>
          <w:rFonts w:eastAsia="新細明體" w:hint="eastAsia"/>
          <w:bCs/>
          <w:szCs w:val="24"/>
        </w:rPr>
        <w:t xml:space="preserve"> u</w:t>
      </w:r>
      <w:r>
        <w:rPr>
          <w:rFonts w:eastAsia="新細明體"/>
          <w:bCs/>
          <w:szCs w:val="24"/>
        </w:rPr>
        <w:t xml:space="preserve">nderstanding, there is no such requirement in TS 38.133. As far as we know, in RRM and </w:t>
      </w:r>
      <w:proofErr w:type="spellStart"/>
      <w:r>
        <w:rPr>
          <w:rFonts w:eastAsia="新細明體"/>
          <w:bCs/>
          <w:szCs w:val="24"/>
        </w:rPr>
        <w:t>Demod</w:t>
      </w:r>
      <w:proofErr w:type="spellEnd"/>
      <w:r>
        <w:rPr>
          <w:rFonts w:eastAsia="新細明體"/>
          <w:bCs/>
          <w:szCs w:val="24"/>
        </w:rPr>
        <w:t xml:space="preserve"> session, we assume SSB and PDSCH shall not be transmitted in the same RE. Because SSB is an important signals and it can be used for channel estimation, timing tracking and AGC tunning, … , etc. So, if PDSCH/PDCCH is transmitted in the same RE as SSB, the performance will </w:t>
      </w:r>
      <w:r w:rsidR="00B73D3C">
        <w:rPr>
          <w:rFonts w:eastAsia="新細明體"/>
          <w:bCs/>
          <w:szCs w:val="24"/>
        </w:rPr>
        <w:t>have hugely impact</w:t>
      </w:r>
      <w:r>
        <w:rPr>
          <w:rFonts w:eastAsia="新細明體"/>
          <w:bCs/>
          <w:szCs w:val="24"/>
        </w:rPr>
        <w:t>.</w:t>
      </w:r>
    </w:p>
    <w:p w14:paraId="6EA5A7BD" w14:textId="4ADE7FC6" w:rsidR="0032451B" w:rsidRDefault="0032451B" w:rsidP="00C86203">
      <w:pPr>
        <w:jc w:val="both"/>
        <w:rPr>
          <w:rFonts w:eastAsia="新細明體" w:cstheme="minorHAnsi"/>
          <w:szCs w:val="24"/>
        </w:rPr>
      </w:pPr>
    </w:p>
    <w:p w14:paraId="15A74C90" w14:textId="73A5B922" w:rsidR="00B73D3C" w:rsidRDefault="00B73D3C" w:rsidP="00B73D3C">
      <w:pPr>
        <w:jc w:val="both"/>
        <w:rPr>
          <w:rFonts w:eastAsia="新細明體"/>
          <w:b/>
          <w:szCs w:val="24"/>
        </w:rPr>
      </w:pPr>
      <w:bookmarkStart w:id="0" w:name="_Ref110952554"/>
      <w:r w:rsidRPr="007B097A">
        <w:rPr>
          <w:b/>
          <w:lang w:eastAsia="x-none"/>
        </w:rPr>
        <w:t xml:space="preserve">Proposal </w:t>
      </w:r>
      <w:r w:rsidRPr="007B097A">
        <w:rPr>
          <w:b/>
          <w:lang w:eastAsia="x-none"/>
        </w:rPr>
        <w:fldChar w:fldCharType="begin"/>
      </w:r>
      <w:r w:rsidRPr="007B097A">
        <w:rPr>
          <w:b/>
          <w:lang w:eastAsia="x-none"/>
        </w:rPr>
        <w:instrText xml:space="preserve"> SEQ Proposal \* ARABIC </w:instrText>
      </w:r>
      <w:r w:rsidRPr="007B097A">
        <w:rPr>
          <w:b/>
          <w:lang w:eastAsia="x-none"/>
        </w:rPr>
        <w:fldChar w:fldCharType="separate"/>
      </w:r>
      <w:r>
        <w:rPr>
          <w:b/>
          <w:noProof/>
          <w:lang w:eastAsia="x-none"/>
        </w:rPr>
        <w:t>1</w:t>
      </w:r>
      <w:r w:rsidRPr="007B097A">
        <w:rPr>
          <w:b/>
          <w:lang w:eastAsia="x-none"/>
        </w:rPr>
        <w:fldChar w:fldCharType="end"/>
      </w:r>
      <w:r w:rsidRPr="007B097A">
        <w:rPr>
          <w:b/>
          <w:lang w:eastAsia="x-none"/>
        </w:rPr>
        <w:t xml:space="preserve">: </w:t>
      </w:r>
      <w:r>
        <w:rPr>
          <w:b/>
          <w:lang w:eastAsia="x-none"/>
        </w:rPr>
        <w:t>No UE requirement is applied w</w:t>
      </w:r>
      <w:r w:rsidRPr="00B73D3C">
        <w:rPr>
          <w:b/>
          <w:lang w:eastAsia="x-none"/>
        </w:rPr>
        <w:t xml:space="preserve">hen </w:t>
      </w:r>
      <w:r w:rsidRPr="00B73D3C">
        <w:rPr>
          <w:rStyle w:val="afe"/>
          <w:rFonts w:cstheme="minorHAnsi"/>
          <w:b/>
          <w:i w:val="0"/>
          <w:iCs w:val="0"/>
          <w:color w:val="000000"/>
        </w:rPr>
        <w:t>UE measures SSB for L1-RSRP measurement and receives PDSCH /PDCCH on the same RE in FR1</w:t>
      </w:r>
      <w:r w:rsidRPr="00B73D3C">
        <w:rPr>
          <w:rFonts w:eastAsia="新細明體"/>
          <w:b/>
          <w:i/>
          <w:iCs/>
          <w:szCs w:val="24"/>
        </w:rPr>
        <w:t>.</w:t>
      </w:r>
      <w:bookmarkEnd w:id="0"/>
    </w:p>
    <w:p w14:paraId="54D8A10D" w14:textId="77777777" w:rsidR="00B73D3C" w:rsidRPr="00B73D3C" w:rsidRDefault="00B73D3C" w:rsidP="00C86203">
      <w:pPr>
        <w:jc w:val="both"/>
        <w:rPr>
          <w:rFonts w:eastAsia="新細明體" w:cstheme="minorHAnsi"/>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6425E90D" w:rsidR="00A065C5" w:rsidRDefault="006F7557" w:rsidP="00D44C67">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5B6748">
        <w:rPr>
          <w:rFonts w:cstheme="minorHAnsi"/>
          <w:szCs w:val="24"/>
        </w:rPr>
        <w:t>this LS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1" w:name="_Hlk94866332"/>
    </w:p>
    <w:p w14:paraId="0B55CA6C" w14:textId="1D6A82A6" w:rsidR="005B6748" w:rsidRDefault="005B6748" w:rsidP="00D44C67">
      <w:pPr>
        <w:adjustRightInd w:val="0"/>
        <w:snapToGrid w:val="0"/>
        <w:jc w:val="both"/>
        <w:rPr>
          <w:rFonts w:eastAsia="新細明體" w:cstheme="minorHAnsi"/>
          <w:szCs w:val="24"/>
        </w:rPr>
      </w:pPr>
    </w:p>
    <w:p w14:paraId="1A22D580" w14:textId="1987A3D8" w:rsidR="005B6748" w:rsidRDefault="005B6748" w:rsidP="00D44C67">
      <w:pPr>
        <w:adjustRightInd w:val="0"/>
        <w:snapToGrid w:val="0"/>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w:instrText>
      </w:r>
      <w:r>
        <w:rPr>
          <w:rFonts w:eastAsia="新細明體" w:cstheme="minorHAnsi" w:hint="eastAsia"/>
          <w:szCs w:val="24"/>
        </w:rPr>
        <w:instrText>REF _Ref110952554 \h</w:instrText>
      </w:r>
      <w:r>
        <w:rPr>
          <w:rFonts w:eastAsia="新細明體" w:cstheme="minorHAnsi"/>
          <w:szCs w:val="24"/>
        </w:rPr>
        <w:instrText xml:space="preserve"> </w:instrText>
      </w:r>
      <w:r>
        <w:rPr>
          <w:rFonts w:eastAsia="新細明體" w:cstheme="minorHAnsi"/>
          <w:szCs w:val="24"/>
        </w:rPr>
      </w:r>
      <w:r>
        <w:rPr>
          <w:rFonts w:eastAsia="新細明體" w:cstheme="minorHAnsi"/>
          <w:szCs w:val="24"/>
        </w:rPr>
        <w:fldChar w:fldCharType="separate"/>
      </w:r>
      <w:r w:rsidRPr="007B097A">
        <w:rPr>
          <w:b/>
          <w:lang w:eastAsia="x-none"/>
        </w:rPr>
        <w:t xml:space="preserve">Proposal </w:t>
      </w:r>
      <w:r>
        <w:rPr>
          <w:b/>
          <w:noProof/>
          <w:lang w:eastAsia="x-none"/>
        </w:rPr>
        <w:t>1</w:t>
      </w:r>
      <w:r w:rsidRPr="007B097A">
        <w:rPr>
          <w:b/>
          <w:lang w:eastAsia="x-none"/>
        </w:rPr>
        <w:t xml:space="preserve">: </w:t>
      </w:r>
      <w:r>
        <w:rPr>
          <w:b/>
          <w:lang w:eastAsia="x-none"/>
        </w:rPr>
        <w:t>No UE requirement is applied w</w:t>
      </w:r>
      <w:r w:rsidRPr="00B73D3C">
        <w:rPr>
          <w:b/>
          <w:lang w:eastAsia="x-none"/>
        </w:rPr>
        <w:t xml:space="preserve">hen </w:t>
      </w:r>
      <w:r w:rsidRPr="00B73D3C">
        <w:rPr>
          <w:rStyle w:val="afe"/>
          <w:rFonts w:cstheme="minorHAnsi"/>
          <w:b/>
          <w:i w:val="0"/>
          <w:iCs w:val="0"/>
          <w:color w:val="000000"/>
        </w:rPr>
        <w:t>UE measures SSB for L1-RSRP measurement and receives PDSCH /PDCCH on the same RE in FR1</w:t>
      </w:r>
      <w:r w:rsidRPr="00B73D3C">
        <w:rPr>
          <w:rFonts w:eastAsia="新細明體"/>
          <w:b/>
          <w:i/>
          <w:iCs/>
          <w:szCs w:val="24"/>
        </w:rPr>
        <w:t>.</w:t>
      </w:r>
      <w:r>
        <w:rPr>
          <w:rFonts w:eastAsia="新細明體" w:cstheme="minorHAnsi"/>
          <w:szCs w:val="24"/>
        </w:rPr>
        <w:fldChar w:fldCharType="end"/>
      </w:r>
    </w:p>
    <w:p w14:paraId="4CF4A2AC" w14:textId="77777777" w:rsidR="005B6748" w:rsidRPr="005B6748" w:rsidRDefault="005B6748" w:rsidP="00D44C67">
      <w:pPr>
        <w:adjustRightInd w:val="0"/>
        <w:snapToGrid w:val="0"/>
        <w:jc w:val="both"/>
        <w:rPr>
          <w:rFonts w:eastAsia="新細明體" w:cstheme="minorHAnsi"/>
          <w:szCs w:val="24"/>
        </w:rPr>
      </w:pPr>
    </w:p>
    <w:p w14:paraId="3E896D79" w14:textId="73B5C175" w:rsidR="00165A43" w:rsidRPr="003533F2" w:rsidRDefault="00165A43"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ECB9334" w14:textId="77777777" w:rsidR="00707EC5" w:rsidRPr="00707EC5" w:rsidRDefault="00707EC5" w:rsidP="00707EC5">
      <w:pPr>
        <w:rPr>
          <w:lang w:val="en-GB" w:eastAsia="en-US"/>
        </w:rPr>
      </w:pPr>
    </w:p>
    <w:p w14:paraId="62311690" w14:textId="46A6DCA5" w:rsidR="00BC1F81" w:rsidRPr="007F1120" w:rsidRDefault="005B6748" w:rsidP="007F1120">
      <w:pPr>
        <w:pStyle w:val="af5"/>
        <w:numPr>
          <w:ilvl w:val="0"/>
          <w:numId w:val="6"/>
        </w:numPr>
        <w:jc w:val="both"/>
        <w:rPr>
          <w:rFonts w:cstheme="minorHAnsi"/>
          <w:szCs w:val="24"/>
        </w:rPr>
      </w:pPr>
      <w:bookmarkStart w:id="2" w:name="_Ref94781619"/>
      <w:r w:rsidRPr="005B6748">
        <w:rPr>
          <w:rFonts w:cstheme="minorHAnsi"/>
          <w:szCs w:val="24"/>
        </w:rPr>
        <w:t>R1-2205640</w:t>
      </w:r>
      <w:r w:rsidR="008D311D">
        <w:rPr>
          <w:rFonts w:cstheme="minorHAnsi"/>
          <w:szCs w:val="24"/>
          <w:lang w:val="en-GB"/>
        </w:rPr>
        <w:t xml:space="preserve">, </w:t>
      </w:r>
      <w:r w:rsidRPr="005B6748">
        <w:rPr>
          <w:rFonts w:cstheme="minorHAnsi"/>
          <w:szCs w:val="24"/>
          <w:lang w:val="en-GB"/>
        </w:rPr>
        <w:t>LS to RAN4 on SSB measurement for L1-RSRP on inter-cell beam management</w:t>
      </w:r>
      <w:r w:rsidR="008D311D">
        <w:rPr>
          <w:rFonts w:cstheme="minorHAnsi"/>
          <w:szCs w:val="24"/>
          <w:lang w:val="en-GB"/>
        </w:rPr>
        <w:t xml:space="preserve">, </w:t>
      </w:r>
      <w:r>
        <w:rPr>
          <w:rFonts w:cstheme="minorHAnsi"/>
          <w:szCs w:val="24"/>
          <w:lang w:val="en-GB"/>
        </w:rPr>
        <w:t>RAN1,</w:t>
      </w:r>
      <w:r w:rsidR="008D311D">
        <w:rPr>
          <w:rFonts w:cstheme="minorHAnsi"/>
          <w:szCs w:val="24"/>
          <w:lang w:val="en-GB"/>
        </w:rPr>
        <w:t xml:space="preserve"> RAN</w:t>
      </w:r>
      <w:r>
        <w:rPr>
          <w:rFonts w:cstheme="minorHAnsi"/>
          <w:szCs w:val="24"/>
          <w:lang w:val="en-GB"/>
        </w:rPr>
        <w:t>1</w:t>
      </w:r>
      <w:r w:rsidR="008D311D">
        <w:rPr>
          <w:rFonts w:cstheme="minorHAnsi"/>
          <w:szCs w:val="24"/>
          <w:lang w:val="en-GB"/>
        </w:rPr>
        <w:t xml:space="preserve"> #</w:t>
      </w:r>
      <w:bookmarkEnd w:id="1"/>
      <w:bookmarkEnd w:id="2"/>
      <w:r>
        <w:rPr>
          <w:rFonts w:cstheme="minorHAnsi"/>
          <w:szCs w:val="24"/>
          <w:lang w:val="en-GB"/>
        </w:rPr>
        <w:t>109-e</w:t>
      </w:r>
    </w:p>
    <w:sectPr w:rsidR="00BC1F81" w:rsidRPr="007F11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14BEC" w14:textId="77777777" w:rsidR="00A85F6C" w:rsidRDefault="00A85F6C">
      <w:r>
        <w:separator/>
      </w:r>
    </w:p>
  </w:endnote>
  <w:endnote w:type="continuationSeparator" w:id="0">
    <w:p w14:paraId="5A88A991" w14:textId="77777777" w:rsidR="00A85F6C" w:rsidRDefault="00A85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7E4B3" w14:textId="77777777" w:rsidR="00A85F6C" w:rsidRDefault="00A85F6C">
      <w:r>
        <w:separator/>
      </w:r>
    </w:p>
  </w:footnote>
  <w:footnote w:type="continuationSeparator" w:id="0">
    <w:p w14:paraId="6A17FE36" w14:textId="77777777" w:rsidR="00A85F6C" w:rsidRDefault="00A85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27"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23"/>
  </w:num>
  <w:num w:numId="2">
    <w:abstractNumId w:val="13"/>
  </w:num>
  <w:num w:numId="3">
    <w:abstractNumId w:val="2"/>
  </w:num>
  <w:num w:numId="4">
    <w:abstractNumId w:val="0"/>
  </w:num>
  <w:num w:numId="5">
    <w:abstractNumId w:val="18"/>
  </w:num>
  <w:num w:numId="6">
    <w:abstractNumId w:val="6"/>
  </w:num>
  <w:num w:numId="7">
    <w:abstractNumId w:val="21"/>
  </w:num>
  <w:num w:numId="8">
    <w:abstractNumId w:val="27"/>
  </w:num>
  <w:num w:numId="9">
    <w:abstractNumId w:val="9"/>
  </w:num>
  <w:num w:numId="10">
    <w:abstractNumId w:val="16"/>
  </w:num>
  <w:num w:numId="11">
    <w:abstractNumId w:val="22"/>
  </w:num>
  <w:num w:numId="12">
    <w:abstractNumId w:val="17"/>
  </w:num>
  <w:num w:numId="13">
    <w:abstractNumId w:val="24"/>
  </w:num>
  <w:num w:numId="14">
    <w:abstractNumId w:val="3"/>
  </w:num>
  <w:num w:numId="15">
    <w:abstractNumId w:val="12"/>
  </w:num>
  <w:num w:numId="16">
    <w:abstractNumId w:val="26"/>
  </w:num>
  <w:num w:numId="17">
    <w:abstractNumId w:val="1"/>
  </w:num>
  <w:num w:numId="18">
    <w:abstractNumId w:val="4"/>
  </w:num>
  <w:num w:numId="19">
    <w:abstractNumId w:val="25"/>
  </w:num>
  <w:num w:numId="20">
    <w:abstractNumId w:val="14"/>
  </w:num>
  <w:num w:numId="21">
    <w:abstractNumId w:val="20"/>
  </w:num>
  <w:num w:numId="22">
    <w:abstractNumId w:val="7"/>
  </w:num>
  <w:num w:numId="23">
    <w:abstractNumId w:val="8"/>
  </w:num>
  <w:num w:numId="24">
    <w:abstractNumId w:val="15"/>
  </w:num>
  <w:num w:numId="25">
    <w:abstractNumId w:val="19"/>
  </w:num>
  <w:num w:numId="26">
    <w:abstractNumId w:val="10"/>
  </w:num>
  <w:num w:numId="27">
    <w:abstractNumId w:val="11"/>
  </w:num>
  <w:num w:numId="2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1E4"/>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48"/>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C6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3D3C"/>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E23"/>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71E4"/>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471E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471E4"/>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qFormat/>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 w:type="character" w:styleId="aff">
    <w:name w:val="Unresolved Mention"/>
    <w:basedOn w:val="a0"/>
    <w:uiPriority w:val="99"/>
    <w:semiHidden/>
    <w:unhideWhenUsed/>
    <w:rsid w:val="008D311D"/>
    <w:rPr>
      <w:color w:val="605E5C"/>
      <w:shd w:val="clear" w:color="auto" w:fill="E1DFDD"/>
    </w:rPr>
  </w:style>
  <w:style w:type="character" w:styleId="aff0">
    <w:name w:val="Strong"/>
    <w:uiPriority w:val="22"/>
    <w:qFormat/>
    <w:rsid w:val="00E83E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9-e/Docs/R1-220564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425</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2022-08-10T09:08:00Z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