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7901" w14:textId="58B5B090" w:rsidR="00190238" w:rsidRPr="00C7181F" w:rsidRDefault="00190238" w:rsidP="00190238">
      <w:pPr>
        <w:keepLines/>
        <w:tabs>
          <w:tab w:val="right" w:pos="10440"/>
          <w:tab w:val="right" w:pos="13323"/>
        </w:tabs>
        <w:spacing w:before="60"/>
        <w:rPr>
          <w:rFonts w:ascii="Arial" w:eastAsia="SimSun" w:hAnsi="Arial" w:cs="Arial"/>
          <w:b/>
          <w:lang w:eastAsia="zh-CN"/>
        </w:rPr>
      </w:pPr>
      <w:bookmarkStart w:id="0" w:name="Title"/>
      <w:bookmarkStart w:id="1" w:name="DocumentFor"/>
      <w:bookmarkEnd w:id="0"/>
      <w:bookmarkEnd w:id="1"/>
      <w:r w:rsidRPr="00C7181F">
        <w:rPr>
          <w:rFonts w:ascii="Arial" w:eastAsia="MS Mincho" w:hAnsi="Arial" w:cs="Arial"/>
          <w:b/>
        </w:rPr>
        <w:t>3GPP TSG-RAN WG4 Meeting #</w:t>
      </w:r>
      <w:r w:rsidRPr="00C7181F">
        <w:rPr>
          <w:rFonts w:ascii="Arial" w:eastAsia="MS Mincho" w:hAnsi="Arial" w:cs="Arial"/>
          <w:sz w:val="20"/>
          <w:szCs w:val="20"/>
        </w:rPr>
        <w:t xml:space="preserve"> </w:t>
      </w:r>
      <w:r w:rsidRPr="00C7181F">
        <w:rPr>
          <w:rFonts w:ascii="Arial" w:eastAsia="MS Mincho" w:hAnsi="Arial" w:cs="Arial"/>
          <w:b/>
        </w:rPr>
        <w:t>104-e</w:t>
      </w:r>
      <w:r w:rsidRPr="00C7181F">
        <w:rPr>
          <w:rFonts w:ascii="Arial" w:eastAsia="MS Mincho" w:hAnsi="Arial" w:cs="Arial"/>
          <w:b/>
        </w:rPr>
        <w:tab/>
      </w:r>
      <w:r w:rsidR="00F309F7" w:rsidRPr="00F309F7">
        <w:rPr>
          <w:rFonts w:ascii="Arial" w:eastAsia="MS Mincho" w:hAnsi="Arial" w:cs="Arial"/>
          <w:b/>
        </w:rPr>
        <w:t>R4-2211863</w:t>
      </w:r>
    </w:p>
    <w:p w14:paraId="5D22CCE4" w14:textId="77777777" w:rsidR="00190238" w:rsidRPr="00C7181F" w:rsidRDefault="00190238" w:rsidP="00190238">
      <w:pPr>
        <w:tabs>
          <w:tab w:val="right" w:pos="9781"/>
          <w:tab w:val="right" w:pos="13323"/>
        </w:tabs>
        <w:spacing w:after="240"/>
        <w:outlineLvl w:val="0"/>
        <w:rPr>
          <w:rFonts w:ascii="Arial" w:eastAsia="SimSun" w:hAnsi="Arial" w:cs="Arial"/>
          <w:b/>
          <w:lang w:eastAsia="zh-CN"/>
        </w:rPr>
      </w:pPr>
      <w:r w:rsidRPr="00C7181F">
        <w:rPr>
          <w:rFonts w:ascii="Arial" w:eastAsia="SimSun" w:hAnsi="Arial" w:cs="Arial"/>
          <w:b/>
          <w:lang w:eastAsia="zh-CN"/>
        </w:rPr>
        <w:t>Electronic Meeting, August 15 – August 26, 2022</w:t>
      </w:r>
    </w:p>
    <w:p w14:paraId="2305CEA3" w14:textId="5B4979E5" w:rsidR="009F52D7" w:rsidRPr="00303915" w:rsidRDefault="009F52D7" w:rsidP="009F52D7">
      <w:pPr>
        <w:pStyle w:val="CH"/>
        <w:rPr>
          <w:sz w:val="24"/>
          <w:szCs w:val="24"/>
        </w:rPr>
      </w:pPr>
      <w:r w:rsidRPr="00303915">
        <w:rPr>
          <w:sz w:val="24"/>
          <w:szCs w:val="24"/>
        </w:rPr>
        <w:t>Agenda item:</w:t>
      </w:r>
      <w:r w:rsidRPr="00303915">
        <w:rPr>
          <w:sz w:val="24"/>
          <w:szCs w:val="24"/>
        </w:rPr>
        <w:tab/>
      </w:r>
      <w:r w:rsidR="00DC3489" w:rsidRPr="00DC3489">
        <w:rPr>
          <w:sz w:val="24"/>
          <w:szCs w:val="24"/>
        </w:rPr>
        <w:t>9.1</w:t>
      </w:r>
      <w:r w:rsidR="00190238">
        <w:rPr>
          <w:sz w:val="24"/>
          <w:szCs w:val="24"/>
        </w:rPr>
        <w:t>0</w:t>
      </w:r>
      <w:r w:rsidR="00DC3489" w:rsidRPr="00DC3489">
        <w:rPr>
          <w:sz w:val="24"/>
          <w:szCs w:val="24"/>
        </w:rPr>
        <w:t>.1.1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7A4F2AEF"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190238" w:rsidRPr="00190238">
        <w:rPr>
          <w:sz w:val="24"/>
          <w:szCs w:val="24"/>
        </w:rPr>
        <w:t xml:space="preserve">Discussion and Simulation results </w:t>
      </w:r>
      <w:r w:rsidR="00AC413B" w:rsidRPr="00190238">
        <w:rPr>
          <w:sz w:val="24"/>
          <w:szCs w:val="24"/>
        </w:rPr>
        <w:t>for requirements</w:t>
      </w:r>
      <w:r w:rsidR="00190238" w:rsidRPr="00190238">
        <w:rPr>
          <w:sz w:val="24"/>
          <w:szCs w:val="24"/>
        </w:rPr>
        <w:t xml:space="preserve"> in intercell interference scenarios</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018D7BB1" w:rsidR="00C94AC7" w:rsidRPr="00316E46" w:rsidRDefault="00C94AC7" w:rsidP="00C94AC7">
      <w:pPr>
        <w:spacing w:after="120"/>
        <w:rPr>
          <w:sz w:val="20"/>
          <w:szCs w:val="20"/>
        </w:rPr>
      </w:pPr>
      <w:r w:rsidRPr="00E55591">
        <w:rPr>
          <w:sz w:val="20"/>
          <w:szCs w:val="20"/>
        </w:rPr>
        <w:t>In RAN4#10</w:t>
      </w:r>
      <w:r w:rsidR="00631307">
        <w:rPr>
          <w:sz w:val="20"/>
          <w:szCs w:val="20"/>
        </w:rPr>
        <w:t>3</w:t>
      </w:r>
      <w:r w:rsidRPr="00E55591">
        <w:rPr>
          <w:sz w:val="20"/>
          <w:szCs w:val="20"/>
        </w:rPr>
        <w:t xml:space="preserve">-e PDSCH demodulation </w:t>
      </w:r>
      <w:r w:rsidR="00631307">
        <w:rPr>
          <w:sz w:val="20"/>
          <w:szCs w:val="20"/>
        </w:rPr>
        <w:t xml:space="preserve">and CQI reporting </w:t>
      </w:r>
      <w:r w:rsidRPr="00E55591">
        <w:rPr>
          <w:sz w:val="20"/>
          <w:szCs w:val="20"/>
        </w:rPr>
        <w:t xml:space="preserve">requirements with MMSE-IRC for inter-cell interference was discussed and way forward [1] was agreed. In this contribution we </w:t>
      </w:r>
      <w:r w:rsidR="00104D5D">
        <w:rPr>
          <w:sz w:val="20"/>
          <w:szCs w:val="20"/>
        </w:rPr>
        <w:t xml:space="preserve">discuss the open issues and </w:t>
      </w:r>
      <w:r w:rsidRPr="00E55591">
        <w:rPr>
          <w:sz w:val="20"/>
          <w:szCs w:val="20"/>
        </w:rPr>
        <w:t>present simulation results</w:t>
      </w:r>
      <w:r w:rsidR="00DC3489" w:rsidRPr="00E55591">
        <w:rPr>
          <w:sz w:val="20"/>
          <w:szCs w:val="20"/>
        </w:rPr>
        <w:t xml:space="preserve"> for requirements in ICI</w:t>
      </w:r>
      <w:r w:rsidRPr="00E55591">
        <w:rPr>
          <w:sz w:val="20"/>
          <w:szCs w:val="20"/>
        </w:rPr>
        <w:t>.</w:t>
      </w:r>
      <w:r w:rsidRPr="00316E46">
        <w:rPr>
          <w:sz w:val="20"/>
          <w:szCs w:val="20"/>
        </w:rPr>
        <w:t xml:space="preserve">  </w:t>
      </w:r>
    </w:p>
    <w:p w14:paraId="6D9418DB" w14:textId="77777777" w:rsidR="00631307" w:rsidRDefault="009F52D7" w:rsidP="00631307">
      <w:pPr>
        <w:pStyle w:val="Heading1"/>
      </w:pPr>
      <w:r>
        <w:t xml:space="preserve">2. </w:t>
      </w:r>
      <w:r w:rsidR="00104D5D">
        <w:t>Discussion</w:t>
      </w:r>
    </w:p>
    <w:p w14:paraId="45ACE92F" w14:textId="22B0A34D" w:rsidR="00631307" w:rsidRPr="00830460" w:rsidRDefault="00631307" w:rsidP="00830460">
      <w:pPr>
        <w:pStyle w:val="Heading2"/>
        <w:rPr>
          <w:sz w:val="32"/>
          <w:szCs w:val="16"/>
        </w:rPr>
      </w:pPr>
      <w:r w:rsidRPr="00631307">
        <w:rPr>
          <w:sz w:val="24"/>
          <w:szCs w:val="16"/>
          <w:lang w:eastAsia="en-GB"/>
        </w:rPr>
        <w:t>PDSCH Demodulation requirements</w:t>
      </w:r>
    </w:p>
    <w:p w14:paraId="6BB3AD6B" w14:textId="0AF720AB" w:rsidR="009F52D7" w:rsidRDefault="00104D5D" w:rsidP="005B410D">
      <w:pPr>
        <w:spacing w:after="120"/>
        <w:rPr>
          <w:rFonts w:eastAsia="SimSun"/>
          <w:sz w:val="20"/>
          <w:szCs w:val="20"/>
          <w:lang w:val="en-GB" w:eastAsia="en-GB"/>
        </w:rPr>
      </w:pPr>
      <w:r>
        <w:rPr>
          <w:rFonts w:eastAsia="SimSun"/>
          <w:sz w:val="20"/>
          <w:szCs w:val="20"/>
          <w:lang w:val="en-GB" w:eastAsia="en-GB"/>
        </w:rPr>
        <w:t>One of the open issues in RAN4#10</w:t>
      </w:r>
      <w:r w:rsidR="00631307">
        <w:rPr>
          <w:rFonts w:eastAsia="SimSun"/>
          <w:sz w:val="20"/>
          <w:szCs w:val="20"/>
          <w:lang w:val="en-GB" w:eastAsia="en-GB"/>
        </w:rPr>
        <w:t>3</w:t>
      </w:r>
      <w:r>
        <w:rPr>
          <w:rFonts w:eastAsia="SimSun"/>
          <w:sz w:val="20"/>
          <w:szCs w:val="20"/>
          <w:lang w:val="en-GB" w:eastAsia="en-GB"/>
        </w:rPr>
        <w:t xml:space="preserve">-e for PDSCH demod requirements in ICI was </w:t>
      </w:r>
      <w:r w:rsidRPr="00104D5D">
        <w:rPr>
          <w:rFonts w:eastAsia="SimSun"/>
          <w:sz w:val="20"/>
          <w:szCs w:val="20"/>
          <w:lang w:val="en-GB" w:eastAsia="en-GB"/>
        </w:rPr>
        <w:t>Interference modelling in PDCCH region</w:t>
      </w:r>
      <w:r>
        <w:rPr>
          <w:rFonts w:eastAsia="SimSun"/>
          <w:sz w:val="20"/>
          <w:szCs w:val="20"/>
          <w:lang w:val="en-GB" w:eastAsia="en-GB"/>
        </w:rPr>
        <w:t>. The following options were discussed in the last meeting captured in [1]:</w:t>
      </w:r>
    </w:p>
    <w:p w14:paraId="09E402F8" w14:textId="77777777" w:rsidR="00631307" w:rsidRPr="00631307" w:rsidRDefault="00631307" w:rsidP="00631307">
      <w:pPr>
        <w:numPr>
          <w:ilvl w:val="0"/>
          <w:numId w:val="5"/>
        </w:numPr>
        <w:spacing w:after="120"/>
        <w:rPr>
          <w:sz w:val="20"/>
          <w:szCs w:val="20"/>
          <w:lang w:eastAsia="ja-JP" w:bidi="hi-IN"/>
        </w:rPr>
      </w:pPr>
      <w:r w:rsidRPr="00631307">
        <w:rPr>
          <w:sz w:val="20"/>
          <w:szCs w:val="20"/>
          <w:lang w:eastAsia="ja-JP" w:bidi="hi-IN"/>
        </w:rPr>
        <w:t>Option 1: All the REs in control region filled with QPSK randomly modulated symbols with random precoding for the number of antenna ports.</w:t>
      </w:r>
    </w:p>
    <w:p w14:paraId="0B528E82" w14:textId="77777777" w:rsidR="00631307" w:rsidRPr="00631307" w:rsidRDefault="00631307" w:rsidP="00631307">
      <w:pPr>
        <w:numPr>
          <w:ilvl w:val="0"/>
          <w:numId w:val="5"/>
        </w:numPr>
        <w:spacing w:after="120"/>
        <w:rPr>
          <w:sz w:val="20"/>
          <w:szCs w:val="20"/>
          <w:lang w:eastAsia="ja-JP" w:bidi="hi-IN"/>
        </w:rPr>
      </w:pPr>
      <w:r w:rsidRPr="00631307">
        <w:rPr>
          <w:sz w:val="20"/>
          <w:szCs w:val="20"/>
          <w:lang w:eastAsia="ja-JP" w:bidi="hi-IN"/>
        </w:rPr>
        <w:t>Option 2: Assume PDCCH transmission from interference cells, and for each cell, OCNG signal is transmitted on each RE that is not occupied by the PDCCH of this cell.</w:t>
      </w:r>
    </w:p>
    <w:p w14:paraId="7931BD5B" w14:textId="77777777" w:rsidR="00631307" w:rsidRPr="00631307" w:rsidRDefault="00631307" w:rsidP="00631307">
      <w:pPr>
        <w:numPr>
          <w:ilvl w:val="0"/>
          <w:numId w:val="5"/>
        </w:numPr>
        <w:spacing w:after="120"/>
        <w:rPr>
          <w:sz w:val="20"/>
          <w:szCs w:val="20"/>
          <w:lang w:eastAsia="ja-JP" w:bidi="hi-IN"/>
        </w:rPr>
      </w:pPr>
      <w:r w:rsidRPr="00631307">
        <w:rPr>
          <w:sz w:val="20"/>
          <w:szCs w:val="20"/>
          <w:lang w:eastAsia="ja-JP" w:bidi="hi-IN"/>
        </w:rPr>
        <w:t>Option 3: Assume PDCCH transmission from interference cells which is non-overlapping with serving cell.</w:t>
      </w:r>
    </w:p>
    <w:p w14:paraId="1A337255" w14:textId="3ADF4268" w:rsidR="00104D5D" w:rsidRDefault="00A51A5E" w:rsidP="005B410D">
      <w:pPr>
        <w:spacing w:after="120"/>
        <w:rPr>
          <w:rFonts w:eastAsia="SimSun"/>
          <w:sz w:val="20"/>
          <w:szCs w:val="20"/>
          <w:lang w:val="en-GB" w:eastAsia="en-GB"/>
        </w:rPr>
      </w:pPr>
      <w:r>
        <w:rPr>
          <w:rFonts w:eastAsia="SimSun"/>
          <w:sz w:val="20"/>
          <w:szCs w:val="20"/>
          <w:lang w:val="en-GB" w:eastAsia="en-GB"/>
        </w:rPr>
        <w:t xml:space="preserve">In </w:t>
      </w:r>
      <w:r w:rsidR="0083467F">
        <w:rPr>
          <w:rFonts w:eastAsia="SimSun"/>
          <w:sz w:val="20"/>
          <w:szCs w:val="20"/>
          <w:lang w:val="en-GB" w:eastAsia="en-GB"/>
        </w:rPr>
        <w:t xml:space="preserve">the </w:t>
      </w:r>
      <w:r>
        <w:rPr>
          <w:rFonts w:eastAsia="SimSun"/>
          <w:sz w:val="20"/>
          <w:szCs w:val="20"/>
          <w:lang w:val="en-GB" w:eastAsia="en-GB"/>
        </w:rPr>
        <w:t xml:space="preserve">real network scenario PDCCH would </w:t>
      </w:r>
      <w:r w:rsidR="0083467F">
        <w:rPr>
          <w:rFonts w:eastAsia="SimSun"/>
          <w:sz w:val="20"/>
          <w:szCs w:val="20"/>
          <w:lang w:val="en-GB" w:eastAsia="en-GB"/>
        </w:rPr>
        <w:t xml:space="preserve">typically </w:t>
      </w:r>
      <w:r>
        <w:rPr>
          <w:rFonts w:eastAsia="SimSun"/>
          <w:sz w:val="20"/>
          <w:szCs w:val="20"/>
          <w:lang w:val="en-GB" w:eastAsia="en-GB"/>
        </w:rPr>
        <w:t>see interference from PDCCH from other cells. It would be unrealistic to assume th</w:t>
      </w:r>
      <w:r w:rsidR="0083467F">
        <w:rPr>
          <w:rFonts w:eastAsia="SimSun"/>
          <w:sz w:val="20"/>
          <w:szCs w:val="20"/>
          <w:lang w:val="en-GB" w:eastAsia="en-GB"/>
        </w:rPr>
        <w:t>at</w:t>
      </w:r>
      <w:r>
        <w:rPr>
          <w:rFonts w:eastAsia="SimSun"/>
          <w:sz w:val="20"/>
          <w:szCs w:val="20"/>
          <w:lang w:val="en-GB" w:eastAsia="en-GB"/>
        </w:rPr>
        <w:t xml:space="preserve"> PDCCH is interference free. Hence, Option 3 would be impractical. </w:t>
      </w:r>
      <w:r w:rsidR="00631307">
        <w:rPr>
          <w:rFonts w:eastAsia="SimSun"/>
          <w:sz w:val="20"/>
          <w:szCs w:val="20"/>
          <w:lang w:val="en-GB" w:eastAsia="en-GB"/>
        </w:rPr>
        <w:t xml:space="preserve">Option 1 and option 2 would </w:t>
      </w:r>
      <w:r w:rsidR="00787DF9">
        <w:rPr>
          <w:rFonts w:eastAsia="SimSun"/>
          <w:sz w:val="20"/>
          <w:szCs w:val="20"/>
          <w:lang w:val="en-GB" w:eastAsia="en-GB"/>
        </w:rPr>
        <w:t xml:space="preserve">be similar in terms of </w:t>
      </w:r>
      <w:r w:rsidR="009B4DF5">
        <w:rPr>
          <w:rFonts w:eastAsia="SimSun"/>
          <w:sz w:val="20"/>
          <w:szCs w:val="20"/>
          <w:lang w:val="en-GB" w:eastAsia="en-GB"/>
        </w:rPr>
        <w:t xml:space="preserve">ensuring that PDCCH also sees interference. Given both options are similar, we prefer Option2 to model PDCCH interference from cells and transmit OCNG on unoccupied REs, to ensure that serving cell PDCCH observes even interference. </w:t>
      </w:r>
      <w:r w:rsidR="0083467F">
        <w:rPr>
          <w:rFonts w:eastAsia="SimSun"/>
          <w:sz w:val="20"/>
          <w:szCs w:val="20"/>
          <w:lang w:val="en-GB" w:eastAsia="en-GB"/>
        </w:rPr>
        <w:t xml:space="preserve"> </w:t>
      </w:r>
    </w:p>
    <w:p w14:paraId="5A295966" w14:textId="566C999B" w:rsidR="0017238B" w:rsidRDefault="0017238B" w:rsidP="005B410D">
      <w:pPr>
        <w:spacing w:after="120"/>
        <w:rPr>
          <w:rFonts w:eastAsia="SimSun"/>
          <w:b/>
          <w:bCs/>
          <w:sz w:val="20"/>
          <w:szCs w:val="20"/>
          <w:lang w:eastAsia="en-GB"/>
        </w:rPr>
      </w:pPr>
      <w:r>
        <w:rPr>
          <w:rFonts w:eastAsia="SimSun"/>
          <w:b/>
          <w:bCs/>
          <w:sz w:val="20"/>
          <w:szCs w:val="20"/>
          <w:lang w:val="en-GB" w:eastAsia="en-GB"/>
        </w:rPr>
        <w:t xml:space="preserve">Proposal #1: For interference modelling in PDCCH </w:t>
      </w:r>
      <w:r>
        <w:rPr>
          <w:rFonts w:eastAsia="SimSun"/>
          <w:b/>
          <w:bCs/>
          <w:sz w:val="20"/>
          <w:szCs w:val="20"/>
          <w:lang w:eastAsia="en-GB"/>
        </w:rPr>
        <w:t>a</w:t>
      </w:r>
      <w:r w:rsidRPr="0017238B">
        <w:rPr>
          <w:rFonts w:eastAsia="SimSun"/>
          <w:b/>
          <w:bCs/>
          <w:sz w:val="20"/>
          <w:szCs w:val="20"/>
          <w:lang w:eastAsia="en-GB"/>
        </w:rPr>
        <w:t>ssume PDCCH transmission from interference cells</w:t>
      </w:r>
      <w:r w:rsidR="009B4DF5">
        <w:rPr>
          <w:rFonts w:eastAsia="SimSun"/>
          <w:b/>
          <w:bCs/>
          <w:sz w:val="20"/>
          <w:szCs w:val="20"/>
          <w:lang w:eastAsia="en-GB"/>
        </w:rPr>
        <w:t xml:space="preserve">, with OCNG on unoccupied </w:t>
      </w:r>
      <w:proofErr w:type="spellStart"/>
      <w:r w:rsidR="009B4DF5">
        <w:rPr>
          <w:rFonts w:eastAsia="SimSun"/>
          <w:b/>
          <w:bCs/>
          <w:sz w:val="20"/>
          <w:szCs w:val="20"/>
          <w:lang w:eastAsia="en-GB"/>
        </w:rPr>
        <w:t>REs.</w:t>
      </w:r>
      <w:proofErr w:type="spellEnd"/>
    </w:p>
    <w:p w14:paraId="6D7464F8" w14:textId="7DBC1431" w:rsidR="0087325A" w:rsidRPr="00631307" w:rsidRDefault="00526314" w:rsidP="0087325A">
      <w:pPr>
        <w:pStyle w:val="Heading2"/>
        <w:rPr>
          <w:sz w:val="32"/>
          <w:szCs w:val="16"/>
        </w:rPr>
      </w:pPr>
      <w:r>
        <w:rPr>
          <w:sz w:val="24"/>
          <w:szCs w:val="16"/>
          <w:lang w:eastAsia="en-GB"/>
        </w:rPr>
        <w:t xml:space="preserve">CQI </w:t>
      </w:r>
      <w:r w:rsidRPr="00631307">
        <w:rPr>
          <w:sz w:val="24"/>
          <w:szCs w:val="16"/>
          <w:lang w:eastAsia="en-GB"/>
        </w:rPr>
        <w:t>Demodulation</w:t>
      </w:r>
      <w:r w:rsidR="0087325A" w:rsidRPr="00631307">
        <w:rPr>
          <w:sz w:val="24"/>
          <w:szCs w:val="16"/>
          <w:lang w:eastAsia="en-GB"/>
        </w:rPr>
        <w:t xml:space="preserve"> requirements</w:t>
      </w:r>
    </w:p>
    <w:p w14:paraId="1F4DC253" w14:textId="53350A8D" w:rsidR="0087325A" w:rsidRDefault="006F6BCA" w:rsidP="005B410D">
      <w:pPr>
        <w:spacing w:after="120"/>
        <w:rPr>
          <w:rFonts w:eastAsia="SimSun"/>
          <w:sz w:val="20"/>
          <w:szCs w:val="20"/>
          <w:lang w:val="en-GB" w:eastAsia="en-GB"/>
        </w:rPr>
      </w:pPr>
      <w:r w:rsidRPr="006F6BCA">
        <w:rPr>
          <w:rFonts w:eastAsia="SimSun"/>
          <w:sz w:val="20"/>
          <w:szCs w:val="20"/>
          <w:lang w:val="en-GB" w:eastAsia="en-GB"/>
        </w:rPr>
        <w:t xml:space="preserve">In RAN4#103-e </w:t>
      </w:r>
      <w:r w:rsidR="00526314">
        <w:rPr>
          <w:rFonts w:eastAsia="SimSun"/>
          <w:sz w:val="20"/>
          <w:szCs w:val="20"/>
          <w:lang w:val="en-GB" w:eastAsia="en-GB"/>
        </w:rPr>
        <w:t xml:space="preserve">CQI reporting requirements in ICI were discussed and the following agreements were made [1]. </w:t>
      </w:r>
    </w:p>
    <w:tbl>
      <w:tblPr>
        <w:tblStyle w:val="TableGrid"/>
        <w:tblW w:w="0" w:type="auto"/>
        <w:tblLook w:val="04A0" w:firstRow="1" w:lastRow="0" w:firstColumn="1" w:lastColumn="0" w:noHBand="0" w:noVBand="1"/>
      </w:tblPr>
      <w:tblGrid>
        <w:gridCol w:w="9350"/>
      </w:tblGrid>
      <w:tr w:rsidR="00526314" w14:paraId="5416C273" w14:textId="77777777" w:rsidTr="00526314">
        <w:tc>
          <w:tcPr>
            <w:tcW w:w="9350" w:type="dxa"/>
          </w:tcPr>
          <w:p w14:paraId="48DA30A9" w14:textId="77777777" w:rsidR="00526314" w:rsidRPr="00526314" w:rsidRDefault="00526314" w:rsidP="00526314">
            <w:pPr>
              <w:spacing w:after="120"/>
              <w:rPr>
                <w:rFonts w:eastAsia="SimSun"/>
                <w:sz w:val="20"/>
                <w:szCs w:val="20"/>
                <w:lang w:eastAsia="en-GB"/>
              </w:rPr>
            </w:pPr>
            <w:r w:rsidRPr="00526314">
              <w:rPr>
                <w:rFonts w:eastAsia="SimSun"/>
                <w:b/>
                <w:sz w:val="20"/>
                <w:szCs w:val="20"/>
                <w:u w:val="single"/>
                <w:lang w:eastAsia="en-GB"/>
              </w:rPr>
              <w:t>Issue 2-1-1: Test setup methodology for signal power</w:t>
            </w:r>
          </w:p>
          <w:p w14:paraId="7589924B" w14:textId="77777777" w:rsidR="00526314" w:rsidRPr="00526314" w:rsidRDefault="00526314" w:rsidP="00526314">
            <w:pPr>
              <w:spacing w:after="120"/>
              <w:rPr>
                <w:rFonts w:eastAsia="SimSun"/>
                <w:i/>
                <w:sz w:val="20"/>
                <w:szCs w:val="20"/>
                <w:lang w:eastAsia="en-GB"/>
              </w:rPr>
            </w:pPr>
            <w:r w:rsidRPr="00526314">
              <w:rPr>
                <w:rFonts w:eastAsia="SimSun"/>
                <w:i/>
                <w:sz w:val="20"/>
                <w:szCs w:val="20"/>
                <w:lang w:eastAsia="en-GB"/>
              </w:rPr>
              <w:t xml:space="preserve">GTW agreement: </w:t>
            </w:r>
          </w:p>
          <w:p w14:paraId="39BE2B5A" w14:textId="77777777" w:rsidR="00526314" w:rsidRPr="00526314" w:rsidRDefault="00526314" w:rsidP="00526314">
            <w:pPr>
              <w:numPr>
                <w:ilvl w:val="0"/>
                <w:numId w:val="5"/>
              </w:numPr>
              <w:spacing w:after="120"/>
              <w:rPr>
                <w:rFonts w:eastAsia="SimSun"/>
                <w:sz w:val="20"/>
                <w:szCs w:val="20"/>
                <w:lang w:eastAsia="en-GB"/>
              </w:rPr>
            </w:pPr>
            <w:r w:rsidRPr="00526314">
              <w:rPr>
                <w:rFonts w:eastAsia="SimSun"/>
                <w:sz w:val="20"/>
                <w:szCs w:val="20"/>
                <w:lang w:eastAsia="en-GB"/>
              </w:rPr>
              <w:t>Define test based on SINR</w:t>
            </w:r>
          </w:p>
          <w:p w14:paraId="4F91E8F2" w14:textId="77777777" w:rsidR="00526314" w:rsidRPr="00526314" w:rsidRDefault="00526314" w:rsidP="00526314">
            <w:pPr>
              <w:spacing w:after="120"/>
              <w:rPr>
                <w:rFonts w:eastAsia="SimSun"/>
                <w:sz w:val="20"/>
                <w:szCs w:val="20"/>
                <w:lang w:eastAsia="en-GB"/>
              </w:rPr>
            </w:pPr>
          </w:p>
          <w:p w14:paraId="2BA2702B" w14:textId="77777777" w:rsidR="00526314" w:rsidRPr="00526314" w:rsidRDefault="00526314" w:rsidP="00526314">
            <w:pPr>
              <w:spacing w:after="120"/>
              <w:rPr>
                <w:rFonts w:eastAsia="SimSun"/>
                <w:b/>
                <w:sz w:val="20"/>
                <w:szCs w:val="20"/>
                <w:u w:val="single"/>
                <w:lang w:eastAsia="en-GB"/>
              </w:rPr>
            </w:pPr>
            <w:r w:rsidRPr="00526314">
              <w:rPr>
                <w:rFonts w:eastAsia="SimSun"/>
                <w:b/>
                <w:sz w:val="20"/>
                <w:szCs w:val="20"/>
                <w:u w:val="single"/>
                <w:lang w:eastAsia="en-GB"/>
              </w:rPr>
              <w:t xml:space="preserve">Issue 2-1-2: SINR for 2 Rx </w:t>
            </w:r>
          </w:p>
          <w:p w14:paraId="11B5FCD0" w14:textId="77777777" w:rsidR="00526314" w:rsidRPr="00526314" w:rsidRDefault="00526314" w:rsidP="00526314">
            <w:pPr>
              <w:spacing w:after="120"/>
              <w:rPr>
                <w:rFonts w:eastAsia="SimSun"/>
                <w:i/>
                <w:sz w:val="20"/>
                <w:szCs w:val="20"/>
                <w:lang w:eastAsia="en-GB"/>
              </w:rPr>
            </w:pPr>
            <w:r w:rsidRPr="00526314">
              <w:rPr>
                <w:rFonts w:eastAsia="SimSun"/>
                <w:i/>
                <w:sz w:val="20"/>
                <w:szCs w:val="20"/>
                <w:lang w:eastAsia="en-GB"/>
              </w:rPr>
              <w:t xml:space="preserve">GTW agreement: </w:t>
            </w:r>
          </w:p>
          <w:p w14:paraId="0DB06D37" w14:textId="77777777" w:rsidR="00526314" w:rsidRPr="00526314" w:rsidRDefault="00526314" w:rsidP="00526314">
            <w:pPr>
              <w:numPr>
                <w:ilvl w:val="0"/>
                <w:numId w:val="6"/>
              </w:numPr>
              <w:spacing w:after="120"/>
              <w:rPr>
                <w:rFonts w:eastAsia="SimSun"/>
                <w:sz w:val="20"/>
                <w:szCs w:val="20"/>
                <w:lang w:eastAsia="en-GB"/>
              </w:rPr>
            </w:pPr>
            <w:r w:rsidRPr="00526314">
              <w:rPr>
                <w:rFonts w:eastAsia="SimSun"/>
                <w:sz w:val="20"/>
                <w:szCs w:val="20"/>
                <w:lang w:eastAsia="en-GB"/>
              </w:rPr>
              <w:lastRenderedPageBreak/>
              <w:t>-2 dB</w:t>
            </w:r>
          </w:p>
          <w:p w14:paraId="16ABF98D" w14:textId="77777777" w:rsidR="00526314" w:rsidRPr="00526314" w:rsidRDefault="00526314" w:rsidP="00526314">
            <w:pPr>
              <w:spacing w:after="120"/>
              <w:rPr>
                <w:rFonts w:eastAsia="SimSun"/>
                <w:sz w:val="20"/>
                <w:szCs w:val="20"/>
                <w:lang w:eastAsia="en-GB"/>
              </w:rPr>
            </w:pPr>
          </w:p>
          <w:p w14:paraId="5E9160B3" w14:textId="77777777" w:rsidR="00526314" w:rsidRPr="00526314" w:rsidRDefault="00526314" w:rsidP="00526314">
            <w:pPr>
              <w:spacing w:after="120"/>
              <w:rPr>
                <w:rFonts w:eastAsia="SimSun"/>
                <w:b/>
                <w:sz w:val="20"/>
                <w:szCs w:val="20"/>
                <w:u w:val="single"/>
                <w:lang w:eastAsia="en-GB"/>
              </w:rPr>
            </w:pPr>
            <w:r w:rsidRPr="00526314">
              <w:rPr>
                <w:rFonts w:eastAsia="SimSun"/>
                <w:b/>
                <w:sz w:val="20"/>
                <w:szCs w:val="20"/>
                <w:u w:val="single"/>
                <w:lang w:eastAsia="en-GB"/>
              </w:rPr>
              <w:t>Issue 2-1-4: SINR for 4 Rx</w:t>
            </w:r>
          </w:p>
          <w:p w14:paraId="0A37A200" w14:textId="77777777" w:rsidR="00526314" w:rsidRPr="00526314" w:rsidRDefault="00526314" w:rsidP="00526314">
            <w:pPr>
              <w:spacing w:after="120"/>
              <w:rPr>
                <w:rFonts w:eastAsia="SimSun"/>
                <w:i/>
                <w:sz w:val="20"/>
                <w:szCs w:val="20"/>
                <w:lang w:eastAsia="en-GB"/>
              </w:rPr>
            </w:pPr>
            <w:r w:rsidRPr="00526314">
              <w:rPr>
                <w:rFonts w:eastAsia="SimSun"/>
                <w:i/>
                <w:sz w:val="20"/>
                <w:szCs w:val="20"/>
                <w:lang w:eastAsia="en-GB"/>
              </w:rPr>
              <w:t xml:space="preserve">GTW agreement: </w:t>
            </w:r>
          </w:p>
          <w:p w14:paraId="1C61195D" w14:textId="6C32F500" w:rsidR="00526314" w:rsidRPr="00474453" w:rsidRDefault="00526314" w:rsidP="00526314">
            <w:pPr>
              <w:numPr>
                <w:ilvl w:val="0"/>
                <w:numId w:val="6"/>
              </w:numPr>
              <w:spacing w:after="120"/>
              <w:rPr>
                <w:rFonts w:eastAsia="SimSun"/>
                <w:sz w:val="20"/>
                <w:szCs w:val="20"/>
                <w:lang w:eastAsia="en-GB"/>
              </w:rPr>
            </w:pPr>
            <w:r w:rsidRPr="00526314">
              <w:rPr>
                <w:rFonts w:eastAsia="SimSun"/>
                <w:sz w:val="20"/>
                <w:szCs w:val="20"/>
                <w:lang w:eastAsia="en-GB"/>
              </w:rPr>
              <w:t>-2 dB</w:t>
            </w:r>
          </w:p>
        </w:tc>
      </w:tr>
    </w:tbl>
    <w:p w14:paraId="34E2A574" w14:textId="171D2B8C" w:rsidR="00526314" w:rsidRDefault="00526314" w:rsidP="005B410D">
      <w:pPr>
        <w:spacing w:after="120"/>
        <w:rPr>
          <w:rFonts w:eastAsia="SimSun"/>
          <w:sz w:val="20"/>
          <w:szCs w:val="20"/>
          <w:lang w:val="en-GB" w:eastAsia="en-GB"/>
        </w:rPr>
      </w:pPr>
    </w:p>
    <w:p w14:paraId="551C477D" w14:textId="77CD0160" w:rsidR="00526314" w:rsidRDefault="00526314" w:rsidP="005B410D">
      <w:pPr>
        <w:spacing w:after="120"/>
        <w:rPr>
          <w:rFonts w:eastAsia="SimSun"/>
          <w:sz w:val="20"/>
          <w:szCs w:val="20"/>
          <w:lang w:val="en-GB" w:eastAsia="en-GB"/>
        </w:rPr>
      </w:pPr>
      <w:r>
        <w:rPr>
          <w:rFonts w:eastAsia="SimSun"/>
          <w:sz w:val="20"/>
          <w:szCs w:val="20"/>
          <w:lang w:val="en-GB" w:eastAsia="en-GB"/>
        </w:rPr>
        <w:t>The open issues related to CQI reporting requirements are:</w:t>
      </w:r>
    </w:p>
    <w:p w14:paraId="387C25C5" w14:textId="77777777" w:rsidR="00526314" w:rsidRPr="00526314" w:rsidRDefault="00526314" w:rsidP="00526314">
      <w:pPr>
        <w:spacing w:after="120"/>
        <w:rPr>
          <w:rFonts w:eastAsia="SimSun"/>
          <w:b/>
          <w:sz w:val="20"/>
          <w:szCs w:val="20"/>
          <w:u w:val="single"/>
          <w:lang w:eastAsia="en-GB"/>
        </w:rPr>
      </w:pPr>
      <w:r w:rsidRPr="00526314">
        <w:rPr>
          <w:rFonts w:eastAsia="SimSun"/>
          <w:b/>
          <w:sz w:val="20"/>
          <w:szCs w:val="20"/>
          <w:u w:val="single"/>
          <w:lang w:eastAsia="en-GB"/>
        </w:rPr>
        <w:t>Issue 2-1-3: T-put gain for 2 Rx</w:t>
      </w:r>
    </w:p>
    <w:p w14:paraId="0DC1C432" w14:textId="77777777" w:rsidR="00526314" w:rsidRPr="00526314" w:rsidRDefault="00526314" w:rsidP="00526314">
      <w:pPr>
        <w:numPr>
          <w:ilvl w:val="0"/>
          <w:numId w:val="6"/>
        </w:numPr>
        <w:spacing w:after="120"/>
        <w:rPr>
          <w:rFonts w:eastAsia="SimSun"/>
          <w:sz w:val="20"/>
          <w:szCs w:val="20"/>
          <w:lang w:eastAsia="en-GB"/>
        </w:rPr>
      </w:pPr>
      <w:r w:rsidRPr="00526314">
        <w:rPr>
          <w:rFonts w:eastAsia="SimSun"/>
          <w:sz w:val="20"/>
          <w:szCs w:val="20"/>
          <w:lang w:eastAsia="en-GB"/>
        </w:rPr>
        <w:t>Option 1: 2</w:t>
      </w:r>
    </w:p>
    <w:p w14:paraId="5D906C88" w14:textId="77777777" w:rsidR="00526314" w:rsidRPr="00526314" w:rsidRDefault="00526314" w:rsidP="00526314">
      <w:pPr>
        <w:numPr>
          <w:ilvl w:val="0"/>
          <w:numId w:val="6"/>
        </w:numPr>
        <w:spacing w:after="120"/>
        <w:rPr>
          <w:rFonts w:eastAsia="SimSun"/>
          <w:sz w:val="20"/>
          <w:szCs w:val="20"/>
          <w:lang w:eastAsia="en-GB"/>
        </w:rPr>
      </w:pPr>
      <w:r w:rsidRPr="00526314">
        <w:rPr>
          <w:rFonts w:eastAsia="SimSun"/>
          <w:sz w:val="20"/>
          <w:szCs w:val="20"/>
          <w:lang w:eastAsia="en-GB"/>
        </w:rPr>
        <w:t>Option 2: 1.5</w:t>
      </w:r>
    </w:p>
    <w:p w14:paraId="08A08A5B" w14:textId="77777777" w:rsidR="00526314" w:rsidRPr="00526314" w:rsidRDefault="00526314" w:rsidP="00526314">
      <w:pPr>
        <w:spacing w:after="120"/>
        <w:rPr>
          <w:rFonts w:eastAsia="SimSun"/>
          <w:b/>
          <w:sz w:val="20"/>
          <w:szCs w:val="20"/>
          <w:u w:val="single"/>
          <w:lang w:eastAsia="en-GB"/>
        </w:rPr>
      </w:pPr>
      <w:r w:rsidRPr="00526314">
        <w:rPr>
          <w:rFonts w:eastAsia="SimSun"/>
          <w:b/>
          <w:sz w:val="20"/>
          <w:szCs w:val="20"/>
          <w:u w:val="single"/>
          <w:lang w:eastAsia="en-GB"/>
        </w:rPr>
        <w:t>Issue 2-1-5: T-put gain for 4 Rx</w:t>
      </w:r>
    </w:p>
    <w:p w14:paraId="11E87C95" w14:textId="77777777" w:rsidR="00526314" w:rsidRPr="00526314" w:rsidRDefault="00526314" w:rsidP="00526314">
      <w:pPr>
        <w:numPr>
          <w:ilvl w:val="0"/>
          <w:numId w:val="6"/>
        </w:numPr>
        <w:spacing w:after="120"/>
        <w:rPr>
          <w:rFonts w:eastAsia="SimSun"/>
          <w:sz w:val="20"/>
          <w:szCs w:val="20"/>
          <w:lang w:eastAsia="en-GB"/>
        </w:rPr>
      </w:pPr>
      <w:r w:rsidRPr="00526314">
        <w:rPr>
          <w:rFonts w:eastAsia="SimSun"/>
          <w:sz w:val="20"/>
          <w:szCs w:val="20"/>
          <w:lang w:eastAsia="en-GB"/>
        </w:rPr>
        <w:t>Option 1: 2.5</w:t>
      </w:r>
    </w:p>
    <w:p w14:paraId="1F002A76" w14:textId="77777777" w:rsidR="00526314" w:rsidRPr="00526314" w:rsidRDefault="00526314" w:rsidP="00526314">
      <w:pPr>
        <w:numPr>
          <w:ilvl w:val="0"/>
          <w:numId w:val="6"/>
        </w:numPr>
        <w:spacing w:after="120"/>
        <w:rPr>
          <w:rFonts w:eastAsia="SimSun"/>
          <w:sz w:val="20"/>
          <w:szCs w:val="20"/>
          <w:lang w:eastAsia="en-GB"/>
        </w:rPr>
      </w:pPr>
      <w:r w:rsidRPr="00526314">
        <w:rPr>
          <w:rFonts w:eastAsia="SimSun"/>
          <w:sz w:val="20"/>
          <w:szCs w:val="20"/>
          <w:lang w:eastAsia="en-GB"/>
        </w:rPr>
        <w:t>Option 2: 2</w:t>
      </w:r>
    </w:p>
    <w:p w14:paraId="6469AB89" w14:textId="77777777" w:rsidR="00526314" w:rsidRPr="00526314" w:rsidRDefault="00526314" w:rsidP="00526314">
      <w:pPr>
        <w:numPr>
          <w:ilvl w:val="0"/>
          <w:numId w:val="6"/>
        </w:numPr>
        <w:spacing w:after="120"/>
        <w:rPr>
          <w:rFonts w:eastAsia="SimSun"/>
          <w:sz w:val="20"/>
          <w:szCs w:val="20"/>
          <w:lang w:eastAsia="en-GB"/>
        </w:rPr>
      </w:pPr>
      <w:r w:rsidRPr="00526314">
        <w:rPr>
          <w:rFonts w:eastAsia="SimSun"/>
          <w:sz w:val="20"/>
          <w:szCs w:val="20"/>
          <w:lang w:eastAsia="en-GB"/>
        </w:rPr>
        <w:t>Option 3: 1.5</w:t>
      </w:r>
    </w:p>
    <w:p w14:paraId="0EBAAB07" w14:textId="189EB458" w:rsidR="00526314" w:rsidRDefault="00526314" w:rsidP="005B410D">
      <w:pPr>
        <w:spacing w:after="120"/>
        <w:rPr>
          <w:rFonts w:eastAsia="SimSun"/>
          <w:sz w:val="20"/>
          <w:szCs w:val="20"/>
          <w:lang w:val="en-GB" w:eastAsia="en-GB"/>
        </w:rPr>
      </w:pPr>
      <w:r>
        <w:rPr>
          <w:rFonts w:eastAsia="SimSun"/>
          <w:sz w:val="20"/>
          <w:szCs w:val="20"/>
          <w:lang w:val="en-GB" w:eastAsia="en-GB"/>
        </w:rPr>
        <w:t>Based on the agreed simulation results, we provide simulation results for CQI reporting.</w:t>
      </w:r>
    </w:p>
    <w:p w14:paraId="78CC356A" w14:textId="1B88D6C4" w:rsidR="00830460" w:rsidRDefault="00830460" w:rsidP="00830460">
      <w:pPr>
        <w:pStyle w:val="Caption"/>
        <w:keepNext/>
        <w:jc w:val="center"/>
      </w:pPr>
      <w:r>
        <w:t xml:space="preserve">Table </w:t>
      </w:r>
      <w:fldSimple w:instr=" SEQ Table \* ARABIC ">
        <w:r>
          <w:rPr>
            <w:noProof/>
          </w:rPr>
          <w:t>1</w:t>
        </w:r>
      </w:fldSimple>
      <w:r>
        <w:t>: TP Gain for CQI reporting in ICI</w:t>
      </w:r>
    </w:p>
    <w:tbl>
      <w:tblPr>
        <w:tblStyle w:val="TableGrid"/>
        <w:tblW w:w="0" w:type="auto"/>
        <w:jc w:val="center"/>
        <w:tblLook w:val="04A0" w:firstRow="1" w:lastRow="0" w:firstColumn="1" w:lastColumn="0" w:noHBand="0" w:noVBand="1"/>
      </w:tblPr>
      <w:tblGrid>
        <w:gridCol w:w="1029"/>
        <w:gridCol w:w="1090"/>
        <w:gridCol w:w="1045"/>
        <w:gridCol w:w="1045"/>
      </w:tblGrid>
      <w:tr w:rsidR="00526314" w:rsidRPr="00526314" w14:paraId="61758A5C" w14:textId="1EAE64C2" w:rsidTr="00526314">
        <w:trPr>
          <w:trHeight w:val="683"/>
          <w:jc w:val="center"/>
        </w:trPr>
        <w:tc>
          <w:tcPr>
            <w:tcW w:w="1029" w:type="dxa"/>
            <w:vAlign w:val="center"/>
            <w:hideMark/>
          </w:tcPr>
          <w:p w14:paraId="427903E0" w14:textId="77777777" w:rsidR="00526314" w:rsidRPr="00526314" w:rsidRDefault="00526314" w:rsidP="00526314">
            <w:pPr>
              <w:spacing w:after="120"/>
              <w:jc w:val="center"/>
              <w:rPr>
                <w:rFonts w:eastAsia="SimSun"/>
                <w:b/>
                <w:bCs/>
                <w:sz w:val="20"/>
                <w:szCs w:val="20"/>
                <w:lang w:eastAsia="en-GB"/>
              </w:rPr>
            </w:pPr>
            <w:r w:rsidRPr="00526314">
              <w:rPr>
                <w:rFonts w:eastAsia="SimSun"/>
                <w:b/>
                <w:bCs/>
                <w:sz w:val="20"/>
                <w:szCs w:val="20"/>
                <w:lang w:eastAsia="en-GB"/>
              </w:rPr>
              <w:t>Duplex mode</w:t>
            </w:r>
          </w:p>
        </w:tc>
        <w:tc>
          <w:tcPr>
            <w:tcW w:w="1090" w:type="dxa"/>
            <w:vAlign w:val="center"/>
            <w:hideMark/>
          </w:tcPr>
          <w:p w14:paraId="37966E22" w14:textId="77777777" w:rsidR="00526314" w:rsidRPr="00526314" w:rsidRDefault="00526314" w:rsidP="00526314">
            <w:pPr>
              <w:spacing w:after="120"/>
              <w:jc w:val="center"/>
              <w:rPr>
                <w:rFonts w:eastAsia="SimSun"/>
                <w:b/>
                <w:bCs/>
                <w:sz w:val="20"/>
                <w:szCs w:val="20"/>
                <w:lang w:eastAsia="en-GB"/>
              </w:rPr>
            </w:pPr>
            <w:r w:rsidRPr="00526314">
              <w:rPr>
                <w:rFonts w:eastAsia="SimSun"/>
                <w:b/>
                <w:bCs/>
                <w:sz w:val="20"/>
                <w:szCs w:val="20"/>
                <w:lang w:eastAsia="en-GB"/>
              </w:rPr>
              <w:t>Antenna config</w:t>
            </w:r>
          </w:p>
        </w:tc>
        <w:tc>
          <w:tcPr>
            <w:tcW w:w="1045" w:type="dxa"/>
            <w:vAlign w:val="center"/>
            <w:hideMark/>
          </w:tcPr>
          <w:p w14:paraId="210BEC50" w14:textId="77777777" w:rsidR="00526314" w:rsidRPr="00526314" w:rsidRDefault="00526314" w:rsidP="00526314">
            <w:pPr>
              <w:spacing w:after="120"/>
              <w:jc w:val="center"/>
              <w:rPr>
                <w:rFonts w:eastAsia="SimSun"/>
                <w:b/>
                <w:bCs/>
                <w:sz w:val="20"/>
                <w:szCs w:val="20"/>
                <w:lang w:eastAsia="en-GB"/>
              </w:rPr>
            </w:pPr>
            <w:r w:rsidRPr="00526314">
              <w:rPr>
                <w:rFonts w:eastAsia="SimSun"/>
                <w:b/>
                <w:bCs/>
                <w:sz w:val="20"/>
                <w:szCs w:val="20"/>
                <w:lang w:eastAsia="en-GB"/>
              </w:rPr>
              <w:t>SINR (dB)</w:t>
            </w:r>
          </w:p>
        </w:tc>
        <w:tc>
          <w:tcPr>
            <w:tcW w:w="1045" w:type="dxa"/>
          </w:tcPr>
          <w:p w14:paraId="235C1A7B" w14:textId="465C0FD8" w:rsidR="00526314" w:rsidRPr="00526314" w:rsidRDefault="00526314" w:rsidP="00526314">
            <w:pPr>
              <w:spacing w:after="120"/>
              <w:jc w:val="center"/>
              <w:rPr>
                <w:rFonts w:eastAsia="SimSun"/>
                <w:b/>
                <w:bCs/>
                <w:sz w:val="20"/>
                <w:szCs w:val="20"/>
                <w:lang w:eastAsia="en-GB"/>
              </w:rPr>
            </w:pPr>
            <w:r>
              <w:rPr>
                <w:rFonts w:eastAsia="SimSun"/>
                <w:b/>
                <w:bCs/>
                <w:sz w:val="20"/>
                <w:szCs w:val="20"/>
                <w:lang w:eastAsia="en-GB"/>
              </w:rPr>
              <w:t>TP Gain</w:t>
            </w:r>
          </w:p>
        </w:tc>
      </w:tr>
      <w:tr w:rsidR="00830460" w:rsidRPr="00526314" w14:paraId="2B5645FE" w14:textId="4F53003D" w:rsidTr="00653992">
        <w:trPr>
          <w:trHeight w:val="320"/>
          <w:jc w:val="center"/>
        </w:trPr>
        <w:tc>
          <w:tcPr>
            <w:tcW w:w="1029" w:type="dxa"/>
            <w:vMerge w:val="restart"/>
            <w:noWrap/>
            <w:vAlign w:val="center"/>
            <w:hideMark/>
          </w:tcPr>
          <w:p w14:paraId="6281F35E" w14:textId="77777777" w:rsidR="00830460" w:rsidRPr="00526314" w:rsidRDefault="00830460" w:rsidP="00830460">
            <w:pPr>
              <w:spacing w:after="120"/>
              <w:jc w:val="center"/>
              <w:rPr>
                <w:rFonts w:eastAsia="SimSun"/>
                <w:sz w:val="20"/>
                <w:szCs w:val="20"/>
                <w:lang w:eastAsia="en-GB"/>
              </w:rPr>
            </w:pPr>
            <w:r w:rsidRPr="00526314">
              <w:rPr>
                <w:rFonts w:eastAsia="SimSun"/>
                <w:sz w:val="20"/>
                <w:szCs w:val="20"/>
                <w:lang w:eastAsia="en-GB"/>
              </w:rPr>
              <w:t>FDD</w:t>
            </w:r>
          </w:p>
        </w:tc>
        <w:tc>
          <w:tcPr>
            <w:tcW w:w="1090" w:type="dxa"/>
            <w:vAlign w:val="center"/>
            <w:hideMark/>
          </w:tcPr>
          <w:p w14:paraId="2E624886" w14:textId="77777777" w:rsidR="00830460" w:rsidRPr="00526314" w:rsidRDefault="00830460" w:rsidP="00830460">
            <w:pPr>
              <w:spacing w:after="120"/>
              <w:jc w:val="center"/>
              <w:rPr>
                <w:rFonts w:eastAsia="SimSun"/>
                <w:sz w:val="20"/>
                <w:szCs w:val="20"/>
                <w:lang w:eastAsia="en-GB"/>
              </w:rPr>
            </w:pPr>
            <w:r w:rsidRPr="00526314">
              <w:rPr>
                <w:rFonts w:eastAsia="SimSun"/>
                <w:sz w:val="20"/>
                <w:szCs w:val="20"/>
                <w:lang w:eastAsia="en-GB"/>
              </w:rPr>
              <w:t>2T2R</w:t>
            </w:r>
          </w:p>
        </w:tc>
        <w:tc>
          <w:tcPr>
            <w:tcW w:w="1045" w:type="dxa"/>
            <w:vAlign w:val="center"/>
            <w:hideMark/>
          </w:tcPr>
          <w:p w14:paraId="0B84FB53" w14:textId="77777777" w:rsidR="00830460" w:rsidRPr="00526314" w:rsidRDefault="00830460" w:rsidP="00830460">
            <w:pPr>
              <w:spacing w:after="120"/>
              <w:jc w:val="center"/>
              <w:rPr>
                <w:rFonts w:eastAsia="SimSun"/>
                <w:sz w:val="20"/>
                <w:szCs w:val="20"/>
                <w:lang w:eastAsia="en-GB"/>
              </w:rPr>
            </w:pPr>
            <w:r w:rsidRPr="00526314">
              <w:rPr>
                <w:rFonts w:eastAsia="SimSun"/>
                <w:sz w:val="20"/>
                <w:szCs w:val="20"/>
                <w:lang w:eastAsia="en-GB"/>
              </w:rPr>
              <w:t>-2</w:t>
            </w:r>
          </w:p>
        </w:tc>
        <w:tc>
          <w:tcPr>
            <w:tcW w:w="1045" w:type="dxa"/>
            <w:vAlign w:val="center"/>
          </w:tcPr>
          <w:p w14:paraId="3E3D1228" w14:textId="640DD7AF" w:rsidR="00830460" w:rsidRPr="00526314" w:rsidRDefault="00830460" w:rsidP="00830460">
            <w:pPr>
              <w:spacing w:after="120"/>
              <w:jc w:val="center"/>
              <w:rPr>
                <w:rFonts w:eastAsia="SimSun"/>
                <w:sz w:val="20"/>
                <w:szCs w:val="20"/>
                <w:lang w:eastAsia="en-GB"/>
              </w:rPr>
            </w:pPr>
            <w:r w:rsidRPr="00830460">
              <w:rPr>
                <w:rFonts w:eastAsia="SimSun"/>
                <w:sz w:val="20"/>
                <w:szCs w:val="20"/>
                <w:lang w:eastAsia="en-GB"/>
              </w:rPr>
              <w:t>2.0</w:t>
            </w:r>
          </w:p>
        </w:tc>
      </w:tr>
      <w:tr w:rsidR="00830460" w:rsidRPr="00526314" w14:paraId="7E13DE3A" w14:textId="47EE54E2" w:rsidTr="00653992">
        <w:trPr>
          <w:trHeight w:val="320"/>
          <w:jc w:val="center"/>
        </w:trPr>
        <w:tc>
          <w:tcPr>
            <w:tcW w:w="1029" w:type="dxa"/>
            <w:vMerge/>
            <w:vAlign w:val="center"/>
            <w:hideMark/>
          </w:tcPr>
          <w:p w14:paraId="27C7DA98" w14:textId="77777777" w:rsidR="00830460" w:rsidRPr="00526314" w:rsidRDefault="00830460" w:rsidP="00830460">
            <w:pPr>
              <w:spacing w:after="120"/>
              <w:jc w:val="center"/>
              <w:rPr>
                <w:rFonts w:eastAsia="SimSun"/>
                <w:sz w:val="20"/>
                <w:szCs w:val="20"/>
                <w:lang w:eastAsia="en-GB"/>
              </w:rPr>
            </w:pPr>
          </w:p>
        </w:tc>
        <w:tc>
          <w:tcPr>
            <w:tcW w:w="1090" w:type="dxa"/>
            <w:vAlign w:val="center"/>
            <w:hideMark/>
          </w:tcPr>
          <w:p w14:paraId="3919D156" w14:textId="77777777" w:rsidR="00830460" w:rsidRPr="00526314" w:rsidRDefault="00830460" w:rsidP="00830460">
            <w:pPr>
              <w:spacing w:after="120"/>
              <w:jc w:val="center"/>
              <w:rPr>
                <w:rFonts w:eastAsia="SimSun"/>
                <w:sz w:val="20"/>
                <w:szCs w:val="20"/>
                <w:lang w:eastAsia="en-GB"/>
              </w:rPr>
            </w:pPr>
            <w:r w:rsidRPr="00526314">
              <w:rPr>
                <w:rFonts w:eastAsia="SimSun"/>
                <w:sz w:val="20"/>
                <w:szCs w:val="20"/>
                <w:lang w:eastAsia="en-GB"/>
              </w:rPr>
              <w:t>2T4R</w:t>
            </w:r>
          </w:p>
        </w:tc>
        <w:tc>
          <w:tcPr>
            <w:tcW w:w="1045" w:type="dxa"/>
            <w:vAlign w:val="center"/>
            <w:hideMark/>
          </w:tcPr>
          <w:p w14:paraId="2E809B19" w14:textId="77777777" w:rsidR="00830460" w:rsidRPr="00526314" w:rsidRDefault="00830460" w:rsidP="00830460">
            <w:pPr>
              <w:spacing w:after="120"/>
              <w:jc w:val="center"/>
              <w:rPr>
                <w:rFonts w:eastAsia="SimSun"/>
                <w:sz w:val="20"/>
                <w:szCs w:val="20"/>
                <w:lang w:eastAsia="en-GB"/>
              </w:rPr>
            </w:pPr>
            <w:r w:rsidRPr="00526314">
              <w:rPr>
                <w:rFonts w:eastAsia="SimSun"/>
                <w:sz w:val="20"/>
                <w:szCs w:val="20"/>
                <w:lang w:eastAsia="en-GB"/>
              </w:rPr>
              <w:t>-2</w:t>
            </w:r>
          </w:p>
        </w:tc>
        <w:tc>
          <w:tcPr>
            <w:tcW w:w="1045" w:type="dxa"/>
            <w:vAlign w:val="center"/>
          </w:tcPr>
          <w:p w14:paraId="1D3B3F77" w14:textId="021852E8" w:rsidR="00830460" w:rsidRPr="00526314" w:rsidRDefault="00830460" w:rsidP="00830460">
            <w:pPr>
              <w:spacing w:after="120"/>
              <w:jc w:val="center"/>
              <w:rPr>
                <w:rFonts w:eastAsia="SimSun"/>
                <w:sz w:val="20"/>
                <w:szCs w:val="20"/>
                <w:lang w:eastAsia="en-GB"/>
              </w:rPr>
            </w:pPr>
            <w:r w:rsidRPr="00830460">
              <w:rPr>
                <w:rFonts w:eastAsia="SimSun"/>
                <w:sz w:val="20"/>
                <w:szCs w:val="20"/>
                <w:lang w:eastAsia="en-GB"/>
              </w:rPr>
              <w:t>2.3</w:t>
            </w:r>
          </w:p>
        </w:tc>
      </w:tr>
      <w:tr w:rsidR="00830460" w:rsidRPr="00526314" w14:paraId="22414340" w14:textId="04FE7826" w:rsidTr="00653992">
        <w:trPr>
          <w:trHeight w:val="320"/>
          <w:jc w:val="center"/>
        </w:trPr>
        <w:tc>
          <w:tcPr>
            <w:tcW w:w="1029" w:type="dxa"/>
            <w:vMerge w:val="restart"/>
            <w:noWrap/>
            <w:vAlign w:val="center"/>
            <w:hideMark/>
          </w:tcPr>
          <w:p w14:paraId="5B414D75" w14:textId="77777777" w:rsidR="00830460" w:rsidRPr="00526314" w:rsidRDefault="00830460" w:rsidP="00830460">
            <w:pPr>
              <w:spacing w:after="120"/>
              <w:jc w:val="center"/>
              <w:rPr>
                <w:rFonts w:eastAsia="SimSun"/>
                <w:sz w:val="20"/>
                <w:szCs w:val="20"/>
                <w:lang w:eastAsia="en-GB"/>
              </w:rPr>
            </w:pPr>
            <w:r w:rsidRPr="00526314">
              <w:rPr>
                <w:rFonts w:eastAsia="SimSun"/>
                <w:sz w:val="20"/>
                <w:szCs w:val="20"/>
                <w:lang w:eastAsia="en-GB"/>
              </w:rPr>
              <w:t>TDD</w:t>
            </w:r>
          </w:p>
        </w:tc>
        <w:tc>
          <w:tcPr>
            <w:tcW w:w="1090" w:type="dxa"/>
            <w:vAlign w:val="center"/>
            <w:hideMark/>
          </w:tcPr>
          <w:p w14:paraId="73455B0A" w14:textId="77777777" w:rsidR="00830460" w:rsidRPr="00526314" w:rsidRDefault="00830460" w:rsidP="00830460">
            <w:pPr>
              <w:spacing w:after="120"/>
              <w:jc w:val="center"/>
              <w:rPr>
                <w:rFonts w:eastAsia="SimSun"/>
                <w:sz w:val="20"/>
                <w:szCs w:val="20"/>
                <w:lang w:eastAsia="en-GB"/>
              </w:rPr>
            </w:pPr>
            <w:r w:rsidRPr="00526314">
              <w:rPr>
                <w:rFonts w:eastAsia="SimSun"/>
                <w:sz w:val="20"/>
                <w:szCs w:val="20"/>
                <w:lang w:eastAsia="en-GB"/>
              </w:rPr>
              <w:t>2T2R</w:t>
            </w:r>
          </w:p>
        </w:tc>
        <w:tc>
          <w:tcPr>
            <w:tcW w:w="1045" w:type="dxa"/>
            <w:vAlign w:val="center"/>
            <w:hideMark/>
          </w:tcPr>
          <w:p w14:paraId="46C29128" w14:textId="77777777" w:rsidR="00830460" w:rsidRPr="00526314" w:rsidRDefault="00830460" w:rsidP="00830460">
            <w:pPr>
              <w:spacing w:after="120"/>
              <w:jc w:val="center"/>
              <w:rPr>
                <w:rFonts w:eastAsia="SimSun"/>
                <w:sz w:val="20"/>
                <w:szCs w:val="20"/>
                <w:lang w:eastAsia="en-GB"/>
              </w:rPr>
            </w:pPr>
            <w:r w:rsidRPr="00526314">
              <w:rPr>
                <w:rFonts w:eastAsia="SimSun"/>
                <w:sz w:val="20"/>
                <w:szCs w:val="20"/>
                <w:lang w:eastAsia="en-GB"/>
              </w:rPr>
              <w:t>-2</w:t>
            </w:r>
          </w:p>
        </w:tc>
        <w:tc>
          <w:tcPr>
            <w:tcW w:w="1045" w:type="dxa"/>
            <w:vAlign w:val="center"/>
          </w:tcPr>
          <w:p w14:paraId="3153FAF5" w14:textId="7A314B32" w:rsidR="00830460" w:rsidRPr="00526314" w:rsidRDefault="00830460" w:rsidP="00830460">
            <w:pPr>
              <w:spacing w:after="120"/>
              <w:jc w:val="center"/>
              <w:rPr>
                <w:rFonts w:eastAsia="SimSun"/>
                <w:sz w:val="20"/>
                <w:szCs w:val="20"/>
                <w:lang w:eastAsia="en-GB"/>
              </w:rPr>
            </w:pPr>
            <w:r w:rsidRPr="00830460">
              <w:rPr>
                <w:rFonts w:eastAsia="SimSun"/>
                <w:sz w:val="20"/>
                <w:szCs w:val="20"/>
                <w:lang w:eastAsia="en-GB"/>
              </w:rPr>
              <w:t>2.1</w:t>
            </w:r>
          </w:p>
        </w:tc>
      </w:tr>
      <w:tr w:rsidR="00830460" w:rsidRPr="00526314" w14:paraId="70096008" w14:textId="7DCF68D5" w:rsidTr="00653992">
        <w:trPr>
          <w:trHeight w:val="320"/>
          <w:jc w:val="center"/>
        </w:trPr>
        <w:tc>
          <w:tcPr>
            <w:tcW w:w="1029" w:type="dxa"/>
            <w:vMerge/>
            <w:vAlign w:val="center"/>
            <w:hideMark/>
          </w:tcPr>
          <w:p w14:paraId="3CBDBFD9" w14:textId="77777777" w:rsidR="00830460" w:rsidRPr="00526314" w:rsidRDefault="00830460" w:rsidP="00830460">
            <w:pPr>
              <w:spacing w:after="120"/>
              <w:jc w:val="center"/>
              <w:rPr>
                <w:rFonts w:eastAsia="SimSun"/>
                <w:sz w:val="20"/>
                <w:szCs w:val="20"/>
                <w:lang w:eastAsia="en-GB"/>
              </w:rPr>
            </w:pPr>
          </w:p>
        </w:tc>
        <w:tc>
          <w:tcPr>
            <w:tcW w:w="1090" w:type="dxa"/>
            <w:vAlign w:val="center"/>
            <w:hideMark/>
          </w:tcPr>
          <w:p w14:paraId="5675BA41" w14:textId="77777777" w:rsidR="00830460" w:rsidRPr="00526314" w:rsidRDefault="00830460" w:rsidP="00830460">
            <w:pPr>
              <w:spacing w:after="120"/>
              <w:jc w:val="center"/>
              <w:rPr>
                <w:rFonts w:eastAsia="SimSun"/>
                <w:sz w:val="20"/>
                <w:szCs w:val="20"/>
                <w:lang w:eastAsia="en-GB"/>
              </w:rPr>
            </w:pPr>
            <w:r w:rsidRPr="00526314">
              <w:rPr>
                <w:rFonts w:eastAsia="SimSun"/>
                <w:sz w:val="20"/>
                <w:szCs w:val="20"/>
                <w:lang w:eastAsia="en-GB"/>
              </w:rPr>
              <w:t>2T4R</w:t>
            </w:r>
          </w:p>
        </w:tc>
        <w:tc>
          <w:tcPr>
            <w:tcW w:w="1045" w:type="dxa"/>
            <w:vAlign w:val="center"/>
            <w:hideMark/>
          </w:tcPr>
          <w:p w14:paraId="7D7721F5" w14:textId="77777777" w:rsidR="00830460" w:rsidRPr="00526314" w:rsidRDefault="00830460" w:rsidP="00830460">
            <w:pPr>
              <w:spacing w:after="120"/>
              <w:jc w:val="center"/>
              <w:rPr>
                <w:rFonts w:eastAsia="SimSun"/>
                <w:sz w:val="20"/>
                <w:szCs w:val="20"/>
                <w:lang w:eastAsia="en-GB"/>
              </w:rPr>
            </w:pPr>
            <w:r w:rsidRPr="00526314">
              <w:rPr>
                <w:rFonts w:eastAsia="SimSun"/>
                <w:sz w:val="20"/>
                <w:szCs w:val="20"/>
                <w:lang w:eastAsia="en-GB"/>
              </w:rPr>
              <w:t>-2</w:t>
            </w:r>
          </w:p>
        </w:tc>
        <w:tc>
          <w:tcPr>
            <w:tcW w:w="1045" w:type="dxa"/>
            <w:vAlign w:val="center"/>
          </w:tcPr>
          <w:p w14:paraId="18F5BFCC" w14:textId="501EB0DB" w:rsidR="00830460" w:rsidRPr="00526314" w:rsidRDefault="00830460" w:rsidP="00830460">
            <w:pPr>
              <w:spacing w:after="120"/>
              <w:jc w:val="center"/>
              <w:rPr>
                <w:rFonts w:eastAsia="SimSun"/>
                <w:sz w:val="20"/>
                <w:szCs w:val="20"/>
                <w:lang w:eastAsia="en-GB"/>
              </w:rPr>
            </w:pPr>
            <w:r w:rsidRPr="00830460">
              <w:rPr>
                <w:rFonts w:eastAsia="SimSun"/>
                <w:sz w:val="20"/>
                <w:szCs w:val="20"/>
                <w:lang w:eastAsia="en-GB"/>
              </w:rPr>
              <w:t>2.2</w:t>
            </w:r>
          </w:p>
        </w:tc>
      </w:tr>
    </w:tbl>
    <w:p w14:paraId="1B7943ED" w14:textId="6BA3CDD4" w:rsidR="00526314" w:rsidRDefault="00526314" w:rsidP="005B410D">
      <w:pPr>
        <w:spacing w:after="120"/>
        <w:rPr>
          <w:rFonts w:eastAsia="SimSun"/>
          <w:sz w:val="20"/>
          <w:szCs w:val="20"/>
          <w:lang w:val="en-GB" w:eastAsia="en-GB"/>
        </w:rPr>
      </w:pPr>
    </w:p>
    <w:p w14:paraId="061C39CD" w14:textId="2DAE427A" w:rsidR="00830460" w:rsidRDefault="00830460" w:rsidP="005B410D">
      <w:pPr>
        <w:spacing w:after="120"/>
        <w:rPr>
          <w:rFonts w:eastAsia="SimSun"/>
          <w:sz w:val="20"/>
          <w:szCs w:val="20"/>
          <w:lang w:val="en-GB" w:eastAsia="en-GB"/>
        </w:rPr>
      </w:pPr>
      <w:r>
        <w:rPr>
          <w:rFonts w:eastAsia="SimSun"/>
          <w:sz w:val="20"/>
          <w:szCs w:val="20"/>
          <w:lang w:val="en-GB" w:eastAsia="en-GB"/>
        </w:rPr>
        <w:t xml:space="preserve">From the simulation results setting the TP gain as requirement a 2.0 for 2RX and </w:t>
      </w:r>
      <w:r w:rsidR="004B6849">
        <w:rPr>
          <w:rFonts w:eastAsia="SimSun"/>
          <w:sz w:val="20"/>
          <w:szCs w:val="20"/>
          <w:lang w:val="en-GB" w:eastAsia="en-GB"/>
        </w:rPr>
        <w:t xml:space="preserve">2.2 for 4RX seems suitable. But these results don’t include any impairment margin. </w:t>
      </w:r>
      <w:proofErr w:type="gramStart"/>
      <w:r w:rsidR="004B6849">
        <w:rPr>
          <w:rFonts w:eastAsia="SimSun"/>
          <w:sz w:val="20"/>
          <w:szCs w:val="20"/>
          <w:lang w:val="en-GB" w:eastAsia="en-GB"/>
        </w:rPr>
        <w:t>Taking into account</w:t>
      </w:r>
      <w:proofErr w:type="gramEnd"/>
      <w:r w:rsidR="004B6849">
        <w:rPr>
          <w:rFonts w:eastAsia="SimSun"/>
          <w:sz w:val="20"/>
          <w:szCs w:val="20"/>
          <w:lang w:val="en-GB" w:eastAsia="en-GB"/>
        </w:rPr>
        <w:t xml:space="preserve"> impairment and implementation margin, we propose to set the TP gain requirement as 1.8 for 2RX and 1.9 for 4RX.</w:t>
      </w:r>
    </w:p>
    <w:p w14:paraId="11391246" w14:textId="62743551" w:rsidR="004B6849" w:rsidRDefault="004B6849" w:rsidP="005B410D">
      <w:pPr>
        <w:spacing w:after="120"/>
        <w:rPr>
          <w:rFonts w:eastAsia="SimSun"/>
          <w:b/>
          <w:bCs/>
          <w:sz w:val="20"/>
          <w:szCs w:val="20"/>
          <w:lang w:val="en-GB" w:eastAsia="en-GB"/>
        </w:rPr>
      </w:pPr>
      <w:r>
        <w:rPr>
          <w:rFonts w:eastAsia="SimSun"/>
          <w:b/>
          <w:bCs/>
          <w:sz w:val="20"/>
          <w:szCs w:val="20"/>
          <w:lang w:val="en-GB" w:eastAsia="en-GB"/>
        </w:rPr>
        <w:t>Proposal #2: Set the TP gain requirement for CQI reporting in ICI as 1.8 for 2RX and 1.9 for 4RX</w:t>
      </w:r>
      <w:r w:rsidR="00C12F43">
        <w:rPr>
          <w:rFonts w:eastAsia="SimSun"/>
          <w:b/>
          <w:bCs/>
          <w:sz w:val="20"/>
          <w:szCs w:val="20"/>
          <w:lang w:val="en-GB" w:eastAsia="en-GB"/>
        </w:rPr>
        <w:t xml:space="preserve"> considering impairment margin. </w:t>
      </w:r>
    </w:p>
    <w:p w14:paraId="781A5B74" w14:textId="153BC1EA" w:rsidR="00104D5D" w:rsidRDefault="00DA24C0" w:rsidP="00104D5D">
      <w:pPr>
        <w:pStyle w:val="Heading1"/>
      </w:pPr>
      <w:r>
        <w:t>3</w:t>
      </w:r>
      <w:r w:rsidR="00104D5D">
        <w:t>. Simulation Results</w:t>
      </w:r>
    </w:p>
    <w:p w14:paraId="713F156B" w14:textId="5FF2C8A8" w:rsidR="00C12F43" w:rsidRPr="00C12F43" w:rsidRDefault="00C12F43" w:rsidP="005B410D">
      <w:pPr>
        <w:spacing w:after="120"/>
        <w:rPr>
          <w:rFonts w:eastAsia="SimSun"/>
          <w:b/>
          <w:bCs/>
          <w:sz w:val="20"/>
          <w:szCs w:val="20"/>
          <w:u w:val="single"/>
          <w:lang w:val="en-GB" w:eastAsia="en-GB"/>
        </w:rPr>
      </w:pPr>
      <w:r w:rsidRPr="00C12F43">
        <w:rPr>
          <w:rFonts w:eastAsia="SimSun"/>
          <w:b/>
          <w:bCs/>
          <w:sz w:val="20"/>
          <w:szCs w:val="20"/>
          <w:u w:val="single"/>
          <w:lang w:val="en-GB" w:eastAsia="en-GB"/>
        </w:rPr>
        <w:t>PDSCH demod in ICI</w:t>
      </w:r>
    </w:p>
    <w:p w14:paraId="7C3621FE" w14:textId="7D423D85" w:rsidR="0017238B" w:rsidRDefault="0017238B" w:rsidP="005B410D">
      <w:pPr>
        <w:spacing w:after="120"/>
        <w:rPr>
          <w:rFonts w:eastAsia="SimSun"/>
          <w:sz w:val="20"/>
          <w:szCs w:val="20"/>
          <w:lang w:val="en-GB" w:eastAsia="en-GB"/>
        </w:rPr>
      </w:pPr>
      <w:r>
        <w:rPr>
          <w:rFonts w:eastAsia="SimSun"/>
          <w:sz w:val="20"/>
          <w:szCs w:val="20"/>
          <w:lang w:val="en-GB" w:eastAsia="en-GB"/>
        </w:rPr>
        <w:t>For the simulation assumptions agreed for PDSCH demodulation requirements in ICI, we present simulation results below.</w:t>
      </w:r>
    </w:p>
    <w:p w14:paraId="30101A74" w14:textId="651DA699" w:rsidR="00C12F43" w:rsidRPr="00C12F43" w:rsidRDefault="00D16F3A" w:rsidP="00C12F43">
      <w:pPr>
        <w:pStyle w:val="Caption"/>
        <w:keepNext/>
        <w:jc w:val="center"/>
      </w:pPr>
      <w:r>
        <w:t xml:space="preserve">Table </w:t>
      </w:r>
      <w:fldSimple w:instr=" SEQ Table \* ARABIC ">
        <w:r w:rsidR="00830460">
          <w:rPr>
            <w:noProof/>
          </w:rPr>
          <w:t>2</w:t>
        </w:r>
      </w:fldSimple>
      <w:r>
        <w:t>: Performance results for PDSCH demod in ICI</w:t>
      </w:r>
    </w:p>
    <w:tbl>
      <w:tblPr>
        <w:tblW w:w="9100" w:type="dxa"/>
        <w:jc w:val="center"/>
        <w:tblLook w:val="04A0" w:firstRow="1" w:lastRow="0" w:firstColumn="1" w:lastColumn="0" w:noHBand="0" w:noVBand="1"/>
      </w:tblPr>
      <w:tblGrid>
        <w:gridCol w:w="985"/>
        <w:gridCol w:w="1260"/>
        <w:gridCol w:w="1260"/>
        <w:gridCol w:w="1440"/>
        <w:gridCol w:w="1555"/>
        <w:gridCol w:w="1213"/>
        <w:gridCol w:w="1387"/>
      </w:tblGrid>
      <w:tr w:rsidR="00C12F43" w14:paraId="4042DE7A" w14:textId="77777777" w:rsidTr="00C12F43">
        <w:trPr>
          <w:trHeight w:val="320"/>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8A056" w14:textId="77777777" w:rsidR="00C12F43" w:rsidRDefault="00C12F43">
            <w:pPr>
              <w:jc w:val="center"/>
              <w:rPr>
                <w:b/>
                <w:bCs/>
                <w:color w:val="000000"/>
                <w:sz w:val="20"/>
                <w:szCs w:val="20"/>
              </w:rPr>
            </w:pPr>
            <w:r>
              <w:rPr>
                <w:b/>
                <w:bCs/>
                <w:color w:val="000000"/>
                <w:sz w:val="20"/>
                <w:szCs w:val="20"/>
              </w:rPr>
              <w:t>Duplex</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BE912" w14:textId="77777777" w:rsidR="00C12F43" w:rsidRDefault="00C12F43">
            <w:pPr>
              <w:jc w:val="center"/>
              <w:rPr>
                <w:b/>
                <w:bCs/>
                <w:color w:val="000000"/>
                <w:sz w:val="20"/>
                <w:szCs w:val="20"/>
              </w:rPr>
            </w:pPr>
            <w:r>
              <w:rPr>
                <w:b/>
                <w:bCs/>
                <w:color w:val="000000"/>
                <w:sz w:val="20"/>
                <w:szCs w:val="20"/>
              </w:rPr>
              <w:t>Ant. Config</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92B9C" w14:textId="77777777" w:rsidR="00C12F43" w:rsidRDefault="00C12F43">
            <w:pPr>
              <w:jc w:val="center"/>
              <w:rPr>
                <w:b/>
                <w:bCs/>
                <w:color w:val="000000"/>
                <w:sz w:val="20"/>
                <w:szCs w:val="20"/>
              </w:rPr>
            </w:pPr>
            <w:r>
              <w:rPr>
                <w:b/>
                <w:bCs/>
                <w:color w:val="000000"/>
                <w:sz w:val="20"/>
                <w:szCs w:val="20"/>
              </w:rPr>
              <w:t>Num. Inf Cells</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AD1DE" w14:textId="77777777" w:rsidR="00C12F43" w:rsidRDefault="00C12F43">
            <w:pPr>
              <w:jc w:val="center"/>
              <w:rPr>
                <w:b/>
                <w:bCs/>
                <w:color w:val="000000"/>
                <w:sz w:val="20"/>
                <w:szCs w:val="20"/>
              </w:rPr>
            </w:pPr>
            <w:r>
              <w:rPr>
                <w:b/>
                <w:bCs/>
                <w:color w:val="000000"/>
                <w:sz w:val="20"/>
                <w:szCs w:val="20"/>
              </w:rPr>
              <w:t>Deployment</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21575" w14:textId="77777777" w:rsidR="00C12F43" w:rsidRDefault="00C12F43">
            <w:pPr>
              <w:jc w:val="center"/>
              <w:rPr>
                <w:b/>
                <w:bCs/>
                <w:color w:val="000000"/>
                <w:sz w:val="20"/>
                <w:szCs w:val="20"/>
              </w:rPr>
            </w:pPr>
            <w:r>
              <w:rPr>
                <w:b/>
                <w:bCs/>
                <w:color w:val="000000"/>
                <w:sz w:val="20"/>
                <w:szCs w:val="20"/>
              </w:rPr>
              <w:t>Prop. Channel</w:t>
            </w:r>
          </w:p>
        </w:tc>
        <w:tc>
          <w:tcPr>
            <w:tcW w:w="26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7DDAE1" w14:textId="77777777" w:rsidR="00C12F43" w:rsidRDefault="00C12F43">
            <w:pPr>
              <w:jc w:val="center"/>
              <w:rPr>
                <w:b/>
                <w:bCs/>
                <w:color w:val="000000"/>
                <w:sz w:val="20"/>
                <w:szCs w:val="20"/>
              </w:rPr>
            </w:pPr>
            <w:r>
              <w:rPr>
                <w:b/>
                <w:bCs/>
                <w:color w:val="000000"/>
                <w:sz w:val="20"/>
                <w:szCs w:val="20"/>
              </w:rPr>
              <w:t>SNR @ 70% Max TP</w:t>
            </w:r>
          </w:p>
        </w:tc>
      </w:tr>
      <w:tr w:rsidR="00C12F43" w14:paraId="003AC23B" w14:textId="77777777" w:rsidTr="00C12F43">
        <w:trPr>
          <w:trHeight w:val="32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14:paraId="605DC802" w14:textId="77777777" w:rsidR="00C12F43" w:rsidRDefault="00C12F43">
            <w:pPr>
              <w:rPr>
                <w:b/>
                <w:bCs/>
                <w:color w:val="000000"/>
                <w:sz w:val="20"/>
                <w:szCs w:val="2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8CEDED4" w14:textId="77777777" w:rsidR="00C12F43" w:rsidRDefault="00C12F43">
            <w:pPr>
              <w:rPr>
                <w:b/>
                <w:bCs/>
                <w:color w:val="000000"/>
                <w:sz w:val="20"/>
                <w:szCs w:val="2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347264A" w14:textId="77777777" w:rsidR="00C12F43" w:rsidRDefault="00C12F43">
            <w:pPr>
              <w:rPr>
                <w:b/>
                <w:bCs/>
                <w:color w:val="000000"/>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B948BFE" w14:textId="77777777" w:rsidR="00C12F43" w:rsidRDefault="00C12F43">
            <w:pPr>
              <w:rPr>
                <w:b/>
                <w:bCs/>
                <w:color w:val="000000"/>
                <w:sz w:val="20"/>
                <w:szCs w:val="20"/>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6CCB886F" w14:textId="77777777" w:rsidR="00C12F43" w:rsidRDefault="00C12F43">
            <w:pPr>
              <w:rPr>
                <w:b/>
                <w:bCs/>
                <w:color w:val="000000"/>
                <w:sz w:val="20"/>
                <w:szCs w:val="20"/>
              </w:rPr>
            </w:pPr>
          </w:p>
        </w:tc>
        <w:tc>
          <w:tcPr>
            <w:tcW w:w="1213" w:type="dxa"/>
            <w:tcBorders>
              <w:top w:val="nil"/>
              <w:left w:val="nil"/>
              <w:bottom w:val="single" w:sz="4" w:space="0" w:color="auto"/>
              <w:right w:val="single" w:sz="4" w:space="0" w:color="auto"/>
            </w:tcBorders>
            <w:shd w:val="clear" w:color="auto" w:fill="auto"/>
            <w:noWrap/>
            <w:vAlign w:val="center"/>
            <w:hideMark/>
          </w:tcPr>
          <w:p w14:paraId="573DF027" w14:textId="77777777" w:rsidR="00C12F43" w:rsidRDefault="00C12F43">
            <w:pPr>
              <w:jc w:val="center"/>
              <w:rPr>
                <w:b/>
                <w:bCs/>
                <w:color w:val="000000"/>
                <w:sz w:val="20"/>
                <w:szCs w:val="20"/>
              </w:rPr>
            </w:pPr>
            <w:r>
              <w:rPr>
                <w:b/>
                <w:bCs/>
                <w:color w:val="000000"/>
                <w:sz w:val="20"/>
                <w:szCs w:val="20"/>
              </w:rPr>
              <w:t>Alignment</w:t>
            </w:r>
          </w:p>
        </w:tc>
        <w:tc>
          <w:tcPr>
            <w:tcW w:w="1387" w:type="dxa"/>
            <w:tcBorders>
              <w:top w:val="nil"/>
              <w:left w:val="nil"/>
              <w:bottom w:val="single" w:sz="4" w:space="0" w:color="auto"/>
              <w:right w:val="single" w:sz="4" w:space="0" w:color="auto"/>
            </w:tcBorders>
            <w:shd w:val="clear" w:color="auto" w:fill="auto"/>
            <w:noWrap/>
            <w:vAlign w:val="center"/>
            <w:hideMark/>
          </w:tcPr>
          <w:p w14:paraId="7E32DC4F" w14:textId="77777777" w:rsidR="00C12F43" w:rsidRDefault="00C12F43">
            <w:pPr>
              <w:jc w:val="center"/>
              <w:rPr>
                <w:b/>
                <w:bCs/>
                <w:color w:val="000000"/>
                <w:sz w:val="20"/>
                <w:szCs w:val="20"/>
              </w:rPr>
            </w:pPr>
            <w:r>
              <w:rPr>
                <w:b/>
                <w:bCs/>
                <w:color w:val="000000"/>
                <w:sz w:val="20"/>
                <w:szCs w:val="20"/>
              </w:rPr>
              <w:t>Impairment</w:t>
            </w:r>
          </w:p>
        </w:tc>
      </w:tr>
      <w:tr w:rsidR="00C12F43" w14:paraId="743BDAF9" w14:textId="77777777" w:rsidTr="00C12F43">
        <w:trPr>
          <w:trHeight w:val="320"/>
          <w:jc w:val="center"/>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3A0AE7" w14:textId="77777777" w:rsidR="00C12F43" w:rsidRDefault="00C12F43">
            <w:pPr>
              <w:jc w:val="center"/>
              <w:rPr>
                <w:color w:val="000000"/>
                <w:sz w:val="20"/>
                <w:szCs w:val="20"/>
              </w:rPr>
            </w:pPr>
            <w:r>
              <w:rPr>
                <w:color w:val="000000"/>
                <w:sz w:val="20"/>
                <w:szCs w:val="20"/>
              </w:rPr>
              <w:t>FDD</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C125F8" w14:textId="77777777" w:rsidR="00C12F43" w:rsidRDefault="00C12F43">
            <w:pPr>
              <w:jc w:val="center"/>
              <w:rPr>
                <w:color w:val="000000"/>
                <w:sz w:val="20"/>
                <w:szCs w:val="20"/>
              </w:rPr>
            </w:pPr>
            <w:r>
              <w:rPr>
                <w:color w:val="000000"/>
                <w:sz w:val="20"/>
                <w:szCs w:val="20"/>
              </w:rPr>
              <w:t>2x2</w:t>
            </w:r>
          </w:p>
        </w:tc>
        <w:tc>
          <w:tcPr>
            <w:tcW w:w="1260" w:type="dxa"/>
            <w:tcBorders>
              <w:top w:val="nil"/>
              <w:left w:val="nil"/>
              <w:bottom w:val="single" w:sz="4" w:space="0" w:color="auto"/>
              <w:right w:val="single" w:sz="4" w:space="0" w:color="auto"/>
            </w:tcBorders>
            <w:shd w:val="clear" w:color="auto" w:fill="auto"/>
            <w:noWrap/>
            <w:vAlign w:val="center"/>
            <w:hideMark/>
          </w:tcPr>
          <w:p w14:paraId="76DA9274" w14:textId="77777777" w:rsidR="00C12F43" w:rsidRDefault="00C12F43">
            <w:pPr>
              <w:jc w:val="center"/>
              <w:rPr>
                <w:color w:val="000000"/>
                <w:sz w:val="20"/>
                <w:szCs w:val="20"/>
              </w:rPr>
            </w:pPr>
            <w:r>
              <w:rPr>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center"/>
            <w:hideMark/>
          </w:tcPr>
          <w:p w14:paraId="3A31539E" w14:textId="77777777" w:rsidR="00C12F43" w:rsidRDefault="00C12F43">
            <w:pPr>
              <w:jc w:val="center"/>
              <w:rPr>
                <w:color w:val="000000"/>
                <w:sz w:val="20"/>
                <w:szCs w:val="20"/>
              </w:rPr>
            </w:pPr>
            <w:r>
              <w:rPr>
                <w:color w:val="000000"/>
                <w:sz w:val="20"/>
                <w:szCs w:val="20"/>
              </w:rPr>
              <w:t> HetNet</w:t>
            </w:r>
          </w:p>
        </w:tc>
        <w:tc>
          <w:tcPr>
            <w:tcW w:w="1555" w:type="dxa"/>
            <w:tcBorders>
              <w:top w:val="nil"/>
              <w:left w:val="nil"/>
              <w:bottom w:val="single" w:sz="4" w:space="0" w:color="auto"/>
              <w:right w:val="single" w:sz="4" w:space="0" w:color="auto"/>
            </w:tcBorders>
            <w:shd w:val="clear" w:color="auto" w:fill="auto"/>
            <w:noWrap/>
            <w:vAlign w:val="center"/>
            <w:hideMark/>
          </w:tcPr>
          <w:p w14:paraId="1161A865" w14:textId="77777777" w:rsidR="00C12F43" w:rsidRDefault="00C12F43">
            <w:pPr>
              <w:jc w:val="center"/>
              <w:rPr>
                <w:color w:val="000000"/>
                <w:sz w:val="20"/>
                <w:szCs w:val="20"/>
              </w:rPr>
            </w:pPr>
            <w:r>
              <w:rPr>
                <w:color w:val="000000"/>
                <w:sz w:val="20"/>
                <w:szCs w:val="20"/>
              </w:rPr>
              <w:t>TDLA30-10</w:t>
            </w:r>
          </w:p>
        </w:tc>
        <w:tc>
          <w:tcPr>
            <w:tcW w:w="1213" w:type="dxa"/>
            <w:tcBorders>
              <w:top w:val="nil"/>
              <w:left w:val="nil"/>
              <w:bottom w:val="single" w:sz="4" w:space="0" w:color="auto"/>
              <w:right w:val="single" w:sz="4" w:space="0" w:color="auto"/>
            </w:tcBorders>
            <w:shd w:val="clear" w:color="auto" w:fill="auto"/>
            <w:noWrap/>
            <w:vAlign w:val="center"/>
            <w:hideMark/>
          </w:tcPr>
          <w:p w14:paraId="6A85F5EB" w14:textId="77777777" w:rsidR="00C12F43" w:rsidRDefault="00C12F43">
            <w:pPr>
              <w:jc w:val="center"/>
              <w:rPr>
                <w:color w:val="000000"/>
                <w:sz w:val="20"/>
                <w:szCs w:val="20"/>
              </w:rPr>
            </w:pPr>
            <w:r>
              <w:rPr>
                <w:color w:val="000000"/>
                <w:sz w:val="20"/>
                <w:szCs w:val="20"/>
              </w:rPr>
              <w:t>11.2</w:t>
            </w:r>
          </w:p>
        </w:tc>
        <w:tc>
          <w:tcPr>
            <w:tcW w:w="1387" w:type="dxa"/>
            <w:tcBorders>
              <w:top w:val="nil"/>
              <w:left w:val="nil"/>
              <w:bottom w:val="single" w:sz="4" w:space="0" w:color="auto"/>
              <w:right w:val="single" w:sz="4" w:space="0" w:color="auto"/>
            </w:tcBorders>
            <w:shd w:val="clear" w:color="auto" w:fill="auto"/>
            <w:noWrap/>
            <w:vAlign w:val="center"/>
            <w:hideMark/>
          </w:tcPr>
          <w:p w14:paraId="3038204C" w14:textId="77777777" w:rsidR="00C12F43" w:rsidRDefault="00C12F43">
            <w:pPr>
              <w:jc w:val="center"/>
              <w:rPr>
                <w:color w:val="000000"/>
                <w:sz w:val="20"/>
                <w:szCs w:val="20"/>
              </w:rPr>
            </w:pPr>
            <w:r>
              <w:rPr>
                <w:color w:val="000000"/>
                <w:sz w:val="20"/>
                <w:szCs w:val="20"/>
              </w:rPr>
              <w:t>13.2</w:t>
            </w:r>
          </w:p>
        </w:tc>
      </w:tr>
      <w:tr w:rsidR="00C12F43" w14:paraId="4BA03294" w14:textId="77777777" w:rsidTr="00C12F43">
        <w:trPr>
          <w:trHeight w:val="320"/>
          <w:jc w:val="center"/>
        </w:trPr>
        <w:tc>
          <w:tcPr>
            <w:tcW w:w="985" w:type="dxa"/>
            <w:vMerge/>
            <w:tcBorders>
              <w:top w:val="nil"/>
              <w:left w:val="single" w:sz="4" w:space="0" w:color="auto"/>
              <w:bottom w:val="single" w:sz="4" w:space="0" w:color="auto"/>
              <w:right w:val="single" w:sz="4" w:space="0" w:color="auto"/>
            </w:tcBorders>
            <w:vAlign w:val="center"/>
            <w:hideMark/>
          </w:tcPr>
          <w:p w14:paraId="374C7AB8" w14:textId="77777777" w:rsidR="00C12F43" w:rsidRDefault="00C12F43">
            <w:pPr>
              <w:rPr>
                <w:color w:val="000000"/>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0C0CACDA" w14:textId="77777777" w:rsidR="00C12F43" w:rsidRDefault="00C12F43">
            <w:pPr>
              <w:rPr>
                <w:color w:val="000000"/>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5D4FF006" w14:textId="77777777" w:rsidR="00C12F43" w:rsidRDefault="00C12F43">
            <w:pPr>
              <w:jc w:val="center"/>
              <w:rPr>
                <w:color w:val="000000"/>
                <w:sz w:val="20"/>
                <w:szCs w:val="20"/>
              </w:rPr>
            </w:pPr>
            <w:r>
              <w:rPr>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center"/>
            <w:hideMark/>
          </w:tcPr>
          <w:p w14:paraId="5EB8054C" w14:textId="77777777" w:rsidR="00C12F43" w:rsidRDefault="00C12F43">
            <w:pPr>
              <w:jc w:val="center"/>
              <w:rPr>
                <w:color w:val="000000"/>
                <w:sz w:val="20"/>
                <w:szCs w:val="20"/>
              </w:rPr>
            </w:pPr>
            <w:r>
              <w:rPr>
                <w:color w:val="000000"/>
                <w:sz w:val="20"/>
                <w:szCs w:val="20"/>
              </w:rPr>
              <w:t xml:space="preserve">HomoNet </w:t>
            </w:r>
          </w:p>
        </w:tc>
        <w:tc>
          <w:tcPr>
            <w:tcW w:w="1555" w:type="dxa"/>
            <w:tcBorders>
              <w:top w:val="nil"/>
              <w:left w:val="nil"/>
              <w:bottom w:val="single" w:sz="4" w:space="0" w:color="auto"/>
              <w:right w:val="single" w:sz="4" w:space="0" w:color="auto"/>
            </w:tcBorders>
            <w:shd w:val="clear" w:color="auto" w:fill="auto"/>
            <w:noWrap/>
            <w:vAlign w:val="center"/>
            <w:hideMark/>
          </w:tcPr>
          <w:p w14:paraId="54B01CC2" w14:textId="77777777" w:rsidR="00C12F43" w:rsidRDefault="00C12F43">
            <w:pPr>
              <w:jc w:val="center"/>
              <w:rPr>
                <w:color w:val="000000"/>
                <w:sz w:val="20"/>
                <w:szCs w:val="20"/>
              </w:rPr>
            </w:pPr>
            <w:r>
              <w:rPr>
                <w:color w:val="000000"/>
                <w:sz w:val="20"/>
                <w:szCs w:val="20"/>
              </w:rPr>
              <w:t>TDLC300-100</w:t>
            </w:r>
          </w:p>
        </w:tc>
        <w:tc>
          <w:tcPr>
            <w:tcW w:w="1213" w:type="dxa"/>
            <w:tcBorders>
              <w:top w:val="nil"/>
              <w:left w:val="nil"/>
              <w:bottom w:val="single" w:sz="4" w:space="0" w:color="auto"/>
              <w:right w:val="single" w:sz="4" w:space="0" w:color="auto"/>
            </w:tcBorders>
            <w:shd w:val="clear" w:color="auto" w:fill="auto"/>
            <w:noWrap/>
            <w:vAlign w:val="center"/>
            <w:hideMark/>
          </w:tcPr>
          <w:p w14:paraId="034C2AC1" w14:textId="77777777" w:rsidR="00C12F43" w:rsidRDefault="00C12F43">
            <w:pPr>
              <w:jc w:val="center"/>
              <w:rPr>
                <w:color w:val="000000"/>
                <w:sz w:val="20"/>
                <w:szCs w:val="20"/>
              </w:rPr>
            </w:pPr>
            <w:r>
              <w:rPr>
                <w:color w:val="000000"/>
                <w:sz w:val="20"/>
                <w:szCs w:val="20"/>
              </w:rPr>
              <w:t>14.5</w:t>
            </w:r>
          </w:p>
        </w:tc>
        <w:tc>
          <w:tcPr>
            <w:tcW w:w="1387" w:type="dxa"/>
            <w:tcBorders>
              <w:top w:val="nil"/>
              <w:left w:val="nil"/>
              <w:bottom w:val="single" w:sz="4" w:space="0" w:color="auto"/>
              <w:right w:val="single" w:sz="4" w:space="0" w:color="auto"/>
            </w:tcBorders>
            <w:shd w:val="clear" w:color="auto" w:fill="auto"/>
            <w:noWrap/>
            <w:vAlign w:val="center"/>
            <w:hideMark/>
          </w:tcPr>
          <w:p w14:paraId="1C10CD49" w14:textId="77777777" w:rsidR="00C12F43" w:rsidRDefault="00C12F43">
            <w:pPr>
              <w:jc w:val="center"/>
              <w:rPr>
                <w:color w:val="000000"/>
                <w:sz w:val="20"/>
                <w:szCs w:val="20"/>
              </w:rPr>
            </w:pPr>
            <w:r>
              <w:rPr>
                <w:color w:val="000000"/>
                <w:sz w:val="20"/>
                <w:szCs w:val="20"/>
              </w:rPr>
              <w:t>16.5</w:t>
            </w:r>
          </w:p>
        </w:tc>
      </w:tr>
      <w:tr w:rsidR="00C12F43" w14:paraId="782A0DF6" w14:textId="77777777" w:rsidTr="00C12F43">
        <w:trPr>
          <w:trHeight w:val="320"/>
          <w:jc w:val="center"/>
        </w:trPr>
        <w:tc>
          <w:tcPr>
            <w:tcW w:w="985" w:type="dxa"/>
            <w:vMerge/>
            <w:tcBorders>
              <w:top w:val="nil"/>
              <w:left w:val="single" w:sz="4" w:space="0" w:color="auto"/>
              <w:bottom w:val="single" w:sz="4" w:space="0" w:color="auto"/>
              <w:right w:val="single" w:sz="4" w:space="0" w:color="auto"/>
            </w:tcBorders>
            <w:vAlign w:val="center"/>
            <w:hideMark/>
          </w:tcPr>
          <w:p w14:paraId="5BC12610" w14:textId="77777777" w:rsidR="00C12F43" w:rsidRDefault="00C12F43">
            <w:pPr>
              <w:rPr>
                <w:color w:val="000000"/>
                <w:sz w:val="20"/>
                <w:szCs w:val="20"/>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DE2CE6" w14:textId="77777777" w:rsidR="00C12F43" w:rsidRDefault="00C12F43">
            <w:pPr>
              <w:jc w:val="center"/>
              <w:rPr>
                <w:color w:val="000000"/>
                <w:sz w:val="20"/>
                <w:szCs w:val="20"/>
              </w:rPr>
            </w:pPr>
            <w:r>
              <w:rPr>
                <w:color w:val="000000"/>
                <w:sz w:val="20"/>
                <w:szCs w:val="20"/>
              </w:rPr>
              <w:t>2x4</w:t>
            </w:r>
          </w:p>
        </w:tc>
        <w:tc>
          <w:tcPr>
            <w:tcW w:w="1260" w:type="dxa"/>
            <w:tcBorders>
              <w:top w:val="nil"/>
              <w:left w:val="nil"/>
              <w:bottom w:val="single" w:sz="4" w:space="0" w:color="auto"/>
              <w:right w:val="single" w:sz="4" w:space="0" w:color="auto"/>
            </w:tcBorders>
            <w:shd w:val="clear" w:color="auto" w:fill="auto"/>
            <w:noWrap/>
            <w:vAlign w:val="center"/>
            <w:hideMark/>
          </w:tcPr>
          <w:p w14:paraId="356D3B69" w14:textId="77777777" w:rsidR="00C12F43" w:rsidRDefault="00C12F43">
            <w:pPr>
              <w:jc w:val="center"/>
              <w:rPr>
                <w:color w:val="000000"/>
                <w:sz w:val="20"/>
                <w:szCs w:val="20"/>
              </w:rPr>
            </w:pPr>
            <w:r>
              <w:rPr>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center"/>
            <w:hideMark/>
          </w:tcPr>
          <w:p w14:paraId="3A8D0C67" w14:textId="77777777" w:rsidR="00C12F43" w:rsidRDefault="00C12F43">
            <w:pPr>
              <w:jc w:val="center"/>
              <w:rPr>
                <w:color w:val="000000"/>
                <w:sz w:val="20"/>
                <w:szCs w:val="20"/>
              </w:rPr>
            </w:pPr>
            <w:r>
              <w:rPr>
                <w:color w:val="000000"/>
                <w:sz w:val="20"/>
                <w:szCs w:val="20"/>
              </w:rPr>
              <w:t> HetNet</w:t>
            </w:r>
          </w:p>
        </w:tc>
        <w:tc>
          <w:tcPr>
            <w:tcW w:w="1555" w:type="dxa"/>
            <w:tcBorders>
              <w:top w:val="nil"/>
              <w:left w:val="nil"/>
              <w:bottom w:val="single" w:sz="4" w:space="0" w:color="auto"/>
              <w:right w:val="single" w:sz="4" w:space="0" w:color="auto"/>
            </w:tcBorders>
            <w:shd w:val="clear" w:color="auto" w:fill="auto"/>
            <w:noWrap/>
            <w:vAlign w:val="center"/>
            <w:hideMark/>
          </w:tcPr>
          <w:p w14:paraId="50219C6A" w14:textId="77777777" w:rsidR="00C12F43" w:rsidRDefault="00C12F43">
            <w:pPr>
              <w:jc w:val="center"/>
              <w:rPr>
                <w:color w:val="000000"/>
                <w:sz w:val="20"/>
                <w:szCs w:val="20"/>
              </w:rPr>
            </w:pPr>
            <w:r>
              <w:rPr>
                <w:color w:val="000000"/>
                <w:sz w:val="20"/>
                <w:szCs w:val="20"/>
              </w:rPr>
              <w:t>TDLA30-10</w:t>
            </w:r>
          </w:p>
        </w:tc>
        <w:tc>
          <w:tcPr>
            <w:tcW w:w="1213" w:type="dxa"/>
            <w:tcBorders>
              <w:top w:val="nil"/>
              <w:left w:val="nil"/>
              <w:bottom w:val="single" w:sz="4" w:space="0" w:color="auto"/>
              <w:right w:val="single" w:sz="4" w:space="0" w:color="auto"/>
            </w:tcBorders>
            <w:shd w:val="clear" w:color="auto" w:fill="auto"/>
            <w:noWrap/>
            <w:vAlign w:val="center"/>
            <w:hideMark/>
          </w:tcPr>
          <w:p w14:paraId="347A75E9" w14:textId="77777777" w:rsidR="00C12F43" w:rsidRDefault="00C12F43">
            <w:pPr>
              <w:jc w:val="center"/>
              <w:rPr>
                <w:color w:val="000000"/>
                <w:sz w:val="20"/>
                <w:szCs w:val="20"/>
              </w:rPr>
            </w:pPr>
            <w:r>
              <w:rPr>
                <w:color w:val="000000"/>
                <w:sz w:val="20"/>
                <w:szCs w:val="20"/>
              </w:rPr>
              <w:t>6.4</w:t>
            </w:r>
          </w:p>
        </w:tc>
        <w:tc>
          <w:tcPr>
            <w:tcW w:w="1387" w:type="dxa"/>
            <w:tcBorders>
              <w:top w:val="nil"/>
              <w:left w:val="nil"/>
              <w:bottom w:val="single" w:sz="4" w:space="0" w:color="auto"/>
              <w:right w:val="single" w:sz="4" w:space="0" w:color="auto"/>
            </w:tcBorders>
            <w:shd w:val="clear" w:color="auto" w:fill="auto"/>
            <w:noWrap/>
            <w:vAlign w:val="center"/>
            <w:hideMark/>
          </w:tcPr>
          <w:p w14:paraId="590A3898" w14:textId="77777777" w:rsidR="00C12F43" w:rsidRDefault="00C12F43">
            <w:pPr>
              <w:jc w:val="center"/>
              <w:rPr>
                <w:color w:val="000000"/>
                <w:sz w:val="20"/>
                <w:szCs w:val="20"/>
              </w:rPr>
            </w:pPr>
            <w:r>
              <w:rPr>
                <w:color w:val="000000"/>
                <w:sz w:val="20"/>
                <w:szCs w:val="20"/>
              </w:rPr>
              <w:t>8.4</w:t>
            </w:r>
          </w:p>
        </w:tc>
      </w:tr>
      <w:tr w:rsidR="00C12F43" w14:paraId="52C3A753" w14:textId="77777777" w:rsidTr="00C12F43">
        <w:trPr>
          <w:trHeight w:val="320"/>
          <w:jc w:val="center"/>
        </w:trPr>
        <w:tc>
          <w:tcPr>
            <w:tcW w:w="985" w:type="dxa"/>
            <w:vMerge/>
            <w:tcBorders>
              <w:top w:val="nil"/>
              <w:left w:val="single" w:sz="4" w:space="0" w:color="auto"/>
              <w:bottom w:val="single" w:sz="4" w:space="0" w:color="auto"/>
              <w:right w:val="single" w:sz="4" w:space="0" w:color="auto"/>
            </w:tcBorders>
            <w:vAlign w:val="center"/>
            <w:hideMark/>
          </w:tcPr>
          <w:p w14:paraId="0066820B" w14:textId="77777777" w:rsidR="00C12F43" w:rsidRDefault="00C12F43">
            <w:pPr>
              <w:rPr>
                <w:color w:val="000000"/>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77979438" w14:textId="77777777" w:rsidR="00C12F43" w:rsidRDefault="00C12F43">
            <w:pPr>
              <w:rPr>
                <w:color w:val="000000"/>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0D1E1957" w14:textId="77777777" w:rsidR="00C12F43" w:rsidRDefault="00C12F43">
            <w:pPr>
              <w:jc w:val="center"/>
              <w:rPr>
                <w:color w:val="000000"/>
                <w:sz w:val="20"/>
                <w:szCs w:val="20"/>
              </w:rPr>
            </w:pPr>
            <w:r>
              <w:rPr>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center"/>
            <w:hideMark/>
          </w:tcPr>
          <w:p w14:paraId="56BEDD2B" w14:textId="77777777" w:rsidR="00C12F43" w:rsidRDefault="00C12F43">
            <w:pPr>
              <w:jc w:val="center"/>
              <w:rPr>
                <w:color w:val="000000"/>
                <w:sz w:val="20"/>
                <w:szCs w:val="20"/>
              </w:rPr>
            </w:pPr>
            <w:r>
              <w:rPr>
                <w:color w:val="000000"/>
                <w:sz w:val="20"/>
                <w:szCs w:val="20"/>
              </w:rPr>
              <w:t xml:space="preserve">HomoNet </w:t>
            </w:r>
          </w:p>
        </w:tc>
        <w:tc>
          <w:tcPr>
            <w:tcW w:w="1555" w:type="dxa"/>
            <w:tcBorders>
              <w:top w:val="nil"/>
              <w:left w:val="nil"/>
              <w:bottom w:val="single" w:sz="4" w:space="0" w:color="auto"/>
              <w:right w:val="single" w:sz="4" w:space="0" w:color="auto"/>
            </w:tcBorders>
            <w:shd w:val="clear" w:color="auto" w:fill="auto"/>
            <w:noWrap/>
            <w:vAlign w:val="center"/>
            <w:hideMark/>
          </w:tcPr>
          <w:p w14:paraId="7337AE28" w14:textId="77777777" w:rsidR="00C12F43" w:rsidRDefault="00C12F43">
            <w:pPr>
              <w:jc w:val="center"/>
              <w:rPr>
                <w:color w:val="000000"/>
                <w:sz w:val="20"/>
                <w:szCs w:val="20"/>
              </w:rPr>
            </w:pPr>
            <w:r>
              <w:rPr>
                <w:color w:val="000000"/>
                <w:sz w:val="20"/>
                <w:szCs w:val="20"/>
              </w:rPr>
              <w:t>TDLC300-100</w:t>
            </w:r>
          </w:p>
        </w:tc>
        <w:tc>
          <w:tcPr>
            <w:tcW w:w="1213" w:type="dxa"/>
            <w:tcBorders>
              <w:top w:val="nil"/>
              <w:left w:val="nil"/>
              <w:bottom w:val="single" w:sz="4" w:space="0" w:color="auto"/>
              <w:right w:val="single" w:sz="4" w:space="0" w:color="auto"/>
            </w:tcBorders>
            <w:shd w:val="clear" w:color="auto" w:fill="auto"/>
            <w:noWrap/>
            <w:vAlign w:val="center"/>
            <w:hideMark/>
          </w:tcPr>
          <w:p w14:paraId="3A21382E" w14:textId="77777777" w:rsidR="00C12F43" w:rsidRDefault="00C12F43">
            <w:pPr>
              <w:jc w:val="center"/>
              <w:rPr>
                <w:color w:val="000000"/>
                <w:sz w:val="20"/>
                <w:szCs w:val="20"/>
              </w:rPr>
            </w:pPr>
            <w:r>
              <w:rPr>
                <w:color w:val="000000"/>
                <w:sz w:val="20"/>
                <w:szCs w:val="20"/>
              </w:rPr>
              <w:t>9.8</w:t>
            </w:r>
          </w:p>
        </w:tc>
        <w:tc>
          <w:tcPr>
            <w:tcW w:w="1387" w:type="dxa"/>
            <w:tcBorders>
              <w:top w:val="nil"/>
              <w:left w:val="nil"/>
              <w:bottom w:val="single" w:sz="4" w:space="0" w:color="auto"/>
              <w:right w:val="single" w:sz="4" w:space="0" w:color="auto"/>
            </w:tcBorders>
            <w:shd w:val="clear" w:color="auto" w:fill="auto"/>
            <w:noWrap/>
            <w:vAlign w:val="center"/>
            <w:hideMark/>
          </w:tcPr>
          <w:p w14:paraId="27751C19" w14:textId="77777777" w:rsidR="00C12F43" w:rsidRDefault="00C12F43">
            <w:pPr>
              <w:jc w:val="center"/>
              <w:rPr>
                <w:color w:val="000000"/>
                <w:sz w:val="20"/>
                <w:szCs w:val="20"/>
              </w:rPr>
            </w:pPr>
            <w:r>
              <w:rPr>
                <w:color w:val="000000"/>
                <w:sz w:val="20"/>
                <w:szCs w:val="20"/>
              </w:rPr>
              <w:t>11.8</w:t>
            </w:r>
          </w:p>
        </w:tc>
      </w:tr>
      <w:tr w:rsidR="00C12F43" w14:paraId="0A4C9499" w14:textId="77777777" w:rsidTr="00C12F43">
        <w:trPr>
          <w:trHeight w:val="320"/>
          <w:jc w:val="center"/>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F6F67E" w14:textId="77777777" w:rsidR="00C12F43" w:rsidRDefault="00C12F43">
            <w:pPr>
              <w:jc w:val="center"/>
              <w:rPr>
                <w:color w:val="000000"/>
                <w:sz w:val="20"/>
                <w:szCs w:val="20"/>
              </w:rPr>
            </w:pPr>
            <w:r>
              <w:rPr>
                <w:color w:val="000000"/>
                <w:sz w:val="20"/>
                <w:szCs w:val="20"/>
              </w:rPr>
              <w:t>TDD</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5B035C" w14:textId="77777777" w:rsidR="00C12F43" w:rsidRDefault="00C12F43">
            <w:pPr>
              <w:jc w:val="center"/>
              <w:rPr>
                <w:color w:val="000000"/>
                <w:sz w:val="20"/>
                <w:szCs w:val="20"/>
              </w:rPr>
            </w:pPr>
            <w:r>
              <w:rPr>
                <w:color w:val="000000"/>
                <w:sz w:val="20"/>
                <w:szCs w:val="20"/>
              </w:rPr>
              <w:t>2x2</w:t>
            </w:r>
          </w:p>
        </w:tc>
        <w:tc>
          <w:tcPr>
            <w:tcW w:w="1260" w:type="dxa"/>
            <w:tcBorders>
              <w:top w:val="nil"/>
              <w:left w:val="nil"/>
              <w:bottom w:val="single" w:sz="4" w:space="0" w:color="auto"/>
              <w:right w:val="single" w:sz="4" w:space="0" w:color="auto"/>
            </w:tcBorders>
            <w:shd w:val="clear" w:color="auto" w:fill="auto"/>
            <w:noWrap/>
            <w:vAlign w:val="center"/>
            <w:hideMark/>
          </w:tcPr>
          <w:p w14:paraId="2D9CB41E" w14:textId="77777777" w:rsidR="00C12F43" w:rsidRDefault="00C12F43">
            <w:pPr>
              <w:jc w:val="center"/>
              <w:rPr>
                <w:color w:val="000000"/>
                <w:sz w:val="20"/>
                <w:szCs w:val="20"/>
              </w:rPr>
            </w:pPr>
            <w:r>
              <w:rPr>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center"/>
            <w:hideMark/>
          </w:tcPr>
          <w:p w14:paraId="6FB6B89D" w14:textId="77777777" w:rsidR="00C12F43" w:rsidRDefault="00C12F43">
            <w:pPr>
              <w:jc w:val="center"/>
              <w:rPr>
                <w:color w:val="000000"/>
                <w:sz w:val="20"/>
                <w:szCs w:val="20"/>
              </w:rPr>
            </w:pPr>
            <w:r>
              <w:rPr>
                <w:color w:val="000000"/>
                <w:sz w:val="20"/>
                <w:szCs w:val="20"/>
              </w:rPr>
              <w:t> HetNet</w:t>
            </w:r>
          </w:p>
        </w:tc>
        <w:tc>
          <w:tcPr>
            <w:tcW w:w="1555" w:type="dxa"/>
            <w:tcBorders>
              <w:top w:val="nil"/>
              <w:left w:val="nil"/>
              <w:bottom w:val="single" w:sz="4" w:space="0" w:color="auto"/>
              <w:right w:val="single" w:sz="4" w:space="0" w:color="auto"/>
            </w:tcBorders>
            <w:shd w:val="clear" w:color="auto" w:fill="auto"/>
            <w:noWrap/>
            <w:vAlign w:val="center"/>
            <w:hideMark/>
          </w:tcPr>
          <w:p w14:paraId="4FD55772" w14:textId="77777777" w:rsidR="00C12F43" w:rsidRDefault="00C12F43">
            <w:pPr>
              <w:jc w:val="center"/>
              <w:rPr>
                <w:color w:val="000000"/>
                <w:sz w:val="20"/>
                <w:szCs w:val="20"/>
              </w:rPr>
            </w:pPr>
            <w:r>
              <w:rPr>
                <w:color w:val="000000"/>
                <w:sz w:val="20"/>
                <w:szCs w:val="20"/>
              </w:rPr>
              <w:t>TDLA30-10</w:t>
            </w:r>
          </w:p>
        </w:tc>
        <w:tc>
          <w:tcPr>
            <w:tcW w:w="1213" w:type="dxa"/>
            <w:tcBorders>
              <w:top w:val="nil"/>
              <w:left w:val="nil"/>
              <w:bottom w:val="single" w:sz="4" w:space="0" w:color="auto"/>
              <w:right w:val="single" w:sz="4" w:space="0" w:color="auto"/>
            </w:tcBorders>
            <w:shd w:val="clear" w:color="auto" w:fill="auto"/>
            <w:noWrap/>
            <w:vAlign w:val="center"/>
            <w:hideMark/>
          </w:tcPr>
          <w:p w14:paraId="4688865B" w14:textId="77777777" w:rsidR="00C12F43" w:rsidRDefault="00C12F43">
            <w:pPr>
              <w:jc w:val="center"/>
              <w:rPr>
                <w:color w:val="000000"/>
                <w:sz w:val="20"/>
                <w:szCs w:val="20"/>
              </w:rPr>
            </w:pPr>
            <w:r>
              <w:rPr>
                <w:color w:val="000000"/>
                <w:sz w:val="20"/>
                <w:szCs w:val="20"/>
              </w:rPr>
              <w:t>12.0</w:t>
            </w:r>
          </w:p>
        </w:tc>
        <w:tc>
          <w:tcPr>
            <w:tcW w:w="1387" w:type="dxa"/>
            <w:tcBorders>
              <w:top w:val="nil"/>
              <w:left w:val="nil"/>
              <w:bottom w:val="single" w:sz="4" w:space="0" w:color="auto"/>
              <w:right w:val="single" w:sz="4" w:space="0" w:color="auto"/>
            </w:tcBorders>
            <w:shd w:val="clear" w:color="auto" w:fill="auto"/>
            <w:noWrap/>
            <w:vAlign w:val="center"/>
            <w:hideMark/>
          </w:tcPr>
          <w:p w14:paraId="7E973802" w14:textId="77777777" w:rsidR="00C12F43" w:rsidRDefault="00C12F43">
            <w:pPr>
              <w:jc w:val="center"/>
              <w:rPr>
                <w:color w:val="000000"/>
                <w:sz w:val="20"/>
                <w:szCs w:val="20"/>
              </w:rPr>
            </w:pPr>
            <w:r>
              <w:rPr>
                <w:color w:val="000000"/>
                <w:sz w:val="20"/>
                <w:szCs w:val="20"/>
              </w:rPr>
              <w:t>14.0</w:t>
            </w:r>
          </w:p>
        </w:tc>
      </w:tr>
      <w:tr w:rsidR="00C12F43" w14:paraId="48194B1A" w14:textId="77777777" w:rsidTr="00C12F43">
        <w:trPr>
          <w:trHeight w:val="320"/>
          <w:jc w:val="center"/>
        </w:trPr>
        <w:tc>
          <w:tcPr>
            <w:tcW w:w="985" w:type="dxa"/>
            <w:vMerge/>
            <w:tcBorders>
              <w:top w:val="nil"/>
              <w:left w:val="single" w:sz="4" w:space="0" w:color="auto"/>
              <w:bottom w:val="single" w:sz="4" w:space="0" w:color="auto"/>
              <w:right w:val="single" w:sz="4" w:space="0" w:color="auto"/>
            </w:tcBorders>
            <w:vAlign w:val="center"/>
            <w:hideMark/>
          </w:tcPr>
          <w:p w14:paraId="36ED6C67" w14:textId="77777777" w:rsidR="00C12F43" w:rsidRDefault="00C12F43">
            <w:pPr>
              <w:rPr>
                <w:color w:val="000000"/>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4D647572" w14:textId="77777777" w:rsidR="00C12F43" w:rsidRDefault="00C12F43">
            <w:pPr>
              <w:rPr>
                <w:color w:val="000000"/>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21FA81F0" w14:textId="77777777" w:rsidR="00C12F43" w:rsidRDefault="00C12F43">
            <w:pPr>
              <w:jc w:val="center"/>
              <w:rPr>
                <w:color w:val="000000"/>
                <w:sz w:val="20"/>
                <w:szCs w:val="20"/>
              </w:rPr>
            </w:pPr>
            <w:r>
              <w:rPr>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center"/>
            <w:hideMark/>
          </w:tcPr>
          <w:p w14:paraId="2257A0C4" w14:textId="77777777" w:rsidR="00C12F43" w:rsidRDefault="00C12F43">
            <w:pPr>
              <w:jc w:val="center"/>
              <w:rPr>
                <w:color w:val="000000"/>
                <w:sz w:val="20"/>
                <w:szCs w:val="20"/>
              </w:rPr>
            </w:pPr>
            <w:r>
              <w:rPr>
                <w:color w:val="000000"/>
                <w:sz w:val="20"/>
                <w:szCs w:val="20"/>
              </w:rPr>
              <w:t xml:space="preserve">HomoNet </w:t>
            </w:r>
          </w:p>
        </w:tc>
        <w:tc>
          <w:tcPr>
            <w:tcW w:w="1555" w:type="dxa"/>
            <w:tcBorders>
              <w:top w:val="nil"/>
              <w:left w:val="nil"/>
              <w:bottom w:val="single" w:sz="4" w:space="0" w:color="auto"/>
              <w:right w:val="single" w:sz="4" w:space="0" w:color="auto"/>
            </w:tcBorders>
            <w:shd w:val="clear" w:color="auto" w:fill="auto"/>
            <w:noWrap/>
            <w:vAlign w:val="center"/>
            <w:hideMark/>
          </w:tcPr>
          <w:p w14:paraId="16BF4B1C" w14:textId="77777777" w:rsidR="00C12F43" w:rsidRDefault="00C12F43">
            <w:pPr>
              <w:jc w:val="center"/>
              <w:rPr>
                <w:color w:val="000000"/>
                <w:sz w:val="20"/>
                <w:szCs w:val="20"/>
              </w:rPr>
            </w:pPr>
            <w:r>
              <w:rPr>
                <w:color w:val="000000"/>
                <w:sz w:val="20"/>
                <w:szCs w:val="20"/>
              </w:rPr>
              <w:t>TDLC300-100</w:t>
            </w:r>
          </w:p>
        </w:tc>
        <w:tc>
          <w:tcPr>
            <w:tcW w:w="1213" w:type="dxa"/>
            <w:tcBorders>
              <w:top w:val="nil"/>
              <w:left w:val="nil"/>
              <w:bottom w:val="single" w:sz="4" w:space="0" w:color="auto"/>
              <w:right w:val="single" w:sz="4" w:space="0" w:color="auto"/>
            </w:tcBorders>
            <w:shd w:val="clear" w:color="auto" w:fill="auto"/>
            <w:noWrap/>
            <w:vAlign w:val="center"/>
            <w:hideMark/>
          </w:tcPr>
          <w:p w14:paraId="43B124B9" w14:textId="77777777" w:rsidR="00C12F43" w:rsidRDefault="00C12F43">
            <w:pPr>
              <w:jc w:val="center"/>
              <w:rPr>
                <w:color w:val="000000"/>
                <w:sz w:val="20"/>
                <w:szCs w:val="20"/>
              </w:rPr>
            </w:pPr>
            <w:r>
              <w:rPr>
                <w:color w:val="000000"/>
                <w:sz w:val="20"/>
                <w:szCs w:val="20"/>
              </w:rPr>
              <w:t>15.1</w:t>
            </w:r>
          </w:p>
        </w:tc>
        <w:tc>
          <w:tcPr>
            <w:tcW w:w="1387" w:type="dxa"/>
            <w:tcBorders>
              <w:top w:val="nil"/>
              <w:left w:val="nil"/>
              <w:bottom w:val="single" w:sz="4" w:space="0" w:color="auto"/>
              <w:right w:val="single" w:sz="4" w:space="0" w:color="auto"/>
            </w:tcBorders>
            <w:shd w:val="clear" w:color="auto" w:fill="auto"/>
            <w:noWrap/>
            <w:vAlign w:val="center"/>
            <w:hideMark/>
          </w:tcPr>
          <w:p w14:paraId="7DDAA5D8" w14:textId="77777777" w:rsidR="00C12F43" w:rsidRDefault="00C12F43">
            <w:pPr>
              <w:jc w:val="center"/>
              <w:rPr>
                <w:color w:val="000000"/>
                <w:sz w:val="20"/>
                <w:szCs w:val="20"/>
              </w:rPr>
            </w:pPr>
            <w:r>
              <w:rPr>
                <w:color w:val="000000"/>
                <w:sz w:val="20"/>
                <w:szCs w:val="20"/>
              </w:rPr>
              <w:t>17.1</w:t>
            </w:r>
          </w:p>
        </w:tc>
      </w:tr>
      <w:tr w:rsidR="00C12F43" w14:paraId="6FF797D9" w14:textId="77777777" w:rsidTr="00C12F43">
        <w:trPr>
          <w:trHeight w:val="320"/>
          <w:jc w:val="center"/>
        </w:trPr>
        <w:tc>
          <w:tcPr>
            <w:tcW w:w="985" w:type="dxa"/>
            <w:vMerge/>
            <w:tcBorders>
              <w:top w:val="nil"/>
              <w:left w:val="single" w:sz="4" w:space="0" w:color="auto"/>
              <w:bottom w:val="single" w:sz="4" w:space="0" w:color="auto"/>
              <w:right w:val="single" w:sz="4" w:space="0" w:color="auto"/>
            </w:tcBorders>
            <w:vAlign w:val="center"/>
            <w:hideMark/>
          </w:tcPr>
          <w:p w14:paraId="0D62F333" w14:textId="77777777" w:rsidR="00C12F43" w:rsidRDefault="00C12F43">
            <w:pPr>
              <w:rPr>
                <w:color w:val="000000"/>
                <w:sz w:val="20"/>
                <w:szCs w:val="20"/>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189B55" w14:textId="77777777" w:rsidR="00C12F43" w:rsidRDefault="00C12F43">
            <w:pPr>
              <w:jc w:val="center"/>
              <w:rPr>
                <w:color w:val="000000"/>
                <w:sz w:val="20"/>
                <w:szCs w:val="20"/>
              </w:rPr>
            </w:pPr>
            <w:r>
              <w:rPr>
                <w:color w:val="000000"/>
                <w:sz w:val="20"/>
                <w:szCs w:val="20"/>
              </w:rPr>
              <w:t>2x4</w:t>
            </w:r>
          </w:p>
        </w:tc>
        <w:tc>
          <w:tcPr>
            <w:tcW w:w="1260" w:type="dxa"/>
            <w:tcBorders>
              <w:top w:val="nil"/>
              <w:left w:val="nil"/>
              <w:bottom w:val="single" w:sz="4" w:space="0" w:color="auto"/>
              <w:right w:val="single" w:sz="4" w:space="0" w:color="auto"/>
            </w:tcBorders>
            <w:shd w:val="clear" w:color="auto" w:fill="auto"/>
            <w:noWrap/>
            <w:vAlign w:val="center"/>
            <w:hideMark/>
          </w:tcPr>
          <w:p w14:paraId="530BE15F" w14:textId="77777777" w:rsidR="00C12F43" w:rsidRDefault="00C12F43">
            <w:pPr>
              <w:jc w:val="center"/>
              <w:rPr>
                <w:color w:val="000000"/>
                <w:sz w:val="20"/>
                <w:szCs w:val="20"/>
              </w:rPr>
            </w:pPr>
            <w:r>
              <w:rPr>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center"/>
            <w:hideMark/>
          </w:tcPr>
          <w:p w14:paraId="09D1DD05" w14:textId="77777777" w:rsidR="00C12F43" w:rsidRDefault="00C12F43">
            <w:pPr>
              <w:jc w:val="center"/>
              <w:rPr>
                <w:color w:val="000000"/>
                <w:sz w:val="20"/>
                <w:szCs w:val="20"/>
              </w:rPr>
            </w:pPr>
            <w:r>
              <w:rPr>
                <w:color w:val="000000"/>
                <w:sz w:val="20"/>
                <w:szCs w:val="20"/>
              </w:rPr>
              <w:t> HetNet</w:t>
            </w:r>
          </w:p>
        </w:tc>
        <w:tc>
          <w:tcPr>
            <w:tcW w:w="1555" w:type="dxa"/>
            <w:tcBorders>
              <w:top w:val="nil"/>
              <w:left w:val="nil"/>
              <w:bottom w:val="single" w:sz="4" w:space="0" w:color="auto"/>
              <w:right w:val="single" w:sz="4" w:space="0" w:color="auto"/>
            </w:tcBorders>
            <w:shd w:val="clear" w:color="auto" w:fill="auto"/>
            <w:noWrap/>
            <w:vAlign w:val="center"/>
            <w:hideMark/>
          </w:tcPr>
          <w:p w14:paraId="5318C4AF" w14:textId="77777777" w:rsidR="00C12F43" w:rsidRDefault="00C12F43">
            <w:pPr>
              <w:jc w:val="center"/>
              <w:rPr>
                <w:color w:val="000000"/>
                <w:sz w:val="20"/>
                <w:szCs w:val="20"/>
              </w:rPr>
            </w:pPr>
            <w:r>
              <w:rPr>
                <w:color w:val="000000"/>
                <w:sz w:val="20"/>
                <w:szCs w:val="20"/>
              </w:rPr>
              <w:t>TDLA30-10</w:t>
            </w:r>
          </w:p>
        </w:tc>
        <w:tc>
          <w:tcPr>
            <w:tcW w:w="1213" w:type="dxa"/>
            <w:tcBorders>
              <w:top w:val="nil"/>
              <w:left w:val="nil"/>
              <w:bottom w:val="single" w:sz="4" w:space="0" w:color="auto"/>
              <w:right w:val="single" w:sz="4" w:space="0" w:color="auto"/>
            </w:tcBorders>
            <w:shd w:val="clear" w:color="auto" w:fill="auto"/>
            <w:noWrap/>
            <w:vAlign w:val="center"/>
            <w:hideMark/>
          </w:tcPr>
          <w:p w14:paraId="783E4C6E" w14:textId="77777777" w:rsidR="00C12F43" w:rsidRDefault="00C12F43">
            <w:pPr>
              <w:jc w:val="center"/>
              <w:rPr>
                <w:color w:val="000000"/>
                <w:sz w:val="20"/>
                <w:szCs w:val="20"/>
              </w:rPr>
            </w:pPr>
            <w:r>
              <w:rPr>
                <w:color w:val="000000"/>
                <w:sz w:val="20"/>
                <w:szCs w:val="20"/>
              </w:rPr>
              <w:t>7.1</w:t>
            </w:r>
          </w:p>
        </w:tc>
        <w:tc>
          <w:tcPr>
            <w:tcW w:w="1387" w:type="dxa"/>
            <w:tcBorders>
              <w:top w:val="nil"/>
              <w:left w:val="nil"/>
              <w:bottom w:val="single" w:sz="4" w:space="0" w:color="auto"/>
              <w:right w:val="single" w:sz="4" w:space="0" w:color="auto"/>
            </w:tcBorders>
            <w:shd w:val="clear" w:color="auto" w:fill="auto"/>
            <w:noWrap/>
            <w:vAlign w:val="center"/>
            <w:hideMark/>
          </w:tcPr>
          <w:p w14:paraId="09071685" w14:textId="77777777" w:rsidR="00C12F43" w:rsidRDefault="00C12F43">
            <w:pPr>
              <w:jc w:val="center"/>
              <w:rPr>
                <w:color w:val="000000"/>
                <w:sz w:val="20"/>
                <w:szCs w:val="20"/>
              </w:rPr>
            </w:pPr>
            <w:r>
              <w:rPr>
                <w:color w:val="000000"/>
                <w:sz w:val="20"/>
                <w:szCs w:val="20"/>
              </w:rPr>
              <w:t>9.1</w:t>
            </w:r>
          </w:p>
        </w:tc>
      </w:tr>
      <w:tr w:rsidR="00C12F43" w14:paraId="53B56486" w14:textId="77777777" w:rsidTr="00C12F43">
        <w:trPr>
          <w:trHeight w:val="320"/>
          <w:jc w:val="center"/>
        </w:trPr>
        <w:tc>
          <w:tcPr>
            <w:tcW w:w="985" w:type="dxa"/>
            <w:vMerge/>
            <w:tcBorders>
              <w:top w:val="nil"/>
              <w:left w:val="single" w:sz="4" w:space="0" w:color="auto"/>
              <w:bottom w:val="single" w:sz="4" w:space="0" w:color="auto"/>
              <w:right w:val="single" w:sz="4" w:space="0" w:color="auto"/>
            </w:tcBorders>
            <w:vAlign w:val="center"/>
            <w:hideMark/>
          </w:tcPr>
          <w:p w14:paraId="08894E21" w14:textId="77777777" w:rsidR="00C12F43" w:rsidRDefault="00C12F43">
            <w:pPr>
              <w:rPr>
                <w:color w:val="000000"/>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168709DA" w14:textId="77777777" w:rsidR="00C12F43" w:rsidRDefault="00C12F43">
            <w:pPr>
              <w:rPr>
                <w:color w:val="000000"/>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14:paraId="5591BD12" w14:textId="77777777" w:rsidR="00C12F43" w:rsidRDefault="00C12F43">
            <w:pPr>
              <w:jc w:val="center"/>
              <w:rPr>
                <w:color w:val="000000"/>
                <w:sz w:val="20"/>
                <w:szCs w:val="20"/>
              </w:rPr>
            </w:pPr>
            <w:r>
              <w:rPr>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center"/>
            <w:hideMark/>
          </w:tcPr>
          <w:p w14:paraId="530F4350" w14:textId="77777777" w:rsidR="00C12F43" w:rsidRDefault="00C12F43">
            <w:pPr>
              <w:jc w:val="center"/>
              <w:rPr>
                <w:color w:val="000000"/>
                <w:sz w:val="20"/>
                <w:szCs w:val="20"/>
              </w:rPr>
            </w:pPr>
            <w:r>
              <w:rPr>
                <w:color w:val="000000"/>
                <w:sz w:val="20"/>
                <w:szCs w:val="20"/>
              </w:rPr>
              <w:t xml:space="preserve">HomoNet </w:t>
            </w:r>
          </w:p>
        </w:tc>
        <w:tc>
          <w:tcPr>
            <w:tcW w:w="1555" w:type="dxa"/>
            <w:tcBorders>
              <w:top w:val="nil"/>
              <w:left w:val="nil"/>
              <w:bottom w:val="single" w:sz="4" w:space="0" w:color="auto"/>
              <w:right w:val="single" w:sz="4" w:space="0" w:color="auto"/>
            </w:tcBorders>
            <w:shd w:val="clear" w:color="auto" w:fill="auto"/>
            <w:noWrap/>
            <w:vAlign w:val="center"/>
            <w:hideMark/>
          </w:tcPr>
          <w:p w14:paraId="0B9643DC" w14:textId="77777777" w:rsidR="00C12F43" w:rsidRDefault="00C12F43">
            <w:pPr>
              <w:jc w:val="center"/>
              <w:rPr>
                <w:color w:val="000000"/>
                <w:sz w:val="20"/>
                <w:szCs w:val="20"/>
              </w:rPr>
            </w:pPr>
            <w:r>
              <w:rPr>
                <w:color w:val="000000"/>
                <w:sz w:val="20"/>
                <w:szCs w:val="20"/>
              </w:rPr>
              <w:t>TDLC300-100</w:t>
            </w:r>
          </w:p>
        </w:tc>
        <w:tc>
          <w:tcPr>
            <w:tcW w:w="1213" w:type="dxa"/>
            <w:tcBorders>
              <w:top w:val="nil"/>
              <w:left w:val="nil"/>
              <w:bottom w:val="single" w:sz="4" w:space="0" w:color="auto"/>
              <w:right w:val="single" w:sz="4" w:space="0" w:color="auto"/>
            </w:tcBorders>
            <w:shd w:val="clear" w:color="auto" w:fill="auto"/>
            <w:noWrap/>
            <w:vAlign w:val="center"/>
            <w:hideMark/>
          </w:tcPr>
          <w:p w14:paraId="1EB602B3" w14:textId="77777777" w:rsidR="00C12F43" w:rsidRDefault="00C12F43">
            <w:pPr>
              <w:jc w:val="center"/>
              <w:rPr>
                <w:color w:val="000000"/>
                <w:sz w:val="20"/>
                <w:szCs w:val="20"/>
              </w:rPr>
            </w:pPr>
            <w:r>
              <w:rPr>
                <w:color w:val="000000"/>
                <w:sz w:val="20"/>
                <w:szCs w:val="20"/>
              </w:rPr>
              <w:t>11.0</w:t>
            </w:r>
          </w:p>
        </w:tc>
        <w:tc>
          <w:tcPr>
            <w:tcW w:w="1387" w:type="dxa"/>
            <w:tcBorders>
              <w:top w:val="nil"/>
              <w:left w:val="nil"/>
              <w:bottom w:val="single" w:sz="4" w:space="0" w:color="auto"/>
              <w:right w:val="single" w:sz="4" w:space="0" w:color="auto"/>
            </w:tcBorders>
            <w:shd w:val="clear" w:color="auto" w:fill="auto"/>
            <w:noWrap/>
            <w:vAlign w:val="center"/>
            <w:hideMark/>
          </w:tcPr>
          <w:p w14:paraId="47925436" w14:textId="77777777" w:rsidR="00C12F43" w:rsidRDefault="00C12F43">
            <w:pPr>
              <w:jc w:val="center"/>
              <w:rPr>
                <w:color w:val="000000"/>
                <w:sz w:val="20"/>
                <w:szCs w:val="20"/>
              </w:rPr>
            </w:pPr>
            <w:r>
              <w:rPr>
                <w:color w:val="000000"/>
                <w:sz w:val="20"/>
                <w:szCs w:val="20"/>
              </w:rPr>
              <w:t>13.0</w:t>
            </w:r>
          </w:p>
        </w:tc>
      </w:tr>
    </w:tbl>
    <w:p w14:paraId="73C41606" w14:textId="690C8877" w:rsidR="00C12F43" w:rsidRDefault="00C12F43" w:rsidP="005B410D">
      <w:pPr>
        <w:spacing w:after="120"/>
        <w:rPr>
          <w:rFonts w:eastAsia="SimSun"/>
          <w:sz w:val="20"/>
          <w:szCs w:val="20"/>
          <w:lang w:val="en-GB" w:eastAsia="en-GB"/>
        </w:rPr>
      </w:pPr>
    </w:p>
    <w:p w14:paraId="3950AB9D" w14:textId="04A09D58" w:rsidR="00C12F43" w:rsidRPr="00C12F43" w:rsidRDefault="00C12F43" w:rsidP="00C12F43">
      <w:pPr>
        <w:spacing w:after="120"/>
        <w:rPr>
          <w:rFonts w:eastAsia="SimSun"/>
          <w:b/>
          <w:bCs/>
          <w:sz w:val="20"/>
          <w:szCs w:val="20"/>
          <w:u w:val="single"/>
          <w:lang w:val="en-GB" w:eastAsia="en-GB"/>
        </w:rPr>
      </w:pPr>
      <w:r>
        <w:rPr>
          <w:rFonts w:eastAsia="SimSun"/>
          <w:b/>
          <w:bCs/>
          <w:sz w:val="20"/>
          <w:szCs w:val="20"/>
          <w:u w:val="single"/>
          <w:lang w:val="en-GB" w:eastAsia="en-GB"/>
        </w:rPr>
        <w:t>CQI Reporting</w:t>
      </w:r>
      <w:r w:rsidRPr="00C12F43">
        <w:rPr>
          <w:rFonts w:eastAsia="SimSun"/>
          <w:b/>
          <w:bCs/>
          <w:sz w:val="20"/>
          <w:szCs w:val="20"/>
          <w:u w:val="single"/>
          <w:lang w:val="en-GB" w:eastAsia="en-GB"/>
        </w:rPr>
        <w:t xml:space="preserve"> in ICI</w:t>
      </w:r>
    </w:p>
    <w:p w14:paraId="20DC2A54" w14:textId="1205E906" w:rsidR="00C12F43" w:rsidRDefault="00C12F43" w:rsidP="005B410D">
      <w:pPr>
        <w:spacing w:after="120"/>
        <w:rPr>
          <w:rFonts w:eastAsia="SimSun"/>
          <w:sz w:val="20"/>
          <w:szCs w:val="20"/>
          <w:lang w:val="en-GB" w:eastAsia="en-GB"/>
        </w:rPr>
      </w:pPr>
      <w:r>
        <w:rPr>
          <w:rFonts w:eastAsia="SimSun"/>
          <w:sz w:val="20"/>
          <w:szCs w:val="20"/>
          <w:lang w:val="en-GB" w:eastAsia="en-GB"/>
        </w:rPr>
        <w:t>Based on the agreed simulation assumptions we provide results for CQI reporting in ICI below.</w:t>
      </w:r>
    </w:p>
    <w:p w14:paraId="082D755E" w14:textId="7D3BE15F" w:rsidR="00C12F43" w:rsidRDefault="00C12F43" w:rsidP="00C12F43">
      <w:pPr>
        <w:pStyle w:val="Caption"/>
        <w:keepNext/>
        <w:jc w:val="center"/>
      </w:pPr>
      <w:r>
        <w:t xml:space="preserve">Table </w:t>
      </w:r>
      <w:fldSimple w:instr=" SEQ Table \* ARABIC ">
        <w:r>
          <w:rPr>
            <w:noProof/>
          </w:rPr>
          <w:t>3</w:t>
        </w:r>
      </w:fldSimple>
      <w:r>
        <w:t>: TP Gain for CQI reporting in ICI</w:t>
      </w:r>
    </w:p>
    <w:tbl>
      <w:tblPr>
        <w:tblStyle w:val="TableGrid"/>
        <w:tblW w:w="0" w:type="auto"/>
        <w:jc w:val="center"/>
        <w:tblLook w:val="04A0" w:firstRow="1" w:lastRow="0" w:firstColumn="1" w:lastColumn="0" w:noHBand="0" w:noVBand="1"/>
      </w:tblPr>
      <w:tblGrid>
        <w:gridCol w:w="1029"/>
        <w:gridCol w:w="1090"/>
        <w:gridCol w:w="1045"/>
        <w:gridCol w:w="1045"/>
      </w:tblGrid>
      <w:tr w:rsidR="00C12F43" w:rsidRPr="00526314" w14:paraId="10C7A44B" w14:textId="77777777" w:rsidTr="00B97BCC">
        <w:trPr>
          <w:trHeight w:val="683"/>
          <w:jc w:val="center"/>
        </w:trPr>
        <w:tc>
          <w:tcPr>
            <w:tcW w:w="1029" w:type="dxa"/>
            <w:vAlign w:val="center"/>
            <w:hideMark/>
          </w:tcPr>
          <w:p w14:paraId="52FC5AA8" w14:textId="77777777" w:rsidR="00C12F43" w:rsidRPr="00526314" w:rsidRDefault="00C12F43" w:rsidP="00B97BCC">
            <w:pPr>
              <w:spacing w:after="120"/>
              <w:jc w:val="center"/>
              <w:rPr>
                <w:rFonts w:eastAsia="SimSun"/>
                <w:b/>
                <w:bCs/>
                <w:sz w:val="20"/>
                <w:szCs w:val="20"/>
                <w:lang w:eastAsia="en-GB"/>
              </w:rPr>
            </w:pPr>
            <w:r w:rsidRPr="00526314">
              <w:rPr>
                <w:rFonts w:eastAsia="SimSun"/>
                <w:b/>
                <w:bCs/>
                <w:sz w:val="20"/>
                <w:szCs w:val="20"/>
                <w:lang w:eastAsia="en-GB"/>
              </w:rPr>
              <w:t>Duplex mode</w:t>
            </w:r>
          </w:p>
        </w:tc>
        <w:tc>
          <w:tcPr>
            <w:tcW w:w="1090" w:type="dxa"/>
            <w:vAlign w:val="center"/>
            <w:hideMark/>
          </w:tcPr>
          <w:p w14:paraId="362ED21F" w14:textId="77777777" w:rsidR="00C12F43" w:rsidRPr="00526314" w:rsidRDefault="00C12F43" w:rsidP="00B97BCC">
            <w:pPr>
              <w:spacing w:after="120"/>
              <w:jc w:val="center"/>
              <w:rPr>
                <w:rFonts w:eastAsia="SimSun"/>
                <w:b/>
                <w:bCs/>
                <w:sz w:val="20"/>
                <w:szCs w:val="20"/>
                <w:lang w:eastAsia="en-GB"/>
              </w:rPr>
            </w:pPr>
            <w:r w:rsidRPr="00526314">
              <w:rPr>
                <w:rFonts w:eastAsia="SimSun"/>
                <w:b/>
                <w:bCs/>
                <w:sz w:val="20"/>
                <w:szCs w:val="20"/>
                <w:lang w:eastAsia="en-GB"/>
              </w:rPr>
              <w:t>Antenna config</w:t>
            </w:r>
          </w:p>
        </w:tc>
        <w:tc>
          <w:tcPr>
            <w:tcW w:w="1045" w:type="dxa"/>
            <w:vAlign w:val="center"/>
            <w:hideMark/>
          </w:tcPr>
          <w:p w14:paraId="3D3FC91A" w14:textId="77777777" w:rsidR="00C12F43" w:rsidRPr="00526314" w:rsidRDefault="00C12F43" w:rsidP="00B97BCC">
            <w:pPr>
              <w:spacing w:after="120"/>
              <w:jc w:val="center"/>
              <w:rPr>
                <w:rFonts w:eastAsia="SimSun"/>
                <w:b/>
                <w:bCs/>
                <w:sz w:val="20"/>
                <w:szCs w:val="20"/>
                <w:lang w:eastAsia="en-GB"/>
              </w:rPr>
            </w:pPr>
            <w:r w:rsidRPr="00526314">
              <w:rPr>
                <w:rFonts w:eastAsia="SimSun"/>
                <w:b/>
                <w:bCs/>
                <w:sz w:val="20"/>
                <w:szCs w:val="20"/>
                <w:lang w:eastAsia="en-GB"/>
              </w:rPr>
              <w:t>SINR (dB)</w:t>
            </w:r>
          </w:p>
        </w:tc>
        <w:tc>
          <w:tcPr>
            <w:tcW w:w="1045" w:type="dxa"/>
          </w:tcPr>
          <w:p w14:paraId="5312BC1E" w14:textId="77777777" w:rsidR="00C12F43" w:rsidRPr="00526314" w:rsidRDefault="00C12F43" w:rsidP="00B97BCC">
            <w:pPr>
              <w:spacing w:after="120"/>
              <w:jc w:val="center"/>
              <w:rPr>
                <w:rFonts w:eastAsia="SimSun"/>
                <w:b/>
                <w:bCs/>
                <w:sz w:val="20"/>
                <w:szCs w:val="20"/>
                <w:lang w:eastAsia="en-GB"/>
              </w:rPr>
            </w:pPr>
            <w:r>
              <w:rPr>
                <w:rFonts w:eastAsia="SimSun"/>
                <w:b/>
                <w:bCs/>
                <w:sz w:val="20"/>
                <w:szCs w:val="20"/>
                <w:lang w:eastAsia="en-GB"/>
              </w:rPr>
              <w:t>TP Gain</w:t>
            </w:r>
          </w:p>
        </w:tc>
      </w:tr>
      <w:tr w:rsidR="00C12F43" w:rsidRPr="00526314" w14:paraId="46407248" w14:textId="77777777" w:rsidTr="00B97BCC">
        <w:trPr>
          <w:trHeight w:val="320"/>
          <w:jc w:val="center"/>
        </w:trPr>
        <w:tc>
          <w:tcPr>
            <w:tcW w:w="1029" w:type="dxa"/>
            <w:vMerge w:val="restart"/>
            <w:noWrap/>
            <w:vAlign w:val="center"/>
            <w:hideMark/>
          </w:tcPr>
          <w:p w14:paraId="55F6791B" w14:textId="77777777" w:rsidR="00C12F43" w:rsidRPr="00526314" w:rsidRDefault="00C12F43" w:rsidP="00B97BCC">
            <w:pPr>
              <w:spacing w:after="120"/>
              <w:jc w:val="center"/>
              <w:rPr>
                <w:rFonts w:eastAsia="SimSun"/>
                <w:sz w:val="20"/>
                <w:szCs w:val="20"/>
                <w:lang w:eastAsia="en-GB"/>
              </w:rPr>
            </w:pPr>
            <w:r w:rsidRPr="00526314">
              <w:rPr>
                <w:rFonts w:eastAsia="SimSun"/>
                <w:sz w:val="20"/>
                <w:szCs w:val="20"/>
                <w:lang w:eastAsia="en-GB"/>
              </w:rPr>
              <w:t>FDD</w:t>
            </w:r>
          </w:p>
        </w:tc>
        <w:tc>
          <w:tcPr>
            <w:tcW w:w="1090" w:type="dxa"/>
            <w:vAlign w:val="center"/>
            <w:hideMark/>
          </w:tcPr>
          <w:p w14:paraId="6B90F2EC" w14:textId="77777777" w:rsidR="00C12F43" w:rsidRPr="00526314" w:rsidRDefault="00C12F43" w:rsidP="00B97BCC">
            <w:pPr>
              <w:spacing w:after="120"/>
              <w:jc w:val="center"/>
              <w:rPr>
                <w:rFonts w:eastAsia="SimSun"/>
                <w:sz w:val="20"/>
                <w:szCs w:val="20"/>
                <w:lang w:eastAsia="en-GB"/>
              </w:rPr>
            </w:pPr>
            <w:r w:rsidRPr="00526314">
              <w:rPr>
                <w:rFonts w:eastAsia="SimSun"/>
                <w:sz w:val="20"/>
                <w:szCs w:val="20"/>
                <w:lang w:eastAsia="en-GB"/>
              </w:rPr>
              <w:t>2T2R</w:t>
            </w:r>
          </w:p>
        </w:tc>
        <w:tc>
          <w:tcPr>
            <w:tcW w:w="1045" w:type="dxa"/>
            <w:vAlign w:val="center"/>
            <w:hideMark/>
          </w:tcPr>
          <w:p w14:paraId="32C43A13" w14:textId="77777777" w:rsidR="00C12F43" w:rsidRPr="00526314" w:rsidRDefault="00C12F43" w:rsidP="00B97BCC">
            <w:pPr>
              <w:spacing w:after="120"/>
              <w:jc w:val="center"/>
              <w:rPr>
                <w:rFonts w:eastAsia="SimSun"/>
                <w:sz w:val="20"/>
                <w:szCs w:val="20"/>
                <w:lang w:eastAsia="en-GB"/>
              </w:rPr>
            </w:pPr>
            <w:r w:rsidRPr="00526314">
              <w:rPr>
                <w:rFonts w:eastAsia="SimSun"/>
                <w:sz w:val="20"/>
                <w:szCs w:val="20"/>
                <w:lang w:eastAsia="en-GB"/>
              </w:rPr>
              <w:t>-2</w:t>
            </w:r>
          </w:p>
        </w:tc>
        <w:tc>
          <w:tcPr>
            <w:tcW w:w="1045" w:type="dxa"/>
            <w:vAlign w:val="center"/>
          </w:tcPr>
          <w:p w14:paraId="2CF4CBF0" w14:textId="77777777" w:rsidR="00C12F43" w:rsidRPr="00526314" w:rsidRDefault="00C12F43" w:rsidP="00B97BCC">
            <w:pPr>
              <w:spacing w:after="120"/>
              <w:jc w:val="center"/>
              <w:rPr>
                <w:rFonts w:eastAsia="SimSun"/>
                <w:sz w:val="20"/>
                <w:szCs w:val="20"/>
                <w:lang w:eastAsia="en-GB"/>
              </w:rPr>
            </w:pPr>
            <w:r w:rsidRPr="00830460">
              <w:rPr>
                <w:rFonts w:eastAsia="SimSun"/>
                <w:sz w:val="20"/>
                <w:szCs w:val="20"/>
                <w:lang w:eastAsia="en-GB"/>
              </w:rPr>
              <w:t>2.0</w:t>
            </w:r>
          </w:p>
        </w:tc>
      </w:tr>
      <w:tr w:rsidR="00C12F43" w:rsidRPr="00526314" w14:paraId="3612ADA1" w14:textId="77777777" w:rsidTr="00B97BCC">
        <w:trPr>
          <w:trHeight w:val="320"/>
          <w:jc w:val="center"/>
        </w:trPr>
        <w:tc>
          <w:tcPr>
            <w:tcW w:w="1029" w:type="dxa"/>
            <w:vMerge/>
            <w:vAlign w:val="center"/>
            <w:hideMark/>
          </w:tcPr>
          <w:p w14:paraId="316D018F" w14:textId="77777777" w:rsidR="00C12F43" w:rsidRPr="00526314" w:rsidRDefault="00C12F43" w:rsidP="00B97BCC">
            <w:pPr>
              <w:spacing w:after="120"/>
              <w:jc w:val="center"/>
              <w:rPr>
                <w:rFonts w:eastAsia="SimSun"/>
                <w:sz w:val="20"/>
                <w:szCs w:val="20"/>
                <w:lang w:eastAsia="en-GB"/>
              </w:rPr>
            </w:pPr>
          </w:p>
        </w:tc>
        <w:tc>
          <w:tcPr>
            <w:tcW w:w="1090" w:type="dxa"/>
            <w:vAlign w:val="center"/>
            <w:hideMark/>
          </w:tcPr>
          <w:p w14:paraId="3DE196C7" w14:textId="77777777" w:rsidR="00C12F43" w:rsidRPr="00526314" w:rsidRDefault="00C12F43" w:rsidP="00B97BCC">
            <w:pPr>
              <w:spacing w:after="120"/>
              <w:jc w:val="center"/>
              <w:rPr>
                <w:rFonts w:eastAsia="SimSun"/>
                <w:sz w:val="20"/>
                <w:szCs w:val="20"/>
                <w:lang w:eastAsia="en-GB"/>
              </w:rPr>
            </w:pPr>
            <w:r w:rsidRPr="00526314">
              <w:rPr>
                <w:rFonts w:eastAsia="SimSun"/>
                <w:sz w:val="20"/>
                <w:szCs w:val="20"/>
                <w:lang w:eastAsia="en-GB"/>
              </w:rPr>
              <w:t>2T4R</w:t>
            </w:r>
          </w:p>
        </w:tc>
        <w:tc>
          <w:tcPr>
            <w:tcW w:w="1045" w:type="dxa"/>
            <w:vAlign w:val="center"/>
            <w:hideMark/>
          </w:tcPr>
          <w:p w14:paraId="1262233E" w14:textId="77777777" w:rsidR="00C12F43" w:rsidRPr="00526314" w:rsidRDefault="00C12F43" w:rsidP="00B97BCC">
            <w:pPr>
              <w:spacing w:after="120"/>
              <w:jc w:val="center"/>
              <w:rPr>
                <w:rFonts w:eastAsia="SimSun"/>
                <w:sz w:val="20"/>
                <w:szCs w:val="20"/>
                <w:lang w:eastAsia="en-GB"/>
              </w:rPr>
            </w:pPr>
            <w:r w:rsidRPr="00526314">
              <w:rPr>
                <w:rFonts w:eastAsia="SimSun"/>
                <w:sz w:val="20"/>
                <w:szCs w:val="20"/>
                <w:lang w:eastAsia="en-GB"/>
              </w:rPr>
              <w:t>-2</w:t>
            </w:r>
          </w:p>
        </w:tc>
        <w:tc>
          <w:tcPr>
            <w:tcW w:w="1045" w:type="dxa"/>
            <w:vAlign w:val="center"/>
          </w:tcPr>
          <w:p w14:paraId="59EEB7EC" w14:textId="77777777" w:rsidR="00C12F43" w:rsidRPr="00526314" w:rsidRDefault="00C12F43" w:rsidP="00B97BCC">
            <w:pPr>
              <w:spacing w:after="120"/>
              <w:jc w:val="center"/>
              <w:rPr>
                <w:rFonts w:eastAsia="SimSun"/>
                <w:sz w:val="20"/>
                <w:szCs w:val="20"/>
                <w:lang w:eastAsia="en-GB"/>
              </w:rPr>
            </w:pPr>
            <w:r w:rsidRPr="00830460">
              <w:rPr>
                <w:rFonts w:eastAsia="SimSun"/>
                <w:sz w:val="20"/>
                <w:szCs w:val="20"/>
                <w:lang w:eastAsia="en-GB"/>
              </w:rPr>
              <w:t>2.3</w:t>
            </w:r>
          </w:p>
        </w:tc>
      </w:tr>
      <w:tr w:rsidR="00C12F43" w:rsidRPr="00526314" w14:paraId="305BFB45" w14:textId="77777777" w:rsidTr="00B97BCC">
        <w:trPr>
          <w:trHeight w:val="320"/>
          <w:jc w:val="center"/>
        </w:trPr>
        <w:tc>
          <w:tcPr>
            <w:tcW w:w="1029" w:type="dxa"/>
            <w:vMerge w:val="restart"/>
            <w:noWrap/>
            <w:vAlign w:val="center"/>
            <w:hideMark/>
          </w:tcPr>
          <w:p w14:paraId="059BCB9D" w14:textId="77777777" w:rsidR="00C12F43" w:rsidRPr="00526314" w:rsidRDefault="00C12F43" w:rsidP="00B97BCC">
            <w:pPr>
              <w:spacing w:after="120"/>
              <w:jc w:val="center"/>
              <w:rPr>
                <w:rFonts w:eastAsia="SimSun"/>
                <w:sz w:val="20"/>
                <w:szCs w:val="20"/>
                <w:lang w:eastAsia="en-GB"/>
              </w:rPr>
            </w:pPr>
            <w:r w:rsidRPr="00526314">
              <w:rPr>
                <w:rFonts w:eastAsia="SimSun"/>
                <w:sz w:val="20"/>
                <w:szCs w:val="20"/>
                <w:lang w:eastAsia="en-GB"/>
              </w:rPr>
              <w:t>TDD</w:t>
            </w:r>
          </w:p>
        </w:tc>
        <w:tc>
          <w:tcPr>
            <w:tcW w:w="1090" w:type="dxa"/>
            <w:vAlign w:val="center"/>
            <w:hideMark/>
          </w:tcPr>
          <w:p w14:paraId="44DEFC82" w14:textId="77777777" w:rsidR="00C12F43" w:rsidRPr="00526314" w:rsidRDefault="00C12F43" w:rsidP="00B97BCC">
            <w:pPr>
              <w:spacing w:after="120"/>
              <w:jc w:val="center"/>
              <w:rPr>
                <w:rFonts w:eastAsia="SimSun"/>
                <w:sz w:val="20"/>
                <w:szCs w:val="20"/>
                <w:lang w:eastAsia="en-GB"/>
              </w:rPr>
            </w:pPr>
            <w:r w:rsidRPr="00526314">
              <w:rPr>
                <w:rFonts w:eastAsia="SimSun"/>
                <w:sz w:val="20"/>
                <w:szCs w:val="20"/>
                <w:lang w:eastAsia="en-GB"/>
              </w:rPr>
              <w:t>2T2R</w:t>
            </w:r>
          </w:p>
        </w:tc>
        <w:tc>
          <w:tcPr>
            <w:tcW w:w="1045" w:type="dxa"/>
            <w:vAlign w:val="center"/>
            <w:hideMark/>
          </w:tcPr>
          <w:p w14:paraId="3989E317" w14:textId="77777777" w:rsidR="00C12F43" w:rsidRPr="00526314" w:rsidRDefault="00C12F43" w:rsidP="00B97BCC">
            <w:pPr>
              <w:spacing w:after="120"/>
              <w:jc w:val="center"/>
              <w:rPr>
                <w:rFonts w:eastAsia="SimSun"/>
                <w:sz w:val="20"/>
                <w:szCs w:val="20"/>
                <w:lang w:eastAsia="en-GB"/>
              </w:rPr>
            </w:pPr>
            <w:r w:rsidRPr="00526314">
              <w:rPr>
                <w:rFonts w:eastAsia="SimSun"/>
                <w:sz w:val="20"/>
                <w:szCs w:val="20"/>
                <w:lang w:eastAsia="en-GB"/>
              </w:rPr>
              <w:t>-2</w:t>
            </w:r>
          </w:p>
        </w:tc>
        <w:tc>
          <w:tcPr>
            <w:tcW w:w="1045" w:type="dxa"/>
            <w:vAlign w:val="center"/>
          </w:tcPr>
          <w:p w14:paraId="79D9B75A" w14:textId="77777777" w:rsidR="00C12F43" w:rsidRPr="00526314" w:rsidRDefault="00C12F43" w:rsidP="00B97BCC">
            <w:pPr>
              <w:spacing w:after="120"/>
              <w:jc w:val="center"/>
              <w:rPr>
                <w:rFonts w:eastAsia="SimSun"/>
                <w:sz w:val="20"/>
                <w:szCs w:val="20"/>
                <w:lang w:eastAsia="en-GB"/>
              </w:rPr>
            </w:pPr>
            <w:r w:rsidRPr="00830460">
              <w:rPr>
                <w:rFonts w:eastAsia="SimSun"/>
                <w:sz w:val="20"/>
                <w:szCs w:val="20"/>
                <w:lang w:eastAsia="en-GB"/>
              </w:rPr>
              <w:t>2.1</w:t>
            </w:r>
          </w:p>
        </w:tc>
      </w:tr>
      <w:tr w:rsidR="00C12F43" w:rsidRPr="00526314" w14:paraId="4ADB1FB9" w14:textId="77777777" w:rsidTr="00B97BCC">
        <w:trPr>
          <w:trHeight w:val="320"/>
          <w:jc w:val="center"/>
        </w:trPr>
        <w:tc>
          <w:tcPr>
            <w:tcW w:w="1029" w:type="dxa"/>
            <w:vMerge/>
            <w:vAlign w:val="center"/>
            <w:hideMark/>
          </w:tcPr>
          <w:p w14:paraId="53C35E68" w14:textId="77777777" w:rsidR="00C12F43" w:rsidRPr="00526314" w:rsidRDefault="00C12F43" w:rsidP="00B97BCC">
            <w:pPr>
              <w:spacing w:after="120"/>
              <w:jc w:val="center"/>
              <w:rPr>
                <w:rFonts w:eastAsia="SimSun"/>
                <w:sz w:val="20"/>
                <w:szCs w:val="20"/>
                <w:lang w:eastAsia="en-GB"/>
              </w:rPr>
            </w:pPr>
          </w:p>
        </w:tc>
        <w:tc>
          <w:tcPr>
            <w:tcW w:w="1090" w:type="dxa"/>
            <w:vAlign w:val="center"/>
            <w:hideMark/>
          </w:tcPr>
          <w:p w14:paraId="09099B8B" w14:textId="77777777" w:rsidR="00C12F43" w:rsidRPr="00526314" w:rsidRDefault="00C12F43" w:rsidP="00B97BCC">
            <w:pPr>
              <w:spacing w:after="120"/>
              <w:jc w:val="center"/>
              <w:rPr>
                <w:rFonts w:eastAsia="SimSun"/>
                <w:sz w:val="20"/>
                <w:szCs w:val="20"/>
                <w:lang w:eastAsia="en-GB"/>
              </w:rPr>
            </w:pPr>
            <w:r w:rsidRPr="00526314">
              <w:rPr>
                <w:rFonts w:eastAsia="SimSun"/>
                <w:sz w:val="20"/>
                <w:szCs w:val="20"/>
                <w:lang w:eastAsia="en-GB"/>
              </w:rPr>
              <w:t>2T4R</w:t>
            </w:r>
          </w:p>
        </w:tc>
        <w:tc>
          <w:tcPr>
            <w:tcW w:w="1045" w:type="dxa"/>
            <w:vAlign w:val="center"/>
            <w:hideMark/>
          </w:tcPr>
          <w:p w14:paraId="50A0DC37" w14:textId="77777777" w:rsidR="00C12F43" w:rsidRPr="00526314" w:rsidRDefault="00C12F43" w:rsidP="00B97BCC">
            <w:pPr>
              <w:spacing w:after="120"/>
              <w:jc w:val="center"/>
              <w:rPr>
                <w:rFonts w:eastAsia="SimSun"/>
                <w:sz w:val="20"/>
                <w:szCs w:val="20"/>
                <w:lang w:eastAsia="en-GB"/>
              </w:rPr>
            </w:pPr>
            <w:r w:rsidRPr="00526314">
              <w:rPr>
                <w:rFonts w:eastAsia="SimSun"/>
                <w:sz w:val="20"/>
                <w:szCs w:val="20"/>
                <w:lang w:eastAsia="en-GB"/>
              </w:rPr>
              <w:t>-2</w:t>
            </w:r>
          </w:p>
        </w:tc>
        <w:tc>
          <w:tcPr>
            <w:tcW w:w="1045" w:type="dxa"/>
            <w:vAlign w:val="center"/>
          </w:tcPr>
          <w:p w14:paraId="462D1713" w14:textId="77777777" w:rsidR="00C12F43" w:rsidRPr="00526314" w:rsidRDefault="00C12F43" w:rsidP="00B97BCC">
            <w:pPr>
              <w:spacing w:after="120"/>
              <w:jc w:val="center"/>
              <w:rPr>
                <w:rFonts w:eastAsia="SimSun"/>
                <w:sz w:val="20"/>
                <w:szCs w:val="20"/>
                <w:lang w:eastAsia="en-GB"/>
              </w:rPr>
            </w:pPr>
            <w:r w:rsidRPr="00830460">
              <w:rPr>
                <w:rFonts w:eastAsia="SimSun"/>
                <w:sz w:val="20"/>
                <w:szCs w:val="20"/>
                <w:lang w:eastAsia="en-GB"/>
              </w:rPr>
              <w:t>2.2</w:t>
            </w:r>
          </w:p>
        </w:tc>
      </w:tr>
    </w:tbl>
    <w:p w14:paraId="6B10C429" w14:textId="77777777" w:rsidR="00C12F43" w:rsidRPr="005B410D" w:rsidRDefault="00C12F43" w:rsidP="005B410D">
      <w:pPr>
        <w:spacing w:after="120"/>
        <w:rPr>
          <w:rFonts w:eastAsia="SimSun"/>
          <w:sz w:val="20"/>
          <w:szCs w:val="20"/>
          <w:lang w:val="en-GB" w:eastAsia="en-GB"/>
        </w:rPr>
      </w:pPr>
    </w:p>
    <w:p w14:paraId="0B3141EF" w14:textId="5B7D5DC5" w:rsidR="009F52D7" w:rsidRPr="002F79EB" w:rsidRDefault="00DA24C0" w:rsidP="009F52D7">
      <w:pPr>
        <w:pStyle w:val="Heading1"/>
        <w:rPr>
          <w:lang w:val="en-US"/>
        </w:rPr>
      </w:pPr>
      <w:r>
        <w:rPr>
          <w:lang w:val="en-US"/>
        </w:rPr>
        <w:t>4</w:t>
      </w:r>
      <w:r w:rsidR="009F52D7">
        <w:rPr>
          <w:lang w:val="en-US"/>
        </w:rPr>
        <w:t>. Conclusion</w:t>
      </w:r>
    </w:p>
    <w:p w14:paraId="2A735BCF" w14:textId="51FFFED6" w:rsidR="00D16F3A" w:rsidRPr="005B410D" w:rsidRDefault="00D16F3A" w:rsidP="00D16F3A">
      <w:pPr>
        <w:spacing w:after="120"/>
        <w:rPr>
          <w:sz w:val="20"/>
          <w:szCs w:val="20"/>
        </w:rPr>
      </w:pPr>
      <w:r w:rsidRPr="001F11DE">
        <w:rPr>
          <w:sz w:val="20"/>
          <w:szCs w:val="20"/>
        </w:rPr>
        <w:t xml:space="preserve">In this paper, we provide our views on the open issues for requirements definition for PDSCH demod </w:t>
      </w:r>
      <w:r w:rsidR="00C12F43">
        <w:rPr>
          <w:sz w:val="20"/>
          <w:szCs w:val="20"/>
        </w:rPr>
        <w:t>and CQI reporting in</w:t>
      </w:r>
      <w:r w:rsidRPr="001F11DE">
        <w:rPr>
          <w:sz w:val="20"/>
          <w:szCs w:val="20"/>
        </w:rPr>
        <w:t xml:space="preserve"> ICI and simulation results</w:t>
      </w:r>
      <w:r>
        <w:rPr>
          <w:sz w:val="20"/>
          <w:szCs w:val="20"/>
        </w:rPr>
        <w:t xml:space="preserve"> for requirements definition</w:t>
      </w:r>
      <w:r w:rsidRPr="001F11DE">
        <w:rPr>
          <w:sz w:val="20"/>
          <w:szCs w:val="20"/>
        </w:rPr>
        <w:t>. Our proposals are captured below:</w:t>
      </w:r>
    </w:p>
    <w:p w14:paraId="64BB8F07" w14:textId="77777777" w:rsidR="00C12F43" w:rsidRDefault="00C12F43" w:rsidP="00C12F43">
      <w:pPr>
        <w:spacing w:after="120"/>
        <w:rPr>
          <w:rFonts w:eastAsia="SimSun"/>
          <w:b/>
          <w:bCs/>
          <w:sz w:val="20"/>
          <w:szCs w:val="20"/>
          <w:lang w:eastAsia="en-GB"/>
        </w:rPr>
      </w:pPr>
      <w:r>
        <w:rPr>
          <w:rFonts w:eastAsia="SimSun"/>
          <w:b/>
          <w:bCs/>
          <w:sz w:val="20"/>
          <w:szCs w:val="20"/>
          <w:lang w:val="en-GB" w:eastAsia="en-GB"/>
        </w:rPr>
        <w:t xml:space="preserve">Proposal #1: For interference modelling in PDCCH </w:t>
      </w:r>
      <w:r>
        <w:rPr>
          <w:rFonts w:eastAsia="SimSun"/>
          <w:b/>
          <w:bCs/>
          <w:sz w:val="20"/>
          <w:szCs w:val="20"/>
          <w:lang w:eastAsia="en-GB"/>
        </w:rPr>
        <w:t>a</w:t>
      </w:r>
      <w:r w:rsidRPr="0017238B">
        <w:rPr>
          <w:rFonts w:eastAsia="SimSun"/>
          <w:b/>
          <w:bCs/>
          <w:sz w:val="20"/>
          <w:szCs w:val="20"/>
          <w:lang w:eastAsia="en-GB"/>
        </w:rPr>
        <w:t>ssume PDCCH transmission from interference cells</w:t>
      </w:r>
      <w:r>
        <w:rPr>
          <w:rFonts w:eastAsia="SimSun"/>
          <w:b/>
          <w:bCs/>
          <w:sz w:val="20"/>
          <w:szCs w:val="20"/>
          <w:lang w:eastAsia="en-GB"/>
        </w:rPr>
        <w:t xml:space="preserve">, with OCNG on unoccupied </w:t>
      </w:r>
      <w:proofErr w:type="spellStart"/>
      <w:r>
        <w:rPr>
          <w:rFonts w:eastAsia="SimSun"/>
          <w:b/>
          <w:bCs/>
          <w:sz w:val="20"/>
          <w:szCs w:val="20"/>
          <w:lang w:eastAsia="en-GB"/>
        </w:rPr>
        <w:t>REs.</w:t>
      </w:r>
      <w:proofErr w:type="spellEnd"/>
    </w:p>
    <w:p w14:paraId="0A6AF5C9" w14:textId="4463C542" w:rsidR="00C12F43" w:rsidRDefault="00C12F43" w:rsidP="00C12F43">
      <w:pPr>
        <w:spacing w:after="120"/>
        <w:rPr>
          <w:rFonts w:eastAsia="SimSun"/>
          <w:b/>
          <w:bCs/>
          <w:sz w:val="20"/>
          <w:szCs w:val="20"/>
          <w:lang w:val="en-GB" w:eastAsia="en-GB"/>
        </w:rPr>
      </w:pPr>
      <w:r>
        <w:rPr>
          <w:rFonts w:eastAsia="SimSun"/>
          <w:b/>
          <w:bCs/>
          <w:sz w:val="20"/>
          <w:szCs w:val="20"/>
          <w:lang w:val="en-GB" w:eastAsia="en-GB"/>
        </w:rPr>
        <w:t xml:space="preserve">Proposal #2: Set the TP gain requirement for CQI reporting in ICI as 1.8 for 2RX and 1.9 for 4RX considering impairment margin. </w:t>
      </w:r>
    </w:p>
    <w:p w14:paraId="42935961" w14:textId="1388CA54" w:rsidR="00C12F43" w:rsidRPr="004B6849" w:rsidRDefault="00C12F43" w:rsidP="00C12F43">
      <w:pPr>
        <w:spacing w:after="120"/>
        <w:rPr>
          <w:rFonts w:eastAsia="SimSun"/>
          <w:b/>
          <w:bCs/>
          <w:sz w:val="20"/>
          <w:szCs w:val="20"/>
          <w:lang w:val="en-GB" w:eastAsia="en-GB"/>
        </w:rPr>
      </w:pPr>
    </w:p>
    <w:p w14:paraId="43538C86" w14:textId="77777777" w:rsidR="009F52D7" w:rsidRDefault="009F52D7" w:rsidP="009F52D7">
      <w:pPr>
        <w:pStyle w:val="Heading1"/>
        <w:ind w:left="432" w:hanging="432"/>
        <w:rPr>
          <w:lang w:val="en-US"/>
        </w:rPr>
      </w:pPr>
      <w:r>
        <w:rPr>
          <w:lang w:val="en-US"/>
        </w:rPr>
        <w:t>Reference</w:t>
      </w:r>
    </w:p>
    <w:p w14:paraId="509A2F1D" w14:textId="6B0317DF" w:rsidR="00C94AC7" w:rsidRPr="00E55591" w:rsidRDefault="00631307" w:rsidP="00C94AC7">
      <w:pPr>
        <w:pStyle w:val="ListParagraph"/>
        <w:numPr>
          <w:ilvl w:val="0"/>
          <w:numId w:val="2"/>
        </w:numPr>
        <w:spacing w:after="120"/>
        <w:ind w:firstLineChars="0"/>
        <w:jc w:val="both"/>
        <w:rPr>
          <w:rFonts w:ascii="Times New Roman" w:hAnsi="Times New Roman" w:cs="Times New Roman"/>
          <w:sz w:val="20"/>
          <w:szCs w:val="20"/>
        </w:rPr>
      </w:pPr>
      <w:r w:rsidRPr="00631307">
        <w:rPr>
          <w:rFonts w:ascii="Times New Roman" w:hAnsi="Times New Roman" w:cs="Times New Roman"/>
          <w:sz w:val="20"/>
          <w:szCs w:val="20"/>
          <w:lang w:val="en-GB"/>
        </w:rPr>
        <w:t>R4-2210681</w:t>
      </w:r>
      <w:r w:rsidR="00C94AC7" w:rsidRPr="00E55591">
        <w:rPr>
          <w:rFonts w:ascii="Times New Roman" w:hAnsi="Times New Roman" w:cs="Times New Roman"/>
          <w:sz w:val="20"/>
          <w:szCs w:val="20"/>
        </w:rPr>
        <w:t>, “</w:t>
      </w:r>
      <w:r w:rsidRPr="00631307">
        <w:rPr>
          <w:rFonts w:ascii="Times New Roman" w:hAnsi="Times New Roman" w:cs="Times New Roman"/>
          <w:sz w:val="20"/>
          <w:szCs w:val="20"/>
        </w:rPr>
        <w:t>WF on PDSCH demod and CSI requirements for inter-cell interference MMSE-IRC</w:t>
      </w:r>
      <w:r w:rsidR="00C94AC7" w:rsidRPr="00E55591">
        <w:rPr>
          <w:rFonts w:ascii="Times New Roman" w:hAnsi="Times New Roman" w:cs="Times New Roman"/>
          <w:sz w:val="20"/>
          <w:szCs w:val="20"/>
        </w:rPr>
        <w:t xml:space="preserve">”, </w:t>
      </w:r>
      <w:r>
        <w:rPr>
          <w:rFonts w:ascii="Times New Roman" w:hAnsi="Times New Roman" w:cs="Times New Roman"/>
          <w:sz w:val="20"/>
          <w:szCs w:val="20"/>
        </w:rPr>
        <w:t>Ericsson</w:t>
      </w:r>
      <w:r w:rsidR="00C94AC7" w:rsidRPr="00E55591">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259338048">
    <w:abstractNumId w:val="2"/>
  </w:num>
  <w:num w:numId="2" w16cid:durableId="1198423226">
    <w:abstractNumId w:val="4"/>
  </w:num>
  <w:num w:numId="3" w16cid:durableId="1064061569">
    <w:abstractNumId w:val="3"/>
  </w:num>
  <w:num w:numId="4" w16cid:durableId="1117142815">
    <w:abstractNumId w:val="0"/>
  </w:num>
  <w:num w:numId="5" w16cid:durableId="1069688094">
    <w:abstractNumId w:val="5"/>
  </w:num>
  <w:num w:numId="6" w16cid:durableId="20444820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D5873"/>
    <w:rsid w:val="00104D5D"/>
    <w:rsid w:val="00121828"/>
    <w:rsid w:val="0017238B"/>
    <w:rsid w:val="00177147"/>
    <w:rsid w:val="00190238"/>
    <w:rsid w:val="001B5D0A"/>
    <w:rsid w:val="001C663E"/>
    <w:rsid w:val="00210E45"/>
    <w:rsid w:val="002870EA"/>
    <w:rsid w:val="002F4FA3"/>
    <w:rsid w:val="00322A55"/>
    <w:rsid w:val="00474453"/>
    <w:rsid w:val="004B6849"/>
    <w:rsid w:val="004D1584"/>
    <w:rsid w:val="0051665C"/>
    <w:rsid w:val="00526314"/>
    <w:rsid w:val="0057184D"/>
    <w:rsid w:val="005B410D"/>
    <w:rsid w:val="005D1B1F"/>
    <w:rsid w:val="005F5A7E"/>
    <w:rsid w:val="00626BDE"/>
    <w:rsid w:val="00631307"/>
    <w:rsid w:val="006F6BCA"/>
    <w:rsid w:val="00775238"/>
    <w:rsid w:val="00787DF9"/>
    <w:rsid w:val="007A3BE1"/>
    <w:rsid w:val="007C626C"/>
    <w:rsid w:val="00830460"/>
    <w:rsid w:val="0083467F"/>
    <w:rsid w:val="0087325A"/>
    <w:rsid w:val="00924CB2"/>
    <w:rsid w:val="00932C93"/>
    <w:rsid w:val="00951300"/>
    <w:rsid w:val="00970536"/>
    <w:rsid w:val="009776DC"/>
    <w:rsid w:val="009B4DF5"/>
    <w:rsid w:val="009C1F3F"/>
    <w:rsid w:val="009D596C"/>
    <w:rsid w:val="009F52D7"/>
    <w:rsid w:val="00A211CC"/>
    <w:rsid w:val="00A51A5E"/>
    <w:rsid w:val="00AC413B"/>
    <w:rsid w:val="00B00412"/>
    <w:rsid w:val="00B8567C"/>
    <w:rsid w:val="00C12F43"/>
    <w:rsid w:val="00C94AC7"/>
    <w:rsid w:val="00CD0F63"/>
    <w:rsid w:val="00D15D3E"/>
    <w:rsid w:val="00D167C7"/>
    <w:rsid w:val="00D16F3A"/>
    <w:rsid w:val="00DA24C0"/>
    <w:rsid w:val="00DB6943"/>
    <w:rsid w:val="00DC3489"/>
    <w:rsid w:val="00DF1ED2"/>
    <w:rsid w:val="00E55591"/>
    <w:rsid w:val="00E5586A"/>
    <w:rsid w:val="00E9138B"/>
    <w:rsid w:val="00F07C35"/>
    <w:rsid w:val="00F309F7"/>
    <w:rsid w:val="00F441E8"/>
    <w:rsid w:val="00F555F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682</Words>
  <Characters>3858</Characters>
  <Application>Microsoft Office Word</Application>
  <DocSecurity>0</DocSecurity>
  <Lines>482</Lines>
  <Paragraphs>226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2022-08-10T06:35:00Z</dcterms:created>
  <dcterms:modified xsi:type="dcterms:W3CDTF">2022-08-10T06:35:00Z</dcterms:modified>
</cp:coreProperties>
</file>