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6C573F0"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102</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20</w:t>
      </w:r>
      <w:r w:rsidR="007D2E38">
        <w:rPr>
          <w:b/>
          <w:noProof/>
          <w:sz w:val="24"/>
        </w:rPr>
        <w:t>6060</w:t>
      </w:r>
    </w:p>
    <w:p w14:paraId="5379D604" w14:textId="72A0D182"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6061A6">
        <w:rPr>
          <w:rFonts w:ascii="Arial" w:hAnsi="Arial" w:cs="Arial"/>
          <w:b/>
          <w:sz w:val="24"/>
        </w:rPr>
        <w:t>Feb.-Mar</w:t>
      </w:r>
      <w:r w:rsidR="00E40F6A">
        <w:rPr>
          <w:rFonts w:ascii="Arial" w:hAnsi="Arial" w:cs="Arial"/>
          <w:b/>
          <w:sz w:val="24"/>
        </w:rPr>
        <w:t>.</w:t>
      </w:r>
      <w:r w:rsidR="008F67FD">
        <w:rPr>
          <w:rFonts w:ascii="Arial" w:hAnsi="Arial" w:cs="Arial"/>
          <w:b/>
          <w:sz w:val="24"/>
        </w:rPr>
        <w:t xml:space="preserve"> 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4311218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AE693A">
        <w:rPr>
          <w:rFonts w:ascii="Arial" w:hAnsi="Arial" w:cs="Arial"/>
          <w:b/>
        </w:rPr>
        <w:t>On</w:t>
      </w:r>
      <w:r w:rsidR="00F8080A" w:rsidRPr="00F8080A">
        <w:rPr>
          <w:rFonts w:ascii="Arial" w:hAnsi="Arial" w:cs="Arial"/>
          <w:b/>
        </w:rPr>
        <w:t xml:space="preserve"> </w:t>
      </w:r>
      <w:r w:rsidR="002B1256">
        <w:rPr>
          <w:rFonts w:ascii="Arial" w:hAnsi="Arial" w:cs="Arial"/>
          <w:b/>
        </w:rPr>
        <w:t xml:space="preserve">reply to RAN5 on </w:t>
      </w:r>
      <w:r w:rsidR="00F8080A" w:rsidRPr="00F8080A">
        <w:rPr>
          <w:rFonts w:ascii="Arial" w:hAnsi="Arial" w:cs="Arial"/>
          <w:b/>
        </w:rPr>
        <w:t xml:space="preserve">FR2 </w:t>
      </w:r>
      <w:r w:rsidR="00DC66DD">
        <w:rPr>
          <w:rFonts w:ascii="Arial" w:hAnsi="Arial" w:cs="Arial"/>
          <w:b/>
        </w:rPr>
        <w:t xml:space="preserve">requirement applicability over ETC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11EB2AD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061A6">
        <w:rPr>
          <w:rFonts w:ascii="Arial" w:hAnsi="Arial" w:cs="Arial"/>
          <w:b/>
        </w:rPr>
        <w:t>13.2.2</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20C805ED" w:rsidR="002B2323" w:rsidRPr="002E2724" w:rsidRDefault="002B1256" w:rsidP="002B2323">
      <w:pPr>
        <w:rPr>
          <w:rFonts w:ascii="Calibri" w:hAnsi="Calibri" w:cs="Calibri"/>
        </w:rPr>
      </w:pPr>
      <w:r>
        <w:rPr>
          <w:rFonts w:ascii="Calibri" w:hAnsi="Calibri" w:cs="Calibri"/>
        </w:rPr>
        <w:t>RAN4 discussion on wording in</w:t>
      </w:r>
      <w:r w:rsidR="001A5601">
        <w:rPr>
          <w:rFonts w:ascii="Calibri" w:hAnsi="Calibri" w:cs="Calibri"/>
        </w:rPr>
        <w:t xml:space="preserve"> </w:t>
      </w:r>
      <w:r w:rsidR="00B247DC">
        <w:rPr>
          <w:rFonts w:ascii="Calibri" w:hAnsi="Calibri" w:cs="Calibri"/>
        </w:rPr>
        <w:t xml:space="preserve">TS38.101-2 </w:t>
      </w:r>
      <w:r>
        <w:rPr>
          <w:rFonts w:ascii="Calibri" w:hAnsi="Calibri" w:cs="Calibri"/>
        </w:rPr>
        <w:t>pertaining to ETC applicability revealed that there is lack of common understanding on this subject. It behoves RAN4 to first establish common understanding before</w:t>
      </w:r>
      <w:r w:rsidR="004B7658">
        <w:rPr>
          <w:rFonts w:ascii="Calibri" w:hAnsi="Calibri" w:cs="Calibri"/>
        </w:rPr>
        <w:t xml:space="preserve"> responding to the LS from RAN5 on the same subject [1].</w:t>
      </w:r>
    </w:p>
    <w:p w14:paraId="0AB8A81A" w14:textId="57C4ED7A" w:rsidR="004E0CD1" w:rsidRDefault="000A567D" w:rsidP="004E0CD1">
      <w:pPr>
        <w:pStyle w:val="Heading1"/>
      </w:pPr>
      <w:r>
        <w:t xml:space="preserve">2. </w:t>
      </w:r>
      <w:r>
        <w:tab/>
      </w:r>
      <w:r w:rsidR="002A1C01">
        <w:t>Discussion</w:t>
      </w:r>
    </w:p>
    <w:p w14:paraId="5993E405" w14:textId="078A884E" w:rsidR="006A5D79" w:rsidRDefault="006A5D79" w:rsidP="00FC72AF">
      <w:pPr>
        <w:spacing w:after="120"/>
        <w:rPr>
          <w:rFonts w:asciiTheme="minorHAnsi" w:hAnsiTheme="minorHAnsi" w:cstheme="minorHAnsi"/>
        </w:rPr>
      </w:pPr>
      <w:bookmarkStart w:id="3" w:name="_Hlk78640772"/>
      <w:r>
        <w:rPr>
          <w:rFonts w:asciiTheme="minorHAnsi" w:hAnsiTheme="minorHAnsi" w:cstheme="minorHAnsi"/>
        </w:rPr>
        <w:t>The LS from RAN5 on ETC [1] contains a list of core requirements that are applicable only over NTC</w:t>
      </w:r>
      <w:r w:rsidR="005A2A8F">
        <w:rPr>
          <w:rFonts w:asciiTheme="minorHAnsi" w:hAnsiTheme="minorHAnsi" w:cstheme="minorHAnsi"/>
        </w:rPr>
        <w:t xml:space="preserve">, as </w:t>
      </w:r>
      <w:r w:rsidR="00436908">
        <w:rPr>
          <w:rFonts w:asciiTheme="minorHAnsi" w:hAnsiTheme="minorHAnsi" w:cstheme="minorHAnsi"/>
        </w:rPr>
        <w:t>RAN5 understands it</w:t>
      </w:r>
      <w:r>
        <w:rPr>
          <w:rFonts w:asciiTheme="minorHAnsi" w:hAnsiTheme="minorHAnsi" w:cstheme="minorHAnsi"/>
        </w:rPr>
        <w:t>:</w:t>
      </w:r>
    </w:p>
    <w:p w14:paraId="094616FF" w14:textId="20F66E94" w:rsidR="006A5D79" w:rsidRDefault="005A2A8F" w:rsidP="00FC72AF">
      <w:pPr>
        <w:spacing w:after="120"/>
        <w:rPr>
          <w:rFonts w:asciiTheme="minorHAnsi" w:hAnsiTheme="minorHAnsi" w:cstheme="minorHAnsi"/>
        </w:rPr>
      </w:pPr>
      <w:r>
        <w:rPr>
          <w:noProof/>
        </w:rPr>
        <w:drawing>
          <wp:inline distT="0" distB="0" distL="0" distR="0" wp14:anchorId="6356942D" wp14:editId="2634260B">
            <wp:extent cx="4348667" cy="1245186"/>
            <wp:effectExtent l="152400" t="152400" r="356870" b="3556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3226" cy="1257945"/>
                    </a:xfrm>
                    <a:prstGeom prst="rect">
                      <a:avLst/>
                    </a:prstGeom>
                    <a:ln>
                      <a:noFill/>
                    </a:ln>
                    <a:effectLst>
                      <a:outerShdw blurRad="292100" dist="139700" dir="2700000" algn="tl" rotWithShape="0">
                        <a:srgbClr val="333333">
                          <a:alpha val="65000"/>
                        </a:srgbClr>
                      </a:outerShdw>
                    </a:effectLst>
                  </pic:spPr>
                </pic:pic>
              </a:graphicData>
            </a:graphic>
          </wp:inline>
        </w:drawing>
      </w:r>
    </w:p>
    <w:p w14:paraId="4EBC45FE" w14:textId="3313FEEB" w:rsidR="001A5601" w:rsidRDefault="001F5956" w:rsidP="00FC72AF">
      <w:pPr>
        <w:spacing w:after="120"/>
        <w:rPr>
          <w:rFonts w:asciiTheme="minorHAnsi" w:hAnsiTheme="minorHAnsi" w:cstheme="minorHAnsi"/>
        </w:rPr>
      </w:pPr>
      <w:r>
        <w:rPr>
          <w:rFonts w:asciiTheme="minorHAnsi" w:hAnsiTheme="minorHAnsi" w:cstheme="minorHAnsi"/>
        </w:rPr>
        <w:t>In [2] we highlighted how</w:t>
      </w:r>
      <w:r w:rsidR="00DC602D">
        <w:rPr>
          <w:rFonts w:asciiTheme="minorHAnsi" w:hAnsiTheme="minorHAnsi" w:cstheme="minorHAnsi"/>
        </w:rPr>
        <w:t xml:space="preserve"> t</w:t>
      </w:r>
      <w:r w:rsidR="001A5601">
        <w:rPr>
          <w:rFonts w:asciiTheme="minorHAnsi" w:hAnsiTheme="minorHAnsi" w:cstheme="minorHAnsi"/>
        </w:rPr>
        <w:t xml:space="preserve">he core requirement </w:t>
      </w:r>
      <w:r w:rsidR="006117BD">
        <w:rPr>
          <w:rFonts w:asciiTheme="minorHAnsi" w:hAnsiTheme="minorHAnsi" w:cstheme="minorHAnsi"/>
        </w:rPr>
        <w:t>(TS 38.101-2) co</w:t>
      </w:r>
      <w:r w:rsidR="00B247DC">
        <w:rPr>
          <w:rFonts w:asciiTheme="minorHAnsi" w:hAnsiTheme="minorHAnsi" w:cstheme="minorHAnsi"/>
        </w:rPr>
        <w:t>ntains 2 types of exemptions relat</w:t>
      </w:r>
      <w:r w:rsidR="00D2140A">
        <w:rPr>
          <w:rFonts w:asciiTheme="minorHAnsi" w:hAnsiTheme="minorHAnsi" w:cstheme="minorHAnsi"/>
        </w:rPr>
        <w:t>ed</w:t>
      </w:r>
      <w:r w:rsidR="00B247DC">
        <w:rPr>
          <w:rFonts w:asciiTheme="minorHAnsi" w:hAnsiTheme="minorHAnsi" w:cstheme="minorHAnsi"/>
        </w:rPr>
        <w:t xml:space="preserve"> to ETC </w:t>
      </w:r>
      <w:r w:rsidR="00DC602D">
        <w:rPr>
          <w:rFonts w:asciiTheme="minorHAnsi" w:hAnsiTheme="minorHAnsi" w:cstheme="minorHAnsi"/>
        </w:rPr>
        <w:t>testing</w:t>
      </w:r>
      <w:r w:rsidR="003F4010">
        <w:rPr>
          <w:rFonts w:asciiTheme="minorHAnsi" w:hAnsiTheme="minorHAnsi" w:cstheme="minorHAnsi"/>
        </w:rPr>
        <w:t xml:space="preserve">, but the LS from RAN5 combined them into one category. Discussion in RAN4 revealed diverse views on the subject, which means RAN4 </w:t>
      </w:r>
      <w:r w:rsidR="000734FD">
        <w:rPr>
          <w:rFonts w:asciiTheme="minorHAnsi" w:hAnsiTheme="minorHAnsi" w:cstheme="minorHAnsi"/>
        </w:rPr>
        <w:t>is not ready to share</w:t>
      </w:r>
      <w:r w:rsidR="00A77F6E">
        <w:rPr>
          <w:rFonts w:asciiTheme="minorHAnsi" w:hAnsiTheme="minorHAnsi" w:cstheme="minorHAnsi"/>
        </w:rPr>
        <w:t xml:space="preserve"> any clarification externally.</w:t>
      </w:r>
    </w:p>
    <w:bookmarkEnd w:id="3"/>
    <w:p w14:paraId="07D34B93" w14:textId="24E12B75" w:rsidR="00CF2856" w:rsidRDefault="00CF2856" w:rsidP="002D653A">
      <w:pPr>
        <w:spacing w:after="120"/>
        <w:rPr>
          <w:rFonts w:asciiTheme="minorHAnsi" w:hAnsiTheme="minorHAnsi" w:cstheme="minorHAnsi"/>
          <w:b/>
          <w:bCs/>
        </w:rPr>
      </w:pPr>
      <w:r w:rsidRPr="00DB3D2A">
        <w:rPr>
          <w:rFonts w:asciiTheme="minorHAnsi" w:hAnsiTheme="minorHAnsi" w:cstheme="minorHAnsi"/>
          <w:b/>
          <w:bCs/>
        </w:rPr>
        <w:t xml:space="preserve">Proposal: </w:t>
      </w:r>
      <w:r w:rsidR="00A77F6E">
        <w:rPr>
          <w:rFonts w:asciiTheme="minorHAnsi" w:hAnsiTheme="minorHAnsi" w:cstheme="minorHAnsi"/>
          <w:b/>
          <w:bCs/>
        </w:rPr>
        <w:t>RAN4 to establish common understanding on ETC applicability of requirements prior to replying externally on the subject.</w:t>
      </w:r>
    </w:p>
    <w:p w14:paraId="6D4CE1A5" w14:textId="2667FC35" w:rsidR="00A77F6E" w:rsidRPr="00A77F6E" w:rsidRDefault="00A77F6E" w:rsidP="002D653A">
      <w:pPr>
        <w:spacing w:after="120"/>
        <w:rPr>
          <w:rFonts w:asciiTheme="minorHAnsi" w:hAnsiTheme="minorHAnsi" w:cstheme="minorHAnsi"/>
        </w:rPr>
      </w:pPr>
      <w:r>
        <w:rPr>
          <w:rFonts w:asciiTheme="minorHAnsi" w:hAnsiTheme="minorHAnsi" w:cstheme="minorHAnsi"/>
        </w:rPr>
        <w:t xml:space="preserve">RAN5 has appendix E </w:t>
      </w:r>
      <w:r w:rsidR="00064F15">
        <w:rPr>
          <w:rFonts w:asciiTheme="minorHAnsi" w:hAnsiTheme="minorHAnsi" w:cstheme="minorHAnsi"/>
        </w:rPr>
        <w:t xml:space="preserve">of 38.101-2 </w:t>
      </w:r>
      <w:r>
        <w:rPr>
          <w:rFonts w:asciiTheme="minorHAnsi" w:hAnsiTheme="minorHAnsi" w:cstheme="minorHAnsi"/>
        </w:rPr>
        <w:t>to consult in the interim.</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312D661"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2021</w:t>
      </w:r>
    </w:p>
    <w:p w14:paraId="030DB326" w14:textId="6FBD6EB9" w:rsidR="00800FD7" w:rsidRPr="00800FD7" w:rsidRDefault="00800FD7" w:rsidP="00800FD7">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211</w:t>
      </w:r>
      <w:r w:rsidR="002B1256">
        <w:rPr>
          <w:rFonts w:ascii="Arial" w:eastAsia="SimSun" w:hAnsi="Arial" w:cs="Arial"/>
          <w:bCs/>
          <w:sz w:val="18"/>
          <w:szCs w:val="18"/>
          <w:lang w:val="en-US" w:eastAsia="en-GB"/>
        </w:rPr>
        <w:t>9420</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800FD7">
        <w:rPr>
          <w:rFonts w:ascii="Arial" w:eastAsia="SimSun" w:hAnsi="Arial" w:cs="Arial"/>
          <w:bCs/>
          <w:sz w:val="18"/>
          <w:szCs w:val="18"/>
          <w:lang w:val="en-US" w:eastAsia="en-GB"/>
        </w:rPr>
        <w:t>On FR2 requirement applicability over ETC</w:t>
      </w:r>
      <w:r>
        <w:rPr>
          <w:rFonts w:ascii="Arial" w:eastAsia="SimSun" w:hAnsi="Arial" w:cs="Arial"/>
          <w:bCs/>
          <w:sz w:val="18"/>
          <w:szCs w:val="18"/>
          <w:lang w:val="en-US" w:eastAsia="en-GB"/>
        </w:rPr>
        <w:t>’, Qualcomm, RAN4#101-e, Nov. 2021</w:t>
      </w:r>
    </w:p>
    <w:sectPr w:rsidR="00800FD7"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10"/>
  </w:num>
  <w:num w:numId="8">
    <w:abstractNumId w:val="9"/>
  </w:num>
  <w:num w:numId="9">
    <w:abstractNumId w:val="8"/>
  </w:num>
  <w:num w:numId="10">
    <w:abstractNumId w:val="1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4F15"/>
    <w:rsid w:val="0006555D"/>
    <w:rsid w:val="00066D96"/>
    <w:rsid w:val="000674DC"/>
    <w:rsid w:val="00070248"/>
    <w:rsid w:val="00070868"/>
    <w:rsid w:val="00072010"/>
    <w:rsid w:val="00072326"/>
    <w:rsid w:val="000726D8"/>
    <w:rsid w:val="000734FD"/>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2A10"/>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4B4D"/>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4B8"/>
    <w:rsid w:val="003F0999"/>
    <w:rsid w:val="003F0A17"/>
    <w:rsid w:val="003F0C7A"/>
    <w:rsid w:val="003F0FD4"/>
    <w:rsid w:val="003F1E51"/>
    <w:rsid w:val="003F2703"/>
    <w:rsid w:val="003F273F"/>
    <w:rsid w:val="003F36E4"/>
    <w:rsid w:val="003F3BE5"/>
    <w:rsid w:val="003F4010"/>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658"/>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1A6"/>
    <w:rsid w:val="00606A5C"/>
    <w:rsid w:val="00606A5F"/>
    <w:rsid w:val="006072DA"/>
    <w:rsid w:val="006075D8"/>
    <w:rsid w:val="00610416"/>
    <w:rsid w:val="00610BAA"/>
    <w:rsid w:val="006117BD"/>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323"/>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107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6021"/>
    <w:rsid w:val="008C6982"/>
    <w:rsid w:val="008C6D09"/>
    <w:rsid w:val="008D05AD"/>
    <w:rsid w:val="008D252D"/>
    <w:rsid w:val="008D305A"/>
    <w:rsid w:val="008D3DD3"/>
    <w:rsid w:val="008D414D"/>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3DA"/>
    <w:rsid w:val="00953CD5"/>
    <w:rsid w:val="00954D53"/>
    <w:rsid w:val="009550CD"/>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77F6E"/>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1CF4"/>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756"/>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508"/>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856"/>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7820"/>
    <w:rsid w:val="00DB01AD"/>
    <w:rsid w:val="00DB2D4A"/>
    <w:rsid w:val="00DB2E2C"/>
    <w:rsid w:val="00DB311C"/>
    <w:rsid w:val="00DB3D2A"/>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5A4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2CDF"/>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202</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4</cp:revision>
  <dcterms:created xsi:type="dcterms:W3CDTF">2022-02-12T23:43:00Z</dcterms:created>
  <dcterms:modified xsi:type="dcterms:W3CDTF">2022-02-14T22:00:00Z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