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7921D35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2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26B4C" w:rsidRPr="00526B4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R4-2205966</w:t>
      </w:r>
    </w:p>
    <w:p w14:paraId="457FCC4F" w14:textId="3D7EE726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February 21 – March 3,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F698B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2259538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93226" w:rsidRPr="00C93226">
        <w:rPr>
          <w:rFonts w:ascii="Arial" w:eastAsia="Calibri" w:hAnsi="Arial" w:cs="Arial"/>
          <w:b/>
          <w:bCs/>
          <w:sz w:val="24"/>
        </w:rPr>
        <w:t>On IAB Enhanced Demodulation Performance Requirements</w:t>
      </w:r>
    </w:p>
    <w:p w14:paraId="641E8BEA" w14:textId="443F609C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C93226" w:rsidRPr="00C93226">
        <w:rPr>
          <w:rFonts w:ascii="Arial" w:eastAsia="MS Mincho" w:hAnsi="Arial" w:cs="Arial"/>
          <w:b/>
          <w:bCs/>
          <w:sz w:val="24"/>
          <w:szCs w:val="20"/>
        </w:rPr>
        <w:t>10.17.4 Demodulation requirements</w:t>
      </w:r>
    </w:p>
    <w:p w14:paraId="02EA8C51" w14:textId="04B04252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93226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C7422F7" w14:textId="1A3C974C" w:rsidR="005C23A4" w:rsidRDefault="003A6CFD" w:rsidP="005C23A4">
      <w:r>
        <w:t>RAN4#102-e is the first</w:t>
      </w:r>
      <w:r w:rsidR="00F07316">
        <w:t xml:space="preserve"> 3GPP</w:t>
      </w:r>
      <w:r>
        <w:t xml:space="preserve"> meetin</w:t>
      </w:r>
      <w:r w:rsidR="003368EE">
        <w:t>g</w:t>
      </w:r>
      <w:r w:rsidR="00F07316">
        <w:t xml:space="preserve"> open for the discussion of </w:t>
      </w:r>
      <w:r w:rsidR="001B6090" w:rsidRPr="001B6090">
        <w:t>IAB Enhanced Demodulation Performance Requirements</w:t>
      </w:r>
      <w:r w:rsidR="001B6090">
        <w:t>.</w:t>
      </w:r>
      <w:r w:rsidR="00FB217F">
        <w:t xml:space="preserve"> </w:t>
      </w:r>
      <w:r w:rsidR="00FB217F" w:rsidRPr="00FB217F">
        <w:t>Specification of demodulation performance requirements for Rel-17 enhancements</w:t>
      </w:r>
      <w:r w:rsidR="001B668D">
        <w:t xml:space="preserve"> is listed as one of the objectives in the WID </w:t>
      </w:r>
      <w:r w:rsidR="001B668D">
        <w:fldChar w:fldCharType="begin"/>
      </w:r>
      <w:r w:rsidR="001B668D">
        <w:instrText xml:space="preserve"> REF _Ref95748909 \r \h </w:instrText>
      </w:r>
      <w:r w:rsidR="001B668D">
        <w:fldChar w:fldCharType="separate"/>
      </w:r>
      <w:r w:rsidR="001B668D">
        <w:t>[1]</w:t>
      </w:r>
      <w:r w:rsidR="001B668D">
        <w:fldChar w:fldCharType="end"/>
      </w:r>
      <w:r w:rsidR="001B668D">
        <w:t>.</w:t>
      </w:r>
    </w:p>
    <w:p w14:paraId="244EB2EF" w14:textId="1B785550" w:rsidR="001B6090" w:rsidRPr="00EF698B" w:rsidRDefault="001B6090" w:rsidP="005C23A4">
      <w:r>
        <w:t xml:space="preserve">In this paper, we share our view on a need to introduce any new </w:t>
      </w:r>
      <w:r w:rsidR="00E96AD2">
        <w:t>demodulation requirements in the IAB Enhanced Rel</w:t>
      </w:r>
      <w:r w:rsidR="00447866">
        <w:noBreakHyphen/>
      </w:r>
      <w:r w:rsidR="00E96AD2">
        <w:t>17 WI.</w:t>
      </w:r>
    </w:p>
    <w:p w14:paraId="68D5884C" w14:textId="77777777" w:rsidR="00090E18" w:rsidRPr="00EF698B" w:rsidRDefault="00090E18" w:rsidP="005C23A4"/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3E607DE5" w14:textId="0A5024E7" w:rsidR="005C23A4" w:rsidRDefault="006028FD" w:rsidP="005C23A4">
      <w:r w:rsidRPr="006028FD">
        <w:t>Enhancements to Integrated Access and Backhaul for NR</w:t>
      </w:r>
      <w:r>
        <w:t xml:space="preserve"> WI is described in </w:t>
      </w:r>
      <w:r>
        <w:fldChar w:fldCharType="begin"/>
      </w:r>
      <w:r>
        <w:instrText xml:space="preserve"> REF _Ref95748909 \r \h </w:instrText>
      </w:r>
      <w:r>
        <w:fldChar w:fldCharType="separate"/>
      </w:r>
      <w:r>
        <w:t>[1]</w:t>
      </w:r>
      <w:r>
        <w:fldChar w:fldCharType="end"/>
      </w:r>
      <w:r>
        <w:t xml:space="preserve">. The main goals of the WI </w:t>
      </w:r>
      <w:r w:rsidR="00FA6623">
        <w:t>are</w:t>
      </w:r>
      <w:r w:rsidR="00E6690C">
        <w:t xml:space="preserve"> to support the following new functionalities</w:t>
      </w:r>
      <w:r>
        <w:t>:</w:t>
      </w:r>
    </w:p>
    <w:p w14:paraId="2495C7D1" w14:textId="3F527CB6" w:rsidR="00E6690C" w:rsidRDefault="00E6690C" w:rsidP="00E6690C">
      <w:pPr>
        <w:pStyle w:val="ListParagraph"/>
        <w:numPr>
          <w:ilvl w:val="0"/>
          <w:numId w:val="22"/>
        </w:numPr>
      </w:pPr>
      <w:r>
        <w:t xml:space="preserve">The introduction of </w:t>
      </w:r>
      <w:r w:rsidRPr="00801565">
        <w:rPr>
          <w:b/>
          <w:bCs/>
        </w:rPr>
        <w:t>inter-donor IAB-node migration</w:t>
      </w:r>
      <w:r>
        <w:t xml:space="preserve"> increases robustness, allows for more refined load-balancing and topology management.</w:t>
      </w:r>
    </w:p>
    <w:p w14:paraId="211F5ABE" w14:textId="0BE8279F" w:rsidR="00E6690C" w:rsidRDefault="00E6690C" w:rsidP="00E6690C">
      <w:pPr>
        <w:pStyle w:val="ListParagraph"/>
        <w:numPr>
          <w:ilvl w:val="0"/>
          <w:numId w:val="22"/>
        </w:numPr>
      </w:pPr>
      <w:r w:rsidRPr="00801565">
        <w:rPr>
          <w:b/>
          <w:bCs/>
        </w:rPr>
        <w:t>Reduction of service interruption time</w:t>
      </w:r>
      <w:r>
        <w:t xml:space="preserve"> caused by IAB-node migration and BH RLF recovery improves network performance, allows network deployments to undergo more frequent topology changes, and provides stable backhaul performance.</w:t>
      </w:r>
    </w:p>
    <w:p w14:paraId="4AE8FF3E" w14:textId="3D761D4D" w:rsidR="00E6690C" w:rsidRDefault="00E6690C" w:rsidP="00E6690C">
      <w:pPr>
        <w:pStyle w:val="ListParagraph"/>
        <w:numPr>
          <w:ilvl w:val="0"/>
          <w:numId w:val="22"/>
        </w:numPr>
      </w:pPr>
      <w:r w:rsidRPr="00801565">
        <w:rPr>
          <w:b/>
          <w:bCs/>
        </w:rPr>
        <w:t>Enhancements in scheduling, flow and congestion control</w:t>
      </w:r>
      <w:r>
        <w:t xml:space="preserve"> improves end-to-end performance as well as spectral efficiency to the IAB network. </w:t>
      </w:r>
    </w:p>
    <w:p w14:paraId="3552FFE3" w14:textId="7DC77447" w:rsidR="006028FD" w:rsidRDefault="00E6690C" w:rsidP="00E6690C">
      <w:pPr>
        <w:pStyle w:val="ListParagraph"/>
        <w:numPr>
          <w:ilvl w:val="0"/>
          <w:numId w:val="22"/>
        </w:numPr>
      </w:pPr>
      <w:r w:rsidRPr="00801565">
        <w:rPr>
          <w:b/>
          <w:bCs/>
        </w:rPr>
        <w:t>Duplexing enhancements</w:t>
      </w:r>
      <w:r>
        <w:t xml:space="preserve"> increase spectral efficiency and reduce latency through the support of SDM/FDM-based resource management, through simultaneous transmissions and/or reception on IAB-nodes.</w:t>
      </w:r>
    </w:p>
    <w:p w14:paraId="39F24157" w14:textId="77777777" w:rsidR="00291CA8" w:rsidRDefault="00291CA8" w:rsidP="00291CA8">
      <w:pPr>
        <w:pStyle w:val="ListParagraph"/>
        <w:numPr>
          <w:ilvl w:val="1"/>
          <w:numId w:val="22"/>
        </w:numPr>
        <w:spacing w:after="180" w:line="240" w:lineRule="auto"/>
      </w:pPr>
      <w:r>
        <w:t>Specification of enhancements to the resource multiplexing between child and parent links of an IAB node, including:</w:t>
      </w:r>
    </w:p>
    <w:p w14:paraId="1DC1870A" w14:textId="77777777" w:rsidR="00291CA8" w:rsidRDefault="00291CA8" w:rsidP="00291CA8">
      <w:pPr>
        <w:pStyle w:val="ListParagraph"/>
        <w:numPr>
          <w:ilvl w:val="2"/>
          <w:numId w:val="22"/>
        </w:numPr>
        <w:spacing w:after="180" w:line="240" w:lineRule="auto"/>
        <w:rPr>
          <w:lang w:val="en-GB"/>
        </w:rPr>
      </w:pPr>
      <w:bookmarkStart w:id="3" w:name="_Hlk26193173"/>
      <w:r>
        <w:t>Support of simultaneous operation (transmission and/or reception) of IAB-node’s child and parent links (i.e., MT Tx/DU Tx, MT Tx/DU Rx, MT Rx/DU Tx, MT Rx/DU Rx).</w:t>
      </w:r>
    </w:p>
    <w:p w14:paraId="24665BB5" w14:textId="77777777" w:rsidR="00291CA8" w:rsidRDefault="00291CA8" w:rsidP="00291CA8">
      <w:pPr>
        <w:pStyle w:val="ListParagraph"/>
        <w:numPr>
          <w:ilvl w:val="2"/>
          <w:numId w:val="22"/>
        </w:numPr>
        <w:spacing w:after="180" w:line="240" w:lineRule="auto"/>
      </w:pPr>
      <w:r>
        <w:t>Support for dual-connectivity scenarios defined by RAN2/RAN3 in the context of topology redundancy for improved robustness and load balancing.</w:t>
      </w:r>
    </w:p>
    <w:bookmarkEnd w:id="3"/>
    <w:p w14:paraId="5FBC2783" w14:textId="114C0F1C" w:rsidR="002E48F5" w:rsidRDefault="00291CA8" w:rsidP="005C23A4">
      <w:pPr>
        <w:pStyle w:val="ListParagraph"/>
        <w:numPr>
          <w:ilvl w:val="1"/>
          <w:numId w:val="22"/>
        </w:numPr>
        <w:spacing w:after="180" w:line="240" w:lineRule="auto"/>
      </w:pPr>
      <w: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75D0DBC" w14:textId="77777777" w:rsidR="006910A4" w:rsidRPr="006910A4" w:rsidRDefault="006910A4" w:rsidP="006910A4"/>
    <w:p w14:paraId="18A7BAF9" w14:textId="0CCA74FE" w:rsidR="00CD79FC" w:rsidRPr="00347C52" w:rsidRDefault="0048573F" w:rsidP="005C23A4">
      <w:pPr>
        <w:rPr>
          <w:u w:val="single"/>
        </w:rPr>
      </w:pPr>
      <w:r>
        <w:rPr>
          <w:u w:val="single"/>
        </w:rPr>
        <w:t>Mobility</w:t>
      </w:r>
    </w:p>
    <w:p w14:paraId="76246E46" w14:textId="5F856007" w:rsidR="00032C6B" w:rsidRDefault="00A92290" w:rsidP="005C23A4">
      <w:r>
        <w:t xml:space="preserve">Since no mobility for the IAB nodes </w:t>
      </w:r>
      <w:r w:rsidR="00CD79FC">
        <w:t>is</w:t>
      </w:r>
      <w:r w:rsidR="00CB6A12">
        <w:t xml:space="preserve"> introduced </w:t>
      </w:r>
      <w:r w:rsidR="000B10AE">
        <w:t>in Rel-1</w:t>
      </w:r>
      <w:r w:rsidR="00CB4C18">
        <w:t>7</w:t>
      </w:r>
      <w:r w:rsidR="000B10AE">
        <w:t xml:space="preserve">, the </w:t>
      </w:r>
      <w:r w:rsidR="0019761B">
        <w:t xml:space="preserve">stationarity assumption used in Rel-16 </w:t>
      </w:r>
      <w:r w:rsidR="00CD79FC">
        <w:t>demodulation</w:t>
      </w:r>
      <w:r w:rsidR="0019761B">
        <w:t xml:space="preserve"> requirements still </w:t>
      </w:r>
      <w:r w:rsidR="00CD79FC">
        <w:t>holds</w:t>
      </w:r>
      <w:r w:rsidR="0019761B">
        <w:t xml:space="preserve"> </w:t>
      </w:r>
      <w:r w:rsidR="00CD79FC">
        <w:t>t</w:t>
      </w:r>
      <w:r w:rsidR="0019761B">
        <w:t>rue. Therefore</w:t>
      </w:r>
      <w:r w:rsidR="00C63DFB">
        <w:t>,</w:t>
      </w:r>
      <w:r w:rsidR="0019761B">
        <w:t xml:space="preserve"> there is no need to introduce </w:t>
      </w:r>
      <w:r w:rsidR="00C63DFB">
        <w:t xml:space="preserve">any new propagation conditions for </w:t>
      </w:r>
      <w:r w:rsidR="00E8599B">
        <w:t>neither for backhaul nor for the access links.</w:t>
      </w:r>
    </w:p>
    <w:p w14:paraId="695690DF" w14:textId="3D573292" w:rsidR="00E8599B" w:rsidRDefault="00DF5D26" w:rsidP="00E8599B">
      <w:pPr>
        <w:pStyle w:val="RAN4observation0"/>
      </w:pPr>
      <w:r>
        <w:t>Since IAB-nodes are stationary</w:t>
      </w:r>
      <w:r w:rsidR="0048573F">
        <w:t>,</w:t>
      </w:r>
      <w:r>
        <w:t xml:space="preserve"> like in Rel-16, there is no need to introduce any new propagation conditions</w:t>
      </w:r>
      <w:r w:rsidR="006242C8">
        <w:t>,</w:t>
      </w:r>
      <w:r w:rsidR="0076729B">
        <w:t xml:space="preserve"> </w:t>
      </w:r>
      <w:r w:rsidR="00B1232B">
        <w:t>neither for access nor for the backhaul links.</w:t>
      </w:r>
    </w:p>
    <w:p w14:paraId="75B90611" w14:textId="562AA83F" w:rsidR="004921AD" w:rsidRPr="004921AD" w:rsidRDefault="004921AD" w:rsidP="004921AD">
      <w:pPr>
        <w:rPr>
          <w:lang w:val="en-GB"/>
        </w:rPr>
      </w:pPr>
    </w:p>
    <w:p w14:paraId="75AE7E92" w14:textId="745D5FCD" w:rsidR="006242C8" w:rsidRPr="00E171AC" w:rsidRDefault="00784E7F" w:rsidP="00B1232B">
      <w:pPr>
        <w:rPr>
          <w:u w:val="single"/>
          <w:lang w:val="en-GB"/>
        </w:rPr>
      </w:pPr>
      <w:r w:rsidRPr="00E171AC">
        <w:rPr>
          <w:u w:val="single"/>
          <w:lang w:val="en-GB"/>
        </w:rPr>
        <w:t>Topology adaptation</w:t>
      </w:r>
      <w:r w:rsidR="0057038D">
        <w:rPr>
          <w:u w:val="single"/>
          <w:lang w:val="en-GB"/>
        </w:rPr>
        <w:t xml:space="preserve"> and</w:t>
      </w:r>
      <w:r w:rsidRPr="00E171AC">
        <w:rPr>
          <w:u w:val="single"/>
          <w:lang w:val="en-GB"/>
        </w:rPr>
        <w:t xml:space="preserve"> routing enhancements</w:t>
      </w:r>
    </w:p>
    <w:p w14:paraId="494D1B28" w14:textId="5FF2D870" w:rsidR="009F04A3" w:rsidRDefault="00146D74" w:rsidP="00B1232B">
      <w:pPr>
        <w:rPr>
          <w:lang w:val="en-GB"/>
        </w:rPr>
      </w:pPr>
      <w:r>
        <w:rPr>
          <w:lang w:val="en-GB"/>
        </w:rPr>
        <w:t>Topology adaptation</w:t>
      </w:r>
      <w:r w:rsidR="008942E7">
        <w:rPr>
          <w:lang w:val="en-GB"/>
        </w:rPr>
        <w:t xml:space="preserve"> and routing</w:t>
      </w:r>
      <w:r>
        <w:rPr>
          <w:lang w:val="en-GB"/>
        </w:rPr>
        <w:t xml:space="preserve"> enhancements, including </w:t>
      </w:r>
      <w:r w:rsidR="009F04A3">
        <w:rPr>
          <w:lang w:val="en-GB"/>
        </w:rPr>
        <w:t>reduction of service interruption times and enhancements in scheduling have no direct relation to the demodulation performance.</w:t>
      </w:r>
      <w:r w:rsidR="00C90B0B">
        <w:rPr>
          <w:lang w:val="en-GB"/>
        </w:rPr>
        <w:t xml:space="preserve"> Therefore, the only potential source of new requirements could be </w:t>
      </w:r>
      <w:r w:rsidR="00686266">
        <w:rPr>
          <w:lang w:val="en-GB"/>
        </w:rPr>
        <w:t>duplexing enhancements.</w:t>
      </w:r>
    </w:p>
    <w:p w14:paraId="7894173F" w14:textId="77777777" w:rsidR="00644D74" w:rsidRDefault="00644D74" w:rsidP="00B1232B">
      <w:pPr>
        <w:rPr>
          <w:lang w:val="en-GB"/>
        </w:rPr>
      </w:pPr>
    </w:p>
    <w:p w14:paraId="711BE1A7" w14:textId="19DB8038" w:rsidR="00644D74" w:rsidRPr="00644D74" w:rsidRDefault="00EB1EAA" w:rsidP="00B1232B">
      <w:pPr>
        <w:rPr>
          <w:u w:val="single"/>
          <w:lang w:val="en-GB"/>
        </w:rPr>
      </w:pPr>
      <w:r>
        <w:rPr>
          <w:u w:val="single"/>
          <w:lang w:val="en-GB"/>
        </w:rPr>
        <w:t>S</w:t>
      </w:r>
      <w:r w:rsidRPr="00EB1EAA">
        <w:rPr>
          <w:u w:val="single"/>
          <w:lang w:val="en-GB"/>
        </w:rPr>
        <w:t>imultaneous operation</w:t>
      </w:r>
      <w:r>
        <w:rPr>
          <w:u w:val="single"/>
          <w:lang w:val="en-GB"/>
        </w:rPr>
        <w:t>/</w:t>
      </w:r>
      <w:r w:rsidR="00644D74" w:rsidRPr="00644D74">
        <w:rPr>
          <w:u w:val="single"/>
          <w:lang w:val="en-GB"/>
        </w:rPr>
        <w:t>FDM</w:t>
      </w:r>
    </w:p>
    <w:p w14:paraId="02662DCA" w14:textId="199EB50B" w:rsidR="00336FA7" w:rsidRDefault="00542B17" w:rsidP="00B1232B">
      <w:pPr>
        <w:rPr>
          <w:lang w:val="en-GB"/>
        </w:rPr>
      </w:pPr>
      <w:r>
        <w:rPr>
          <w:lang w:val="en-GB"/>
        </w:rPr>
        <w:t xml:space="preserve">The IAB nodes are considered as </w:t>
      </w:r>
      <w:r w:rsidR="00834CD5">
        <w:rPr>
          <w:lang w:val="en-GB"/>
        </w:rPr>
        <w:t>a</w:t>
      </w:r>
      <w:r w:rsidR="00097542">
        <w:rPr>
          <w:lang w:val="en-GB"/>
        </w:rPr>
        <w:t xml:space="preserve"> part of </w:t>
      </w:r>
      <w:r w:rsidR="00834CD5">
        <w:rPr>
          <w:lang w:val="en-GB"/>
        </w:rPr>
        <w:t xml:space="preserve">the </w:t>
      </w:r>
      <w:r w:rsidR="00097542">
        <w:rPr>
          <w:lang w:val="en-GB"/>
        </w:rPr>
        <w:t xml:space="preserve">network infrastructure. </w:t>
      </w:r>
      <w:r w:rsidR="00897F5C">
        <w:rPr>
          <w:lang w:val="en-GB"/>
        </w:rPr>
        <w:t xml:space="preserve">Therefore, </w:t>
      </w:r>
      <w:r w:rsidR="005E7965">
        <w:rPr>
          <w:lang w:val="en-GB"/>
        </w:rPr>
        <w:t>in Rel-16</w:t>
      </w:r>
      <w:r w:rsidR="007F3C5A">
        <w:rPr>
          <w:lang w:val="en-GB"/>
        </w:rPr>
        <w:t xml:space="preserve"> demodulation performance requirements and tests were formulated based on the BS-</w:t>
      </w:r>
      <w:r w:rsidR="000B25F9">
        <w:rPr>
          <w:lang w:val="en-GB"/>
        </w:rPr>
        <w:t xml:space="preserve">like </w:t>
      </w:r>
      <w:r w:rsidR="007F3C5A">
        <w:rPr>
          <w:lang w:val="en-GB"/>
        </w:rPr>
        <w:t xml:space="preserve">testing </w:t>
      </w:r>
      <w:r w:rsidR="00972B95">
        <w:rPr>
          <w:lang w:val="en-GB"/>
        </w:rPr>
        <w:t>approach</w:t>
      </w:r>
      <w:r w:rsidR="007F3C5A">
        <w:rPr>
          <w:lang w:val="en-GB"/>
        </w:rPr>
        <w:t>.</w:t>
      </w:r>
      <w:r w:rsidR="00972B95">
        <w:rPr>
          <w:lang w:val="en-GB"/>
        </w:rPr>
        <w:t xml:space="preserve"> </w:t>
      </w:r>
      <w:proofErr w:type="gramStart"/>
      <w:r w:rsidR="00972B95">
        <w:rPr>
          <w:lang w:val="en-GB"/>
        </w:rPr>
        <w:t>In particular</w:t>
      </w:r>
      <w:r w:rsidR="00BB7622">
        <w:rPr>
          <w:lang w:val="en-GB"/>
        </w:rPr>
        <w:t>,</w:t>
      </w:r>
      <w:r w:rsidR="00972B95">
        <w:rPr>
          <w:lang w:val="en-GB"/>
        </w:rPr>
        <w:t xml:space="preserve"> it</w:t>
      </w:r>
      <w:proofErr w:type="gramEnd"/>
      <w:r w:rsidR="00972B95">
        <w:rPr>
          <w:lang w:val="en-GB"/>
        </w:rPr>
        <w:t xml:space="preserve"> was assumed tha</w:t>
      </w:r>
      <w:r w:rsidR="00460EC9">
        <w:rPr>
          <w:lang w:val="en-GB"/>
        </w:rPr>
        <w:t xml:space="preserve">t is sufficient to test only one of the </w:t>
      </w:r>
      <w:r w:rsidR="000B25F9">
        <w:rPr>
          <w:lang w:val="en-GB"/>
        </w:rPr>
        <w:t xml:space="preserve">component </w:t>
      </w:r>
      <w:r w:rsidR="00460EC9">
        <w:rPr>
          <w:lang w:val="en-GB"/>
        </w:rPr>
        <w:t>carrier</w:t>
      </w:r>
      <w:r w:rsidR="000B25F9">
        <w:rPr>
          <w:lang w:val="en-GB"/>
        </w:rPr>
        <w:t>s</w:t>
      </w:r>
      <w:r w:rsidR="006D6419">
        <w:rPr>
          <w:lang w:val="en-GB"/>
        </w:rPr>
        <w:t xml:space="preserve"> in the</w:t>
      </w:r>
      <w:r w:rsidR="003B2879">
        <w:rPr>
          <w:lang w:val="en-GB"/>
        </w:rPr>
        <w:t xml:space="preserve"> carrier aggregation scenarios</w:t>
      </w:r>
      <w:r w:rsidR="000B25F9">
        <w:rPr>
          <w:lang w:val="en-GB"/>
        </w:rPr>
        <w:t>; or rather to test each CC separately.</w:t>
      </w:r>
      <w:r w:rsidR="00460EC9">
        <w:rPr>
          <w:lang w:val="en-GB"/>
        </w:rPr>
        <w:t xml:space="preserve"> Therefore, </w:t>
      </w:r>
      <w:r w:rsidR="008909F3">
        <w:rPr>
          <w:lang w:val="en-GB"/>
        </w:rPr>
        <w:t>Rel-17</w:t>
      </w:r>
      <w:r w:rsidR="003B2879">
        <w:rPr>
          <w:lang w:val="en-GB"/>
        </w:rPr>
        <w:t xml:space="preserve"> </w:t>
      </w:r>
      <w:proofErr w:type="spellStart"/>
      <w:r w:rsidR="000B25F9">
        <w:rPr>
          <w:lang w:val="en-GB"/>
        </w:rPr>
        <w:t>e</w:t>
      </w:r>
      <w:r w:rsidR="003B2879">
        <w:rPr>
          <w:lang w:val="en-GB"/>
        </w:rPr>
        <w:t>IAB</w:t>
      </w:r>
      <w:r w:rsidR="000B25F9">
        <w:rPr>
          <w:lang w:val="en-GB"/>
        </w:rPr>
        <w:t>’s</w:t>
      </w:r>
      <w:proofErr w:type="spellEnd"/>
      <w:r w:rsidR="008909F3">
        <w:rPr>
          <w:lang w:val="en-GB"/>
        </w:rPr>
        <w:t xml:space="preserve"> FDM operation should not introduce any </w:t>
      </w:r>
      <w:r w:rsidR="003B2879">
        <w:rPr>
          <w:lang w:val="en-GB"/>
        </w:rPr>
        <w:t>new requirements as well.</w:t>
      </w:r>
    </w:p>
    <w:p w14:paraId="5CECC159" w14:textId="77777777" w:rsidR="00644D74" w:rsidRPr="00644D74" w:rsidRDefault="00644D74" w:rsidP="00B1232B">
      <w:pPr>
        <w:rPr>
          <w:lang w:val="en-GB"/>
        </w:rPr>
      </w:pPr>
    </w:p>
    <w:p w14:paraId="791AECA2" w14:textId="380C8993" w:rsidR="00644D74" w:rsidRPr="00644D74" w:rsidRDefault="00EB1EAA" w:rsidP="00B1232B">
      <w:pPr>
        <w:rPr>
          <w:u w:val="single"/>
          <w:lang w:val="en-GB"/>
        </w:rPr>
      </w:pPr>
      <w:r>
        <w:rPr>
          <w:u w:val="single"/>
          <w:lang w:val="en-GB"/>
        </w:rPr>
        <w:t>S</w:t>
      </w:r>
      <w:r w:rsidRPr="00EB1EAA">
        <w:rPr>
          <w:u w:val="single"/>
          <w:lang w:val="en-GB"/>
        </w:rPr>
        <w:t>imultaneous operation</w:t>
      </w:r>
      <w:r>
        <w:rPr>
          <w:u w:val="single"/>
          <w:lang w:val="en-GB"/>
        </w:rPr>
        <w:t>/</w:t>
      </w:r>
      <w:r w:rsidR="00644D74" w:rsidRPr="00644D74">
        <w:rPr>
          <w:u w:val="single"/>
          <w:lang w:val="en-GB"/>
        </w:rPr>
        <w:t>SDM</w:t>
      </w:r>
      <w:r w:rsidR="00B43D5B">
        <w:rPr>
          <w:u w:val="single"/>
          <w:lang w:val="en-GB"/>
        </w:rPr>
        <w:t xml:space="preserve"> and CLI</w:t>
      </w:r>
    </w:p>
    <w:p w14:paraId="2FE6964E" w14:textId="0AE7E1AC" w:rsidR="003B2879" w:rsidRDefault="000055AE" w:rsidP="00B1232B">
      <w:pPr>
        <w:rPr>
          <w:lang w:val="en-GB"/>
        </w:rPr>
      </w:pPr>
      <w:r>
        <w:rPr>
          <w:lang w:val="en-GB"/>
        </w:rPr>
        <w:t>Regarding the SDM</w:t>
      </w:r>
      <w:r w:rsidR="00EE5017">
        <w:rPr>
          <w:lang w:val="en-GB"/>
        </w:rPr>
        <w:t xml:space="preserve"> </w:t>
      </w:r>
      <w:r>
        <w:rPr>
          <w:lang w:val="en-GB"/>
        </w:rPr>
        <w:t>operation</w:t>
      </w:r>
      <w:r w:rsidR="00EE5017">
        <w:rPr>
          <w:lang w:val="en-GB"/>
        </w:rPr>
        <w:t xml:space="preserve"> and CLI</w:t>
      </w:r>
      <w:r>
        <w:rPr>
          <w:lang w:val="en-GB"/>
        </w:rPr>
        <w:t xml:space="preserve">, </w:t>
      </w:r>
      <w:r w:rsidR="00EE5017">
        <w:rPr>
          <w:lang w:val="en-GB"/>
        </w:rPr>
        <w:t xml:space="preserve">we can expect that </w:t>
      </w:r>
      <w:r w:rsidR="00AA3FA8">
        <w:rPr>
          <w:lang w:val="en-GB"/>
        </w:rPr>
        <w:t xml:space="preserve">that </w:t>
      </w:r>
      <w:r w:rsidR="00B63346">
        <w:rPr>
          <w:lang w:val="en-GB"/>
        </w:rPr>
        <w:t>an appropriate</w:t>
      </w:r>
      <w:r w:rsidR="00392262">
        <w:rPr>
          <w:lang w:val="en-GB"/>
        </w:rPr>
        <w:t xml:space="preserve"> level of planning will be </w:t>
      </w:r>
      <w:r w:rsidR="00B63346">
        <w:rPr>
          <w:lang w:val="en-GB"/>
        </w:rPr>
        <w:t>present</w:t>
      </w:r>
      <w:r w:rsidR="00392262">
        <w:rPr>
          <w:lang w:val="en-GB"/>
        </w:rPr>
        <w:t xml:space="preserve"> in the </w:t>
      </w:r>
      <w:r w:rsidR="003C3606">
        <w:rPr>
          <w:lang w:val="en-GB"/>
        </w:rPr>
        <w:t xml:space="preserve">IAB deployments. Hence, the main sources </w:t>
      </w:r>
      <w:r w:rsidR="00C5307A">
        <w:rPr>
          <w:lang w:val="en-GB"/>
        </w:rPr>
        <w:t>of interference can be avoided.</w:t>
      </w:r>
      <w:r w:rsidR="000500D7">
        <w:rPr>
          <w:lang w:val="en-GB"/>
        </w:rPr>
        <w:t xml:space="preserve"> </w:t>
      </w:r>
      <w:r w:rsidR="00753A39">
        <w:rPr>
          <w:lang w:val="en-GB"/>
        </w:rPr>
        <w:t>CLI and SDM have no demodulation</w:t>
      </w:r>
      <w:r w:rsidR="00AC4F65">
        <w:rPr>
          <w:lang w:val="en-GB"/>
        </w:rPr>
        <w:t xml:space="preserve"> requirements</w:t>
      </w:r>
      <w:r w:rsidR="00753A39">
        <w:rPr>
          <w:lang w:val="en-GB"/>
        </w:rPr>
        <w:t xml:space="preserve"> in legacy, as </w:t>
      </w:r>
      <w:r w:rsidR="0016528D">
        <w:rPr>
          <w:lang w:val="en-GB"/>
        </w:rPr>
        <w:t>potential</w:t>
      </w:r>
      <w:r w:rsidR="00753A39">
        <w:rPr>
          <w:lang w:val="en-GB"/>
        </w:rPr>
        <w:t xml:space="preserve"> interference counts </w:t>
      </w:r>
      <w:r w:rsidR="0016528D">
        <w:rPr>
          <w:lang w:val="en-GB"/>
        </w:rPr>
        <w:t xml:space="preserve">directly </w:t>
      </w:r>
      <w:r w:rsidR="00753A39">
        <w:rPr>
          <w:lang w:val="en-GB"/>
        </w:rPr>
        <w:t xml:space="preserve">towards the SNR </w:t>
      </w:r>
      <w:r w:rsidR="00AC4F65">
        <w:rPr>
          <w:lang w:val="en-GB"/>
        </w:rPr>
        <w:t>budget</w:t>
      </w:r>
      <w:r w:rsidR="00753A39">
        <w:rPr>
          <w:lang w:val="en-GB"/>
        </w:rPr>
        <w:t>.</w:t>
      </w:r>
      <w:r w:rsidR="00CD553F">
        <w:rPr>
          <w:lang w:val="en-GB"/>
        </w:rPr>
        <w:t xml:space="preserve"> </w:t>
      </w:r>
      <w:r w:rsidR="00AC4F65">
        <w:rPr>
          <w:lang w:val="en-GB"/>
        </w:rPr>
        <w:br/>
      </w:r>
      <w:r w:rsidR="00CD553F">
        <w:rPr>
          <w:lang w:val="en-GB"/>
        </w:rPr>
        <w:t>N</w:t>
      </w:r>
      <w:r w:rsidR="000500D7">
        <w:rPr>
          <w:lang w:val="en-GB"/>
        </w:rPr>
        <w:t xml:space="preserve">o </w:t>
      </w:r>
      <w:r w:rsidR="00CD553F">
        <w:rPr>
          <w:lang w:val="en-GB"/>
        </w:rPr>
        <w:t>further</w:t>
      </w:r>
      <w:r w:rsidR="000500D7">
        <w:rPr>
          <w:lang w:val="en-GB"/>
        </w:rPr>
        <w:t xml:space="preserve"> new </w:t>
      </w:r>
      <w:r w:rsidR="00F807BD">
        <w:rPr>
          <w:lang w:val="en-GB"/>
        </w:rPr>
        <w:t>mechanism</w:t>
      </w:r>
      <w:r w:rsidR="00EF033D">
        <w:rPr>
          <w:lang w:val="en-GB"/>
        </w:rPr>
        <w:t xml:space="preserve"> for interference handling</w:t>
      </w:r>
      <w:r w:rsidR="000500D7">
        <w:rPr>
          <w:lang w:val="en-GB"/>
        </w:rPr>
        <w:t xml:space="preserve"> were introduce</w:t>
      </w:r>
      <w:r w:rsidR="009D665A">
        <w:rPr>
          <w:lang w:val="en-GB"/>
        </w:rPr>
        <w:t>d in RAN1</w:t>
      </w:r>
      <w:r w:rsidR="0076494B">
        <w:rPr>
          <w:lang w:val="en-GB"/>
        </w:rPr>
        <w:t xml:space="preserve">, so there is no demodulation impact to </w:t>
      </w:r>
      <w:r w:rsidR="00126D62">
        <w:rPr>
          <w:lang w:val="en-GB"/>
        </w:rPr>
        <w:t xml:space="preserve">interference </w:t>
      </w:r>
      <w:r w:rsidR="003420C7">
        <w:rPr>
          <w:lang w:val="en-GB"/>
        </w:rPr>
        <w:t>scenarios</w:t>
      </w:r>
      <w:r w:rsidR="00F807BD">
        <w:rPr>
          <w:lang w:val="en-GB"/>
        </w:rPr>
        <w:t>.</w:t>
      </w:r>
    </w:p>
    <w:p w14:paraId="27EF72A5" w14:textId="77777777" w:rsidR="00CD553F" w:rsidRDefault="00CD553F" w:rsidP="00B1232B">
      <w:pPr>
        <w:rPr>
          <w:lang w:val="en-GB"/>
        </w:rPr>
      </w:pPr>
    </w:p>
    <w:p w14:paraId="39A2F9ED" w14:textId="27E6C7FE" w:rsidR="00CD553F" w:rsidRPr="00CD553F" w:rsidRDefault="00CD553F" w:rsidP="00B1232B">
      <w:pPr>
        <w:rPr>
          <w:u w:val="single"/>
          <w:lang w:val="en-GB"/>
        </w:rPr>
      </w:pPr>
      <w:r w:rsidRPr="00CD553F">
        <w:rPr>
          <w:u w:val="single"/>
          <w:lang w:val="en-GB"/>
        </w:rPr>
        <w:t>Timing errors</w:t>
      </w:r>
    </w:p>
    <w:p w14:paraId="314B3AB0" w14:textId="280DEF53" w:rsidR="000500D7" w:rsidRDefault="000500D7" w:rsidP="00B1232B">
      <w:pPr>
        <w:rPr>
          <w:lang w:val="en-GB"/>
        </w:rPr>
      </w:pPr>
      <w:r>
        <w:rPr>
          <w:lang w:val="en-GB"/>
        </w:rPr>
        <w:t>Finally,</w:t>
      </w:r>
      <w:r w:rsidR="009D665A">
        <w:rPr>
          <w:lang w:val="en-GB"/>
        </w:rPr>
        <w:t xml:space="preserve"> even </w:t>
      </w:r>
      <w:r w:rsidR="004762D8">
        <w:rPr>
          <w:lang w:val="en-GB"/>
        </w:rPr>
        <w:t>though two new synchronization mechanisms were in in</w:t>
      </w:r>
      <w:r w:rsidR="00930693">
        <w:rPr>
          <w:lang w:val="en-GB"/>
        </w:rPr>
        <w:t>troduced</w:t>
      </w:r>
      <w:r w:rsidR="004762D8">
        <w:rPr>
          <w:lang w:val="en-GB"/>
        </w:rPr>
        <w:t xml:space="preserve"> by RAN1</w:t>
      </w:r>
      <w:r w:rsidR="00930693">
        <w:rPr>
          <w:lang w:val="en-GB"/>
        </w:rPr>
        <w:t xml:space="preserve"> (Case#6 and Case#7 timing schemes), if properly implemented, </w:t>
      </w:r>
      <w:r w:rsidR="006F4654">
        <w:rPr>
          <w:lang w:val="en-GB"/>
        </w:rPr>
        <w:t>no impact on demodulation is foreseen.</w:t>
      </w:r>
    </w:p>
    <w:p w14:paraId="41D8FA7A" w14:textId="77777777" w:rsidR="000F7F64" w:rsidRDefault="000F7F64" w:rsidP="00B1232B">
      <w:pPr>
        <w:rPr>
          <w:lang w:val="en-GB"/>
        </w:rPr>
      </w:pPr>
    </w:p>
    <w:p w14:paraId="5B92CD51" w14:textId="25D0070F" w:rsidR="00AA3FA8" w:rsidRDefault="000803AC" w:rsidP="00AA3FA8">
      <w:pPr>
        <w:pStyle w:val="RAN4observation0"/>
      </w:pPr>
      <w:r>
        <w:t xml:space="preserve">IAB nodes are part of the </w:t>
      </w:r>
      <w:r w:rsidR="00B8733F">
        <w:t xml:space="preserve">infrastructure. </w:t>
      </w:r>
      <w:r w:rsidR="004E0DDE">
        <w:t xml:space="preserve">BS style testing was used for IAB-MTs in Rel-17. </w:t>
      </w:r>
      <w:r w:rsidR="00B017CD">
        <w:t>Deployment of IAB nodes</w:t>
      </w:r>
      <w:r w:rsidR="00B8733F">
        <w:t xml:space="preserve"> assumes certain level of planning.</w:t>
      </w:r>
      <w:r w:rsidR="00F807BD">
        <w:t xml:space="preserve"> No new interference </w:t>
      </w:r>
      <w:r w:rsidR="009D665A">
        <w:t>handling techniques were introduced in Rel-17.</w:t>
      </w:r>
      <w:r w:rsidR="00B8733F">
        <w:t xml:space="preserve"> </w:t>
      </w:r>
      <w:r w:rsidR="00B017CD">
        <w:t xml:space="preserve">Hence, IAB duplexing enhancements should not introduce new </w:t>
      </w:r>
      <w:r w:rsidR="009D665A">
        <w:t>demodulation performance requirements.</w:t>
      </w:r>
    </w:p>
    <w:p w14:paraId="0468021E" w14:textId="77777777" w:rsidR="00F35F1A" w:rsidRDefault="00F35F1A" w:rsidP="009D665A">
      <w:pPr>
        <w:rPr>
          <w:lang w:val="en-GB"/>
        </w:rPr>
      </w:pPr>
    </w:p>
    <w:p w14:paraId="6C59E479" w14:textId="3800F85C" w:rsidR="0044647C" w:rsidRPr="00EB02BD" w:rsidRDefault="00EB02BD" w:rsidP="009D665A">
      <w:pPr>
        <w:rPr>
          <w:u w:val="single"/>
          <w:lang w:val="en-GB"/>
        </w:rPr>
      </w:pPr>
      <w:r w:rsidRPr="00EB02BD">
        <w:rPr>
          <w:u w:val="single"/>
          <w:lang w:val="en-GB"/>
        </w:rPr>
        <w:t>New requirements</w:t>
      </w:r>
    </w:p>
    <w:p w14:paraId="1984BE2D" w14:textId="241FC2CA" w:rsidR="006F4654" w:rsidRDefault="006F4654" w:rsidP="009D665A">
      <w:pPr>
        <w:rPr>
          <w:lang w:val="en-GB"/>
        </w:rPr>
      </w:pPr>
      <w:r>
        <w:rPr>
          <w:lang w:val="en-GB"/>
        </w:rPr>
        <w:t>Based on the observations 1 and 2 above</w:t>
      </w:r>
      <w:r w:rsidR="004A4823">
        <w:rPr>
          <w:lang w:val="en-GB"/>
        </w:rPr>
        <w:t>,</w:t>
      </w:r>
      <w:r>
        <w:rPr>
          <w:lang w:val="en-GB"/>
        </w:rPr>
        <w:t xml:space="preserve"> we can conclude that there </w:t>
      </w:r>
      <w:r w:rsidR="007E71D7">
        <w:rPr>
          <w:lang w:val="en-GB"/>
        </w:rPr>
        <w:t>are</w:t>
      </w:r>
      <w:r>
        <w:rPr>
          <w:lang w:val="en-GB"/>
        </w:rPr>
        <w:t xml:space="preserve"> no</w:t>
      </w:r>
      <w:r w:rsidR="007E71D7">
        <w:rPr>
          <w:lang w:val="en-GB"/>
        </w:rPr>
        <w:t xml:space="preserve"> strong reason</w:t>
      </w:r>
      <w:r w:rsidR="0044647C">
        <w:rPr>
          <w:lang w:val="en-GB"/>
        </w:rPr>
        <w:t>s</w:t>
      </w:r>
      <w:r w:rsidR="007E71D7">
        <w:rPr>
          <w:lang w:val="en-GB"/>
        </w:rPr>
        <w:t xml:space="preserve"> to introduce new demodulation performance requirements for IAB nodes in Rel-17.</w:t>
      </w:r>
    </w:p>
    <w:p w14:paraId="4B370DAD" w14:textId="39A3847C" w:rsidR="007E71D7" w:rsidRDefault="007E71D7" w:rsidP="007E71D7">
      <w:pPr>
        <w:pStyle w:val="RAN4proposal"/>
        <w:rPr>
          <w:lang w:val="en-GB"/>
        </w:rPr>
      </w:pPr>
      <w:r>
        <w:rPr>
          <w:lang w:val="en-GB"/>
        </w:rPr>
        <w:t>RAN4</w:t>
      </w:r>
      <w:r w:rsidR="00EB02BD">
        <w:rPr>
          <w:lang w:val="en-GB"/>
        </w:rPr>
        <w:t xml:space="preserve"> to</w:t>
      </w:r>
      <w:r>
        <w:rPr>
          <w:lang w:val="en-GB"/>
        </w:rPr>
        <w:t xml:space="preserve"> not to introduce </w:t>
      </w:r>
      <w:r w:rsidR="005328F4">
        <w:rPr>
          <w:lang w:val="en-GB"/>
        </w:rPr>
        <w:t xml:space="preserve">any </w:t>
      </w:r>
      <w:r>
        <w:rPr>
          <w:lang w:val="en-GB"/>
        </w:rPr>
        <w:t xml:space="preserve">new demodulation performance requirements </w:t>
      </w:r>
      <w:r w:rsidR="005328F4">
        <w:rPr>
          <w:lang w:val="en-GB"/>
        </w:rPr>
        <w:t xml:space="preserve">for </w:t>
      </w:r>
      <w:r w:rsidR="005328F4" w:rsidRPr="005328F4">
        <w:rPr>
          <w:lang w:val="en-GB"/>
        </w:rPr>
        <w:t xml:space="preserve">Rel-17 </w:t>
      </w:r>
      <w:r w:rsidR="005328F4">
        <w:rPr>
          <w:lang w:val="en-GB"/>
        </w:rPr>
        <w:t xml:space="preserve">IAB </w:t>
      </w:r>
      <w:r w:rsidR="005328F4" w:rsidRPr="005328F4">
        <w:rPr>
          <w:lang w:val="en-GB"/>
        </w:rPr>
        <w:t>enhancements</w:t>
      </w:r>
      <w:r w:rsidR="005328F4">
        <w:rPr>
          <w:lang w:val="en-GB"/>
        </w:rPr>
        <w:t>.</w:t>
      </w:r>
    </w:p>
    <w:p w14:paraId="287A56F6" w14:textId="77777777" w:rsidR="009D665A" w:rsidRPr="009D665A" w:rsidRDefault="009D665A" w:rsidP="009D665A">
      <w:pPr>
        <w:rPr>
          <w:lang w:val="en-GB"/>
        </w:rPr>
      </w:pPr>
    </w:p>
    <w:p w14:paraId="258151C4" w14:textId="77777777" w:rsidR="00291CA8" w:rsidRPr="00EF698B" w:rsidRDefault="00291CA8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7521E20F" w:rsidR="005C23A4" w:rsidRDefault="005328F4" w:rsidP="005C23A4">
      <w:r>
        <w:t xml:space="preserve">In this paper, we discussed whether new </w:t>
      </w:r>
      <w:r w:rsidR="00BA0202">
        <w:t xml:space="preserve">demodulation performance requirements are needed for </w:t>
      </w:r>
      <w:r w:rsidR="00BA0202" w:rsidRPr="00BA0202">
        <w:t>Rel-17 IAB enhancements</w:t>
      </w:r>
      <w:r w:rsidR="00BA0202">
        <w:t>.</w:t>
      </w:r>
    </w:p>
    <w:p w14:paraId="4BBB8D20" w14:textId="113F420D" w:rsidR="00BA0202" w:rsidRDefault="00BA0202" w:rsidP="005C23A4">
      <w:r>
        <w:t>The following observation and proposal are made:</w:t>
      </w:r>
    </w:p>
    <w:p w14:paraId="07974B76" w14:textId="77777777" w:rsidR="005F5555" w:rsidRDefault="005F5555" w:rsidP="005F5555">
      <w:pPr>
        <w:pStyle w:val="RAN4Observation"/>
        <w:numPr>
          <w:ilvl w:val="0"/>
          <w:numId w:val="11"/>
        </w:numPr>
      </w:pPr>
      <w:r>
        <w:t>Since IAB-nodes are stationary, like in Rel-16, there is no need to introduce any new propagation conditions, neither for access nor for the backhaul links.</w:t>
      </w:r>
    </w:p>
    <w:p w14:paraId="1EDD997D" w14:textId="77777777" w:rsidR="005F5555" w:rsidRDefault="005F5555" w:rsidP="005F5555">
      <w:pPr>
        <w:pStyle w:val="RAN4Observation"/>
        <w:numPr>
          <w:ilvl w:val="0"/>
          <w:numId w:val="11"/>
        </w:numPr>
      </w:pPr>
      <w:r>
        <w:lastRenderedPageBreak/>
        <w:t>IAB nodes are part of the infrastructure. BS style testing was used for IAB-MTs in Rel-17. Deployment of IAB nodes assumes certain level of planning. No new interference handling techniques were introduced in Rel-17. Hence, IAB duplexing enhancements should not introduce new demodulation performance requirements.</w:t>
      </w:r>
    </w:p>
    <w:p w14:paraId="5C8C8F17" w14:textId="77777777" w:rsidR="005F5555" w:rsidRPr="005F5555" w:rsidRDefault="005F5555" w:rsidP="005F5555">
      <w:pPr>
        <w:pStyle w:val="RAN4proposal"/>
        <w:numPr>
          <w:ilvl w:val="0"/>
          <w:numId w:val="8"/>
        </w:numPr>
        <w:rPr>
          <w:lang w:val="en-GB"/>
        </w:rPr>
      </w:pPr>
      <w:r w:rsidRPr="005F5555">
        <w:rPr>
          <w:lang w:val="en-GB"/>
        </w:rPr>
        <w:t>RAN4 to not to introduce any new demodulation performance requirements for Rel-17 IAB enhancements.</w:t>
      </w:r>
    </w:p>
    <w:p w14:paraId="42D5A465" w14:textId="77777777" w:rsidR="0077595E" w:rsidRPr="0077595E" w:rsidRDefault="0077595E" w:rsidP="0077595E"/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40F08016" w:rsidR="00687FA0" w:rsidRPr="00EF698B" w:rsidRDefault="008D561A" w:rsidP="00D66188">
      <w:pPr>
        <w:pStyle w:val="ListParagraph"/>
        <w:numPr>
          <w:ilvl w:val="0"/>
          <w:numId w:val="21"/>
        </w:numPr>
        <w:ind w:right="-22"/>
      </w:pPr>
      <w:bookmarkStart w:id="4" w:name="_Ref95748909"/>
      <w:r w:rsidRPr="008D561A">
        <w:t>RP-213668</w:t>
      </w:r>
      <w:r>
        <w:t xml:space="preserve">, </w:t>
      </w:r>
      <w:r w:rsidRPr="008D561A">
        <w:t>Revised WID on Enhancements to Integrated Access and Backhaul for NR</w:t>
      </w:r>
      <w:r>
        <w:t xml:space="preserve">, </w:t>
      </w:r>
      <w:r w:rsidRPr="008D561A">
        <w:t>Qualcomm Incorporated</w:t>
      </w:r>
      <w:r>
        <w:t xml:space="preserve">, </w:t>
      </w:r>
      <w:r w:rsidRPr="008D561A">
        <w:t>RAN#94-e</w:t>
      </w:r>
      <w:r>
        <w:t>.</w:t>
      </w:r>
      <w:bookmarkEnd w:id="4"/>
    </w:p>
    <w:sectPr w:rsidR="00687FA0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CCD96" w14:textId="77777777" w:rsidR="005D1CDF" w:rsidRDefault="005D1CDF" w:rsidP="00001C9B">
      <w:pPr>
        <w:spacing w:after="0" w:line="240" w:lineRule="auto"/>
      </w:pPr>
      <w:r>
        <w:separator/>
      </w:r>
    </w:p>
  </w:endnote>
  <w:endnote w:type="continuationSeparator" w:id="0">
    <w:p w14:paraId="16B27046" w14:textId="77777777" w:rsidR="005D1CDF" w:rsidRDefault="005D1CDF" w:rsidP="00001C9B">
      <w:pPr>
        <w:spacing w:after="0" w:line="240" w:lineRule="auto"/>
      </w:pPr>
      <w:r>
        <w:continuationSeparator/>
      </w:r>
    </w:p>
  </w:endnote>
  <w:endnote w:type="continuationNotice" w:id="1">
    <w:p w14:paraId="064621C4" w14:textId="77777777" w:rsidR="003E4ACE" w:rsidRDefault="003E4A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BF9A5" w14:textId="77777777" w:rsidR="005D1CDF" w:rsidRDefault="005D1CDF" w:rsidP="00001C9B">
      <w:pPr>
        <w:spacing w:after="0" w:line="240" w:lineRule="auto"/>
      </w:pPr>
      <w:r>
        <w:separator/>
      </w:r>
    </w:p>
  </w:footnote>
  <w:footnote w:type="continuationSeparator" w:id="0">
    <w:p w14:paraId="0737F9D5" w14:textId="77777777" w:rsidR="005D1CDF" w:rsidRDefault="005D1CDF" w:rsidP="00001C9B">
      <w:pPr>
        <w:spacing w:after="0" w:line="240" w:lineRule="auto"/>
      </w:pPr>
      <w:r>
        <w:continuationSeparator/>
      </w:r>
    </w:p>
  </w:footnote>
  <w:footnote w:type="continuationNotice" w:id="1">
    <w:p w14:paraId="5FE07BBF" w14:textId="77777777" w:rsidR="003E4ACE" w:rsidRDefault="003E4A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2E544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12"/>
  </w:num>
  <w:num w:numId="6">
    <w:abstractNumId w:val="6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0"/>
  </w:num>
  <w:num w:numId="22">
    <w:abstractNumId w:val="7"/>
  </w:num>
  <w:num w:numId="23">
    <w:abstractNumId w:val="4"/>
  </w:num>
  <w:num w:numId="24">
    <w:abstractNumId w:val="4"/>
  </w:num>
  <w:num w:numId="25">
    <w:abstractNumId w:val="6"/>
    <w:lvlOverride w:ilvl="0">
      <w:startOverride w:val="1"/>
    </w:lvlOverride>
  </w:num>
  <w:num w:numId="2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qwUA1zUZmSwAAAA="/>
  </w:docVars>
  <w:rsids>
    <w:rsidRoot w:val="00841BCD"/>
    <w:rsid w:val="00001C9B"/>
    <w:rsid w:val="000055AE"/>
    <w:rsid w:val="00032C6B"/>
    <w:rsid w:val="000424EE"/>
    <w:rsid w:val="000500D7"/>
    <w:rsid w:val="00056345"/>
    <w:rsid w:val="00061D5B"/>
    <w:rsid w:val="000803AC"/>
    <w:rsid w:val="0008612A"/>
    <w:rsid w:val="00090E18"/>
    <w:rsid w:val="00097542"/>
    <w:rsid w:val="000B0056"/>
    <w:rsid w:val="000B10AE"/>
    <w:rsid w:val="000B25F9"/>
    <w:rsid w:val="000C474A"/>
    <w:rsid w:val="000E0CA5"/>
    <w:rsid w:val="000F7F64"/>
    <w:rsid w:val="00126D62"/>
    <w:rsid w:val="00140221"/>
    <w:rsid w:val="00146D74"/>
    <w:rsid w:val="0016528D"/>
    <w:rsid w:val="00173EF1"/>
    <w:rsid w:val="001745F8"/>
    <w:rsid w:val="001838CF"/>
    <w:rsid w:val="001868EE"/>
    <w:rsid w:val="0019761B"/>
    <w:rsid w:val="001A3BA4"/>
    <w:rsid w:val="001A6987"/>
    <w:rsid w:val="001B6090"/>
    <w:rsid w:val="001B668D"/>
    <w:rsid w:val="001E30F6"/>
    <w:rsid w:val="00224910"/>
    <w:rsid w:val="00235F5C"/>
    <w:rsid w:val="00251020"/>
    <w:rsid w:val="002644E8"/>
    <w:rsid w:val="00291CA8"/>
    <w:rsid w:val="002A1885"/>
    <w:rsid w:val="002B4922"/>
    <w:rsid w:val="002B7368"/>
    <w:rsid w:val="002C2D19"/>
    <w:rsid w:val="002C3EAD"/>
    <w:rsid w:val="002C6DE8"/>
    <w:rsid w:val="002D10FA"/>
    <w:rsid w:val="002D4C55"/>
    <w:rsid w:val="002E48F5"/>
    <w:rsid w:val="00323706"/>
    <w:rsid w:val="003368EE"/>
    <w:rsid w:val="00336FA7"/>
    <w:rsid w:val="003420C7"/>
    <w:rsid w:val="00347C52"/>
    <w:rsid w:val="0035572A"/>
    <w:rsid w:val="00392262"/>
    <w:rsid w:val="003A6CFD"/>
    <w:rsid w:val="003B2879"/>
    <w:rsid w:val="003B659E"/>
    <w:rsid w:val="003C3606"/>
    <w:rsid w:val="003E4ACE"/>
    <w:rsid w:val="004019B8"/>
    <w:rsid w:val="00402B5E"/>
    <w:rsid w:val="0043750A"/>
    <w:rsid w:val="0044647C"/>
    <w:rsid w:val="00447866"/>
    <w:rsid w:val="00460EC9"/>
    <w:rsid w:val="004614E2"/>
    <w:rsid w:val="00474DA0"/>
    <w:rsid w:val="004762D8"/>
    <w:rsid w:val="004854BB"/>
    <w:rsid w:val="0048573F"/>
    <w:rsid w:val="004921AD"/>
    <w:rsid w:val="00492D25"/>
    <w:rsid w:val="004944A0"/>
    <w:rsid w:val="004A4823"/>
    <w:rsid w:val="004D1716"/>
    <w:rsid w:val="004E07A9"/>
    <w:rsid w:val="004E0DDE"/>
    <w:rsid w:val="004E5E66"/>
    <w:rsid w:val="004E7FA2"/>
    <w:rsid w:val="00503B4D"/>
    <w:rsid w:val="00504EE9"/>
    <w:rsid w:val="00526B4C"/>
    <w:rsid w:val="005328F4"/>
    <w:rsid w:val="005337B8"/>
    <w:rsid w:val="00542B17"/>
    <w:rsid w:val="0054442C"/>
    <w:rsid w:val="00550285"/>
    <w:rsid w:val="0057038D"/>
    <w:rsid w:val="005836F8"/>
    <w:rsid w:val="005918FA"/>
    <w:rsid w:val="005A464F"/>
    <w:rsid w:val="005C23A4"/>
    <w:rsid w:val="005D1CDF"/>
    <w:rsid w:val="005E61A8"/>
    <w:rsid w:val="005E7965"/>
    <w:rsid w:val="005F5555"/>
    <w:rsid w:val="005F6419"/>
    <w:rsid w:val="006028FD"/>
    <w:rsid w:val="00602C97"/>
    <w:rsid w:val="0061335C"/>
    <w:rsid w:val="00617400"/>
    <w:rsid w:val="006242C8"/>
    <w:rsid w:val="00637130"/>
    <w:rsid w:val="0063789A"/>
    <w:rsid w:val="00644D74"/>
    <w:rsid w:val="006500B4"/>
    <w:rsid w:val="0065444F"/>
    <w:rsid w:val="00664950"/>
    <w:rsid w:val="00683220"/>
    <w:rsid w:val="00686266"/>
    <w:rsid w:val="00687FA0"/>
    <w:rsid w:val="00690CCA"/>
    <w:rsid w:val="006910A4"/>
    <w:rsid w:val="006A39D4"/>
    <w:rsid w:val="006B5A04"/>
    <w:rsid w:val="006B7010"/>
    <w:rsid w:val="006D6419"/>
    <w:rsid w:val="006E16D1"/>
    <w:rsid w:val="006E2D95"/>
    <w:rsid w:val="006E6311"/>
    <w:rsid w:val="006F4654"/>
    <w:rsid w:val="00700C69"/>
    <w:rsid w:val="007145FF"/>
    <w:rsid w:val="007205EB"/>
    <w:rsid w:val="00751515"/>
    <w:rsid w:val="00753A39"/>
    <w:rsid w:val="0076494B"/>
    <w:rsid w:val="0076729B"/>
    <w:rsid w:val="00775690"/>
    <w:rsid w:val="0077595E"/>
    <w:rsid w:val="00784DF6"/>
    <w:rsid w:val="00784E7F"/>
    <w:rsid w:val="00785232"/>
    <w:rsid w:val="007C3ED0"/>
    <w:rsid w:val="007E71D7"/>
    <w:rsid w:val="007E7FC3"/>
    <w:rsid w:val="007F3C5A"/>
    <w:rsid w:val="00801565"/>
    <w:rsid w:val="00806A76"/>
    <w:rsid w:val="00811C9D"/>
    <w:rsid w:val="00816C80"/>
    <w:rsid w:val="008303FD"/>
    <w:rsid w:val="00831256"/>
    <w:rsid w:val="00834BF3"/>
    <w:rsid w:val="00834CD5"/>
    <w:rsid w:val="00841BCD"/>
    <w:rsid w:val="00851A8E"/>
    <w:rsid w:val="00865DCA"/>
    <w:rsid w:val="008826C1"/>
    <w:rsid w:val="008909F3"/>
    <w:rsid w:val="008942E7"/>
    <w:rsid w:val="00897F5C"/>
    <w:rsid w:val="008D561A"/>
    <w:rsid w:val="0090091A"/>
    <w:rsid w:val="009042BD"/>
    <w:rsid w:val="00916218"/>
    <w:rsid w:val="00930693"/>
    <w:rsid w:val="00972B95"/>
    <w:rsid w:val="00977E1D"/>
    <w:rsid w:val="009A76F3"/>
    <w:rsid w:val="009D665A"/>
    <w:rsid w:val="009E328F"/>
    <w:rsid w:val="009F04A3"/>
    <w:rsid w:val="00A04992"/>
    <w:rsid w:val="00A065C6"/>
    <w:rsid w:val="00A21D71"/>
    <w:rsid w:val="00A22B78"/>
    <w:rsid w:val="00A25AE5"/>
    <w:rsid w:val="00A32E5C"/>
    <w:rsid w:val="00A37002"/>
    <w:rsid w:val="00A92290"/>
    <w:rsid w:val="00AA1B0E"/>
    <w:rsid w:val="00AA3FA8"/>
    <w:rsid w:val="00AC4F65"/>
    <w:rsid w:val="00AC5CA7"/>
    <w:rsid w:val="00AC7FC6"/>
    <w:rsid w:val="00AE2BA5"/>
    <w:rsid w:val="00AE56B1"/>
    <w:rsid w:val="00AF286B"/>
    <w:rsid w:val="00B017CD"/>
    <w:rsid w:val="00B02B3A"/>
    <w:rsid w:val="00B1232B"/>
    <w:rsid w:val="00B33B84"/>
    <w:rsid w:val="00B43321"/>
    <w:rsid w:val="00B43D5B"/>
    <w:rsid w:val="00B63346"/>
    <w:rsid w:val="00B73862"/>
    <w:rsid w:val="00B8733F"/>
    <w:rsid w:val="00BA0202"/>
    <w:rsid w:val="00BA6E48"/>
    <w:rsid w:val="00BB7622"/>
    <w:rsid w:val="00BF2218"/>
    <w:rsid w:val="00C46B73"/>
    <w:rsid w:val="00C5307A"/>
    <w:rsid w:val="00C63DFB"/>
    <w:rsid w:val="00C66BC5"/>
    <w:rsid w:val="00C87DC8"/>
    <w:rsid w:val="00C90B0B"/>
    <w:rsid w:val="00C93226"/>
    <w:rsid w:val="00CA0BDE"/>
    <w:rsid w:val="00CB4C18"/>
    <w:rsid w:val="00CB6A12"/>
    <w:rsid w:val="00CD296D"/>
    <w:rsid w:val="00CD553F"/>
    <w:rsid w:val="00CD7492"/>
    <w:rsid w:val="00CD79FC"/>
    <w:rsid w:val="00CE3A6B"/>
    <w:rsid w:val="00D00211"/>
    <w:rsid w:val="00D06309"/>
    <w:rsid w:val="00D351EA"/>
    <w:rsid w:val="00D43403"/>
    <w:rsid w:val="00D62E71"/>
    <w:rsid w:val="00D66188"/>
    <w:rsid w:val="00D740CA"/>
    <w:rsid w:val="00D846F6"/>
    <w:rsid w:val="00D85728"/>
    <w:rsid w:val="00DB1431"/>
    <w:rsid w:val="00DF2997"/>
    <w:rsid w:val="00DF4DFC"/>
    <w:rsid w:val="00DF5D26"/>
    <w:rsid w:val="00E05FC5"/>
    <w:rsid w:val="00E171AC"/>
    <w:rsid w:val="00E534F5"/>
    <w:rsid w:val="00E6690C"/>
    <w:rsid w:val="00E66E90"/>
    <w:rsid w:val="00E82F51"/>
    <w:rsid w:val="00E8599B"/>
    <w:rsid w:val="00E939E7"/>
    <w:rsid w:val="00E96AD2"/>
    <w:rsid w:val="00EB02BD"/>
    <w:rsid w:val="00EB1EAA"/>
    <w:rsid w:val="00EC7BC3"/>
    <w:rsid w:val="00ED36DE"/>
    <w:rsid w:val="00ED7600"/>
    <w:rsid w:val="00EE5017"/>
    <w:rsid w:val="00EF033D"/>
    <w:rsid w:val="00EF698B"/>
    <w:rsid w:val="00F07316"/>
    <w:rsid w:val="00F1362C"/>
    <w:rsid w:val="00F306A2"/>
    <w:rsid w:val="00F35F1A"/>
    <w:rsid w:val="00F508B8"/>
    <w:rsid w:val="00F629A7"/>
    <w:rsid w:val="00F807BD"/>
    <w:rsid w:val="00F824F5"/>
    <w:rsid w:val="00FA6623"/>
    <w:rsid w:val="00FB217F"/>
    <w:rsid w:val="00FC29B9"/>
    <w:rsid w:val="00FC6FD3"/>
    <w:rsid w:val="00FE7BCB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764AA"/>
  <w15:chartTrackingRefBased/>
  <w15:docId w15:val="{68BCF6C0-44F3-4950-93DA-5DC91C56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05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AC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05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4ACE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5AIRPNAIUNRU-1328258698-9942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https://nokia.sharepoint.com/sites/c5g/5gradio/_layouts/15/DocIdRedir.aspx?ID=5AIRPNAIUNRU-1328258698-9942</Url>
      <Description>5AIRPNAIUNRU-1328258698-9942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2</cp:revision>
  <dcterms:created xsi:type="dcterms:W3CDTF">2022-02-14T20:50:00Z</dcterms:created>
  <dcterms:modified xsi:type="dcterms:W3CDTF">2022-02-14T20:50:00Z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13e8b3a4-523e-43b9-93a7-ef017bd5d6f3</vt:lpwstr>
  </property>
</Properties>
</file>