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BC427" w14:textId="164EA217" w:rsidR="00980353" w:rsidRPr="000862DF" w:rsidRDefault="00013936" w:rsidP="002D2BFB">
      <w:pPr>
        <w:pStyle w:val="CRCoverPage"/>
        <w:tabs>
          <w:tab w:val="right" w:pos="13323"/>
        </w:tabs>
        <w:spacing w:after="0"/>
        <w:rPr>
          <w:rFonts w:cs="Arial"/>
          <w:b/>
          <w:sz w:val="24"/>
          <w:szCs w:val="24"/>
        </w:rPr>
      </w:pPr>
      <w:bookmarkStart w:id="0" w:name="_Toc193024528"/>
      <w:r w:rsidRPr="000862DF">
        <w:rPr>
          <w:b/>
          <w:sz w:val="24"/>
        </w:rPr>
        <w:t>3GPP TSG RAN</w:t>
      </w:r>
      <w:r w:rsidR="001D634E" w:rsidRPr="000862DF">
        <w:rPr>
          <w:b/>
          <w:sz w:val="24"/>
        </w:rPr>
        <w:t>4</w:t>
      </w:r>
      <w:r w:rsidRPr="000862DF">
        <w:rPr>
          <w:b/>
          <w:sz w:val="24"/>
        </w:rPr>
        <w:t xml:space="preserve"> Meeting #</w:t>
      </w:r>
      <w:r w:rsidR="00111BE5">
        <w:rPr>
          <w:b/>
          <w:sz w:val="24"/>
        </w:rPr>
        <w:t>10</w:t>
      </w:r>
      <w:r w:rsidR="00A34D4B">
        <w:rPr>
          <w:b/>
          <w:sz w:val="24"/>
        </w:rPr>
        <w:t>1</w:t>
      </w:r>
      <w:r w:rsidR="00717748" w:rsidRPr="000862DF">
        <w:rPr>
          <w:b/>
          <w:sz w:val="24"/>
        </w:rPr>
        <w:t>-</w:t>
      </w:r>
      <w:r w:rsidR="00360F7F">
        <w:rPr>
          <w:b/>
          <w:sz w:val="24"/>
        </w:rPr>
        <w:t>bis-</w:t>
      </w:r>
      <w:r w:rsidR="001D634E" w:rsidRPr="000862DF">
        <w:rPr>
          <w:b/>
          <w:sz w:val="24"/>
        </w:rPr>
        <w:t>e</w:t>
      </w:r>
      <w:r w:rsidR="00980353" w:rsidRPr="000862DF">
        <w:rPr>
          <w:rFonts w:cs="Arial"/>
          <w:b/>
          <w:sz w:val="24"/>
          <w:szCs w:val="24"/>
        </w:rPr>
        <w:tab/>
      </w:r>
      <w:r w:rsidR="001D634E" w:rsidRPr="000862DF">
        <w:rPr>
          <w:rFonts w:eastAsia="SimSun" w:cs="Arial"/>
          <w:b/>
          <w:sz w:val="24"/>
          <w:szCs w:val="24"/>
          <w:lang w:eastAsia="zh-CN"/>
        </w:rPr>
        <w:t>R4-2</w:t>
      </w:r>
      <w:r w:rsidR="00386C5B">
        <w:rPr>
          <w:rFonts w:eastAsia="SimSun" w:cs="Arial"/>
          <w:b/>
          <w:sz w:val="24"/>
          <w:szCs w:val="24"/>
          <w:lang w:eastAsia="zh-CN"/>
        </w:rPr>
        <w:t>xxxxx</w:t>
      </w:r>
    </w:p>
    <w:p w14:paraId="61C9439E" w14:textId="4B0494F9" w:rsidR="0037119B" w:rsidRDefault="00013936" w:rsidP="00360F7F">
      <w:pPr>
        <w:pStyle w:val="CRCoverPage"/>
        <w:outlineLvl w:val="0"/>
        <w:rPr>
          <w:b/>
          <w:sz w:val="24"/>
        </w:rPr>
      </w:pPr>
      <w:r w:rsidRPr="000862DF">
        <w:rPr>
          <w:b/>
          <w:sz w:val="24"/>
        </w:rPr>
        <w:t xml:space="preserve">Electronic Meeting, </w:t>
      </w:r>
      <w:r w:rsidR="00360F7F">
        <w:rPr>
          <w:b/>
          <w:sz w:val="24"/>
        </w:rPr>
        <w:t>17</w:t>
      </w:r>
      <w:r w:rsidR="00A34D4B" w:rsidRPr="00A34D4B">
        <w:rPr>
          <w:b/>
          <w:sz w:val="24"/>
          <w:vertAlign w:val="superscript"/>
        </w:rPr>
        <w:t>st</w:t>
      </w:r>
      <w:r w:rsidR="00A34D4B">
        <w:rPr>
          <w:b/>
          <w:sz w:val="24"/>
        </w:rPr>
        <w:t xml:space="preserve"> </w:t>
      </w:r>
      <w:r w:rsidR="00360F7F">
        <w:rPr>
          <w:b/>
          <w:sz w:val="24"/>
        </w:rPr>
        <w:t>- 25</w:t>
      </w:r>
      <w:r w:rsidR="00A34D4B" w:rsidRPr="00A34D4B">
        <w:rPr>
          <w:b/>
          <w:sz w:val="24"/>
          <w:vertAlign w:val="superscript"/>
        </w:rPr>
        <w:t>th</w:t>
      </w:r>
      <w:r w:rsidR="00A34D4B">
        <w:rPr>
          <w:b/>
          <w:sz w:val="24"/>
        </w:rPr>
        <w:t xml:space="preserve"> </w:t>
      </w:r>
      <w:r w:rsidR="00360F7F">
        <w:rPr>
          <w:b/>
          <w:sz w:val="24"/>
        </w:rPr>
        <w:t>January</w:t>
      </w:r>
      <w:r w:rsidRPr="000862DF">
        <w:rPr>
          <w:b/>
          <w:sz w:val="24"/>
        </w:rPr>
        <w:t>, 202</w:t>
      </w:r>
      <w:r w:rsidR="00360F7F">
        <w:rPr>
          <w:b/>
          <w:sz w:val="24"/>
        </w:rPr>
        <w:t>2</w:t>
      </w:r>
    </w:p>
    <w:p w14:paraId="322C0BA7" w14:textId="77777777" w:rsidR="00360F7F" w:rsidRPr="000862DF" w:rsidRDefault="00360F7F" w:rsidP="00360F7F">
      <w:pPr>
        <w:pStyle w:val="CRCoverPage"/>
        <w:outlineLvl w:val="0"/>
        <w:rPr>
          <w:rFonts w:eastAsia="SimSun"/>
          <w:b/>
          <w:i/>
          <w:sz w:val="24"/>
          <w:lang w:eastAsia="zh-CN"/>
        </w:rPr>
      </w:pPr>
    </w:p>
    <w:p w14:paraId="0133FF23" w14:textId="4087EE10" w:rsidR="0037119B" w:rsidRPr="000862DF" w:rsidRDefault="0037119B" w:rsidP="004F2CB8">
      <w:pPr>
        <w:tabs>
          <w:tab w:val="left" w:pos="1985"/>
        </w:tabs>
        <w:ind w:left="1980" w:hanging="1980"/>
        <w:rPr>
          <w:rStyle w:val="a4"/>
          <w:lang w:val="en-GB"/>
        </w:rPr>
      </w:pPr>
      <w:r w:rsidRPr="000862DF">
        <w:rPr>
          <w:rFonts w:ascii="Arial" w:hAnsi="Arial"/>
          <w:b/>
          <w:sz w:val="24"/>
        </w:rPr>
        <w:t>Title:</w:t>
      </w:r>
      <w:r w:rsidRPr="000862DF">
        <w:rPr>
          <w:rFonts w:ascii="Arial" w:hAnsi="Arial"/>
          <w:sz w:val="24"/>
        </w:rPr>
        <w:t xml:space="preserve"> </w:t>
      </w:r>
      <w:r w:rsidRPr="000862DF">
        <w:rPr>
          <w:rFonts w:ascii="Arial" w:hAnsi="Arial"/>
          <w:sz w:val="24"/>
        </w:rPr>
        <w:tab/>
      </w:r>
      <w:r w:rsidR="00377843">
        <w:rPr>
          <w:rFonts w:ascii="Arial" w:hAnsi="Arial"/>
          <w:sz w:val="24"/>
        </w:rPr>
        <w:t xml:space="preserve">CLI measurement </w:t>
      </w:r>
      <w:r w:rsidR="003D79ED" w:rsidRPr="003D79ED">
        <w:rPr>
          <w:rFonts w:ascii="Arial" w:hAnsi="Arial"/>
          <w:sz w:val="24"/>
        </w:rPr>
        <w:t xml:space="preserve">requirement for R17 NR </w:t>
      </w:r>
      <w:proofErr w:type="spellStart"/>
      <w:r w:rsidR="003D79ED" w:rsidRPr="003D79ED">
        <w:rPr>
          <w:rFonts w:ascii="Arial" w:hAnsi="Arial"/>
          <w:sz w:val="24"/>
        </w:rPr>
        <w:t>eIAB</w:t>
      </w:r>
      <w:proofErr w:type="spellEnd"/>
      <w:r w:rsidR="00377843">
        <w:rPr>
          <w:rFonts w:ascii="Arial" w:hAnsi="Arial"/>
          <w:sz w:val="24"/>
        </w:rPr>
        <w:t xml:space="preserve"> RRM</w:t>
      </w:r>
    </w:p>
    <w:p w14:paraId="42CF830F" w14:textId="4473671B" w:rsidR="0037119B" w:rsidRPr="000862DF" w:rsidRDefault="0037119B" w:rsidP="000F698D">
      <w:pPr>
        <w:tabs>
          <w:tab w:val="left" w:pos="1985"/>
        </w:tabs>
        <w:ind w:left="1990" w:hangingChars="826" w:hanging="1990"/>
        <w:rPr>
          <w:rStyle w:val="a4"/>
          <w:lang w:val="en-GB"/>
        </w:rPr>
      </w:pPr>
      <w:r w:rsidRPr="000862DF">
        <w:rPr>
          <w:rFonts w:ascii="Arial" w:hAnsi="Arial"/>
          <w:b/>
          <w:sz w:val="24"/>
        </w:rPr>
        <w:t xml:space="preserve">Source: </w:t>
      </w:r>
      <w:r w:rsidRPr="000862DF">
        <w:rPr>
          <w:rFonts w:ascii="Arial" w:hAnsi="Arial"/>
          <w:b/>
          <w:sz w:val="24"/>
        </w:rPr>
        <w:tab/>
      </w:r>
      <w:r w:rsidR="00A86683">
        <w:rPr>
          <w:rStyle w:val="a4"/>
          <w:lang w:val="en-GB"/>
        </w:rPr>
        <w:t>Qualcomm</w:t>
      </w:r>
    </w:p>
    <w:p w14:paraId="2DE3A9C6" w14:textId="103A27CA" w:rsidR="0037119B" w:rsidRPr="000862DF" w:rsidRDefault="0037119B" w:rsidP="004F2CB8">
      <w:pPr>
        <w:tabs>
          <w:tab w:val="left" w:pos="1985"/>
        </w:tabs>
        <w:rPr>
          <w:rStyle w:val="a4"/>
          <w:lang w:val="en-GB"/>
        </w:rPr>
      </w:pPr>
      <w:r w:rsidRPr="000862DF">
        <w:rPr>
          <w:rFonts w:ascii="Arial" w:hAnsi="Arial"/>
          <w:b/>
          <w:sz w:val="24"/>
        </w:rPr>
        <w:t>Agenda item:</w:t>
      </w:r>
      <w:r w:rsidRPr="000862DF">
        <w:rPr>
          <w:rFonts w:ascii="Arial" w:hAnsi="Arial"/>
          <w:sz w:val="24"/>
        </w:rPr>
        <w:tab/>
      </w:r>
      <w:r w:rsidR="005B0DD4">
        <w:rPr>
          <w:rFonts w:ascii="Arial" w:hAnsi="Arial"/>
          <w:sz w:val="24"/>
        </w:rPr>
        <w:t>8</w:t>
      </w:r>
      <w:r w:rsidR="00F10AFE" w:rsidRPr="000862DF">
        <w:rPr>
          <w:rFonts w:ascii="Arial" w:hAnsi="Arial"/>
          <w:sz w:val="24"/>
        </w:rPr>
        <w:t>.1</w:t>
      </w:r>
      <w:r w:rsidR="00111BE5">
        <w:rPr>
          <w:rFonts w:ascii="Arial" w:hAnsi="Arial"/>
          <w:sz w:val="24"/>
        </w:rPr>
        <w:t>7.3</w:t>
      </w:r>
    </w:p>
    <w:p w14:paraId="11F4CF46" w14:textId="77777777" w:rsidR="0037119B" w:rsidRPr="000862DF" w:rsidRDefault="0037119B" w:rsidP="004F2CB8">
      <w:pPr>
        <w:tabs>
          <w:tab w:val="left" w:pos="1985"/>
        </w:tabs>
        <w:ind w:left="1980" w:hanging="1980"/>
        <w:rPr>
          <w:rStyle w:val="a4"/>
          <w:lang w:val="en-GB"/>
        </w:rPr>
      </w:pPr>
      <w:r w:rsidRPr="000862DF">
        <w:rPr>
          <w:rFonts w:ascii="Arial" w:hAnsi="Arial"/>
          <w:b/>
          <w:sz w:val="24"/>
        </w:rPr>
        <w:t>Document for:</w:t>
      </w:r>
      <w:r w:rsidRPr="000862DF">
        <w:rPr>
          <w:rFonts w:ascii="Arial" w:hAnsi="Arial"/>
          <w:sz w:val="24"/>
        </w:rPr>
        <w:tab/>
      </w:r>
      <w:r w:rsidR="00A13A86" w:rsidRPr="000862DF">
        <w:rPr>
          <w:rFonts w:ascii="Arial" w:hAnsi="Arial"/>
          <w:sz w:val="24"/>
          <w:lang w:eastAsia="zh-CN"/>
        </w:rPr>
        <w:t>D</w:t>
      </w:r>
      <w:r w:rsidR="00673233" w:rsidRPr="000862DF">
        <w:rPr>
          <w:rFonts w:ascii="Arial" w:hAnsi="Arial"/>
          <w:sz w:val="24"/>
          <w:lang w:eastAsia="zh-CN"/>
        </w:rPr>
        <w:t>iscussion</w:t>
      </w:r>
    </w:p>
    <w:p w14:paraId="77C068B3" w14:textId="77777777" w:rsidR="00DD5AE1" w:rsidRPr="000862DF" w:rsidRDefault="00CD7DBF" w:rsidP="004F2CB8">
      <w:pPr>
        <w:pStyle w:val="Heading1"/>
        <w:rPr>
          <w:rFonts w:eastAsia="SimSun"/>
          <w:lang w:eastAsia="zh-CN"/>
        </w:rPr>
      </w:pPr>
      <w:r w:rsidRPr="000862DF">
        <w:rPr>
          <w:rFonts w:eastAsia="SimSun"/>
          <w:lang w:eastAsia="zh-CN"/>
        </w:rPr>
        <w:t>Introduction</w:t>
      </w:r>
    </w:p>
    <w:p w14:paraId="7E43458D" w14:textId="110AD412" w:rsidR="00104FDD" w:rsidRPr="000862DF" w:rsidRDefault="00104FDD" w:rsidP="000678DD">
      <w:pPr>
        <w:rPr>
          <w:lang w:eastAsia="zh-CN"/>
        </w:rPr>
      </w:pPr>
      <w:r w:rsidRPr="000862DF">
        <w:rPr>
          <w:lang w:eastAsia="zh-CN"/>
        </w:rPr>
        <w:t xml:space="preserve">According to </w:t>
      </w:r>
      <w:r w:rsidR="001B1CE4">
        <w:rPr>
          <w:lang w:eastAsia="zh-CN"/>
        </w:rPr>
        <w:t>WF [1] from RAN4 #101-</w:t>
      </w:r>
      <w:r w:rsidR="00AD5F53">
        <w:rPr>
          <w:lang w:eastAsia="zh-CN"/>
        </w:rPr>
        <w:t>bis-</w:t>
      </w:r>
      <w:r w:rsidR="001B1CE4">
        <w:rPr>
          <w:lang w:eastAsia="zh-CN"/>
        </w:rPr>
        <w:t xml:space="preserve">e, one of the open items related to </w:t>
      </w:r>
      <w:proofErr w:type="spellStart"/>
      <w:r w:rsidR="001B1CE4">
        <w:rPr>
          <w:lang w:eastAsia="zh-CN"/>
        </w:rPr>
        <w:t>eIAB</w:t>
      </w:r>
      <w:proofErr w:type="spellEnd"/>
      <w:r w:rsidR="001B1CE4">
        <w:rPr>
          <w:lang w:eastAsia="zh-CN"/>
        </w:rPr>
        <w:t xml:space="preserve"> RRM core requirement is whether to define CLI measurement requirement. In this contribution, we reiterate our view on this issue.</w:t>
      </w:r>
      <w:r w:rsidR="00AD5F53">
        <w:rPr>
          <w:lang w:eastAsia="zh-CN"/>
        </w:rPr>
        <w:t xml:space="preserve"> </w:t>
      </w:r>
    </w:p>
    <w:p w14:paraId="37EAFFD4" w14:textId="19D81125" w:rsidR="00040A4B" w:rsidRDefault="00040A4B" w:rsidP="002A4079">
      <w:pPr>
        <w:pStyle w:val="Heading1"/>
        <w:rPr>
          <w:rFonts w:eastAsia="SimSun"/>
          <w:lang w:eastAsia="zh-CN"/>
        </w:rPr>
      </w:pPr>
      <w:bookmarkStart w:id="1" w:name="OLE_LINK1"/>
      <w:bookmarkStart w:id="2" w:name="OLE_LINK2"/>
      <w:r w:rsidRPr="000862DF">
        <w:rPr>
          <w:rFonts w:eastAsia="SimSun"/>
          <w:lang w:eastAsia="zh-CN"/>
        </w:rPr>
        <w:t>Discussion</w:t>
      </w:r>
    </w:p>
    <w:p w14:paraId="11166986" w14:textId="13507E9E" w:rsidR="00CC0587" w:rsidRDefault="00CC0587" w:rsidP="00CC0587">
      <w:pPr>
        <w:rPr>
          <w:lang w:eastAsia="zh-CN"/>
        </w:rPr>
      </w:pPr>
      <w:r>
        <w:rPr>
          <w:lang w:eastAsia="zh-CN"/>
        </w:rPr>
        <w:t xml:space="preserve">RAN1 has spent many TU’s discussing CLI scenario for enhanced IAB and identified many cases where CLI will arise, especially with full duplex mode operation.  </w:t>
      </w:r>
    </w:p>
    <w:p w14:paraId="12162754" w14:textId="421217EF" w:rsidR="00A358D7" w:rsidRPr="00CC0587" w:rsidRDefault="00A358D7" w:rsidP="00CC0587">
      <w:pPr>
        <w:rPr>
          <w:lang w:eastAsia="zh-CN"/>
        </w:rPr>
      </w:pPr>
      <w:r>
        <w:t xml:space="preserve">For example, as shown in </w:t>
      </w:r>
      <w:r>
        <w:fldChar w:fldCharType="begin"/>
      </w:r>
      <w:r>
        <w:instrText xml:space="preserve"> REF _Ref95119584 \h </w:instrText>
      </w:r>
      <w:r>
        <w:fldChar w:fldCharType="separate"/>
      </w:r>
      <w:r>
        <w:t xml:space="preserve">Figure </w:t>
      </w:r>
      <w:r>
        <w:rPr>
          <w:noProof/>
        </w:rPr>
        <w:t>2</w:t>
      </w:r>
      <w:r>
        <w:noBreakHyphen/>
      </w:r>
      <w:r>
        <w:rPr>
          <w:noProof/>
        </w:rPr>
        <w:t>1</w:t>
      </w:r>
      <w:r>
        <w:fldChar w:fldCharType="end"/>
      </w:r>
      <w:r>
        <w:t xml:space="preserve"> below, an IAB-node may be simultaneously in TX or in RX mode on both of its adjacent links (parent BH link and child links). As a result, the two adjacent links will have opposing DL/UL directions. This will lead to CLI across the two hops. </w:t>
      </w:r>
    </w:p>
    <w:p w14:paraId="47824ED9" w14:textId="36428701" w:rsidR="00CC0587" w:rsidRDefault="00CC0587" w:rsidP="00CC0587">
      <w:pPr>
        <w:keepNext/>
      </w:pPr>
      <w:r>
        <w:rPr>
          <w:noProof/>
        </w:rPr>
        <w:drawing>
          <wp:inline distT="0" distB="0" distL="0" distR="0" wp14:anchorId="112EC93E" wp14:editId="07D08567">
            <wp:extent cx="1801495" cy="1896745"/>
            <wp:effectExtent l="0" t="0" r="8255" b="8255"/>
            <wp:docPr id="2" name="Picture 2" descr="Diagram,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 application&#10;&#10;Description automatically generated"/>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801495" cy="1896745"/>
                    </a:xfrm>
                    <a:prstGeom prst="rect">
                      <a:avLst/>
                    </a:prstGeom>
                    <a:noFill/>
                    <a:ln>
                      <a:noFill/>
                    </a:ln>
                  </pic:spPr>
                </pic:pic>
              </a:graphicData>
            </a:graphic>
          </wp:inline>
        </w:drawing>
      </w:r>
      <w:r>
        <w:rPr>
          <w:noProof/>
        </w:rPr>
        <w:drawing>
          <wp:inline distT="0" distB="0" distL="0" distR="0" wp14:anchorId="3141F9BF" wp14:editId="4B16D9B2">
            <wp:extent cx="1896745" cy="1999615"/>
            <wp:effectExtent l="0" t="0" r="8255" b="635"/>
            <wp:docPr id="1" name="Picture 1" descr="Diagram,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application&#10;&#10;Description automatically generated"/>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1896745" cy="1999615"/>
                    </a:xfrm>
                    <a:prstGeom prst="rect">
                      <a:avLst/>
                    </a:prstGeom>
                    <a:noFill/>
                    <a:ln>
                      <a:noFill/>
                    </a:ln>
                  </pic:spPr>
                </pic:pic>
              </a:graphicData>
            </a:graphic>
          </wp:inline>
        </w:drawing>
      </w:r>
    </w:p>
    <w:p w14:paraId="6D17AE00" w14:textId="4C2A967F" w:rsidR="00CC0587" w:rsidRDefault="00CC0587" w:rsidP="00CC0587">
      <w:pPr>
        <w:pStyle w:val="Caption"/>
      </w:pPr>
      <w:bookmarkStart w:id="3" w:name="_Ref95119584"/>
      <w:r>
        <w:t xml:space="preserve">Figure </w:t>
      </w:r>
      <w:fldSimple w:instr=" STYLEREF 1 \s ">
        <w:r w:rsidR="006C5DEE">
          <w:rPr>
            <w:noProof/>
          </w:rPr>
          <w:t>2</w:t>
        </w:r>
      </w:fldSimple>
      <w:r w:rsidR="006C5DEE">
        <w:noBreakHyphen/>
      </w:r>
      <w:fldSimple w:instr=" SEQ Figure \* ARABIC \s 1 ">
        <w:r w:rsidR="006C5DEE">
          <w:rPr>
            <w:noProof/>
          </w:rPr>
          <w:t>1</w:t>
        </w:r>
      </w:fldSimple>
      <w:bookmarkEnd w:id="3"/>
      <w:r w:rsidR="00A358D7">
        <w:t xml:space="preserve"> CLI in Full-Duplex IAB operation across two hops</w:t>
      </w:r>
    </w:p>
    <w:p w14:paraId="6636F833" w14:textId="2AD8E471" w:rsidR="006C5DEE" w:rsidRDefault="006C5DEE" w:rsidP="00CC0587">
      <w:pPr>
        <w:rPr>
          <w:noProof/>
        </w:rPr>
      </w:pPr>
      <w:r>
        <w:rPr>
          <w:noProof/>
        </w:rPr>
        <w:t xml:space="preserve">Another example of CLI arising between IAB nodes on the same hop is illustrated in below. Due to enhanced duplexing capability induced by Rel 17, the two IAB nodes likely have different TDD configurations. </w:t>
      </w:r>
    </w:p>
    <w:p w14:paraId="769368B2" w14:textId="77777777" w:rsidR="006C5DEE" w:rsidRDefault="00A358D7" w:rsidP="006C5DEE">
      <w:pPr>
        <w:keepNext/>
      </w:pPr>
      <w:r>
        <w:rPr>
          <w:noProof/>
        </w:rPr>
        <w:drawing>
          <wp:inline distT="0" distB="0" distL="0" distR="0" wp14:anchorId="485D0BB8" wp14:editId="32D454BE">
            <wp:extent cx="2477135" cy="1583055"/>
            <wp:effectExtent l="0" t="0" r="18415" b="17145"/>
            <wp:docPr id="3" name="Picture 3" descr="Applicatio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pplication&#10;&#10;Description automatically generated with low confidence"/>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77135" cy="1583055"/>
                    </a:xfrm>
                    <a:prstGeom prst="rect">
                      <a:avLst/>
                    </a:prstGeom>
                    <a:noFill/>
                    <a:ln>
                      <a:noFill/>
                    </a:ln>
                  </pic:spPr>
                </pic:pic>
              </a:graphicData>
            </a:graphic>
          </wp:inline>
        </w:drawing>
      </w:r>
    </w:p>
    <w:p w14:paraId="382922C8" w14:textId="0286415F" w:rsidR="00CC0587" w:rsidRDefault="006C5DEE" w:rsidP="006C5DEE">
      <w:pPr>
        <w:pStyle w:val="Caption"/>
        <w:rPr>
          <w:rFonts w:eastAsiaTheme="minorEastAsia"/>
          <w:lang w:eastAsia="zh-CN"/>
        </w:rPr>
      </w:pPr>
      <w:r>
        <w:t xml:space="preserve">Figure </w:t>
      </w:r>
      <w:fldSimple w:instr=" STYLEREF 1 \s ">
        <w:r>
          <w:rPr>
            <w:noProof/>
          </w:rPr>
          <w:t>2</w:t>
        </w:r>
      </w:fldSimple>
      <w:r>
        <w:noBreakHyphen/>
      </w:r>
      <w:fldSimple w:instr=" SEQ Figure \* ARABIC \s 1 ">
        <w:r>
          <w:rPr>
            <w:noProof/>
          </w:rPr>
          <w:t>2</w:t>
        </w:r>
      </w:fldSimple>
      <w:r>
        <w:t xml:space="preserve"> CLI between IAB nodes with different TDD configurations</w:t>
      </w:r>
    </w:p>
    <w:p w14:paraId="3F837080" w14:textId="75DEDCAA" w:rsidR="006C5DEE" w:rsidRPr="006C5DEE" w:rsidRDefault="006C5DEE" w:rsidP="006C5DEE">
      <w:pPr>
        <w:rPr>
          <w:rFonts w:eastAsiaTheme="minorEastAsia"/>
          <w:lang w:val="en-US" w:eastAsia="zh-CN"/>
        </w:rPr>
      </w:pPr>
      <w:r>
        <w:t xml:space="preserve">In addition, we also have DU-to-DU CLI in above cases. Inter-DU CLI was also extensively discussed in RAN1. No dedicated enhancement was introduced because some companies suggested that that </w:t>
      </w:r>
      <w:r w:rsidRPr="006C5DEE">
        <w:t>inter-DU CLI measurements may be handled based on the CLI measurements of the collocated MT.</w:t>
      </w:r>
      <w:r>
        <w:t xml:space="preserve"> There is an MT collocated with each DU</w:t>
      </w:r>
      <w:r w:rsidR="0033792C">
        <w:t>. The collocated-MT-to-collocated-MT CLI measurement can be used to represent DU-to-DU</w:t>
      </w:r>
      <w:r>
        <w:t xml:space="preserve"> </w:t>
      </w:r>
      <w:r w:rsidR="0033792C">
        <w:t xml:space="preserve">CLI. </w:t>
      </w:r>
    </w:p>
    <w:p w14:paraId="1D80475B" w14:textId="77777777" w:rsidR="00CC0587" w:rsidRPr="006C5DEE" w:rsidRDefault="00CC0587" w:rsidP="00CC0587">
      <w:pPr>
        <w:rPr>
          <w:lang w:val="en-US" w:eastAsia="zh-CN"/>
        </w:rPr>
      </w:pPr>
    </w:p>
    <w:p w14:paraId="40818055" w14:textId="3667EAD8" w:rsidR="001B1CE4" w:rsidRDefault="00371DAF" w:rsidP="001B1CE4">
      <w:pPr>
        <w:rPr>
          <w:lang w:eastAsia="ja-JP"/>
        </w:rPr>
      </w:pPr>
      <w:r>
        <w:rPr>
          <w:lang w:eastAsia="ja-JP"/>
        </w:rPr>
        <w:t>T</w:t>
      </w:r>
      <w:r w:rsidR="00360F7F">
        <w:rPr>
          <w:lang w:eastAsia="ja-JP"/>
        </w:rPr>
        <w:t>he following agreement is reached in RAN1 #103-e:</w:t>
      </w:r>
    </w:p>
    <w:p w14:paraId="4BC02CB9" w14:textId="77777777" w:rsidR="00360F7F" w:rsidRPr="00360F7F" w:rsidRDefault="00360F7F" w:rsidP="00360F7F">
      <w:pPr>
        <w:rPr>
          <w:b/>
          <w:bCs/>
          <w:highlight w:val="green"/>
          <w:lang w:eastAsia="ja-JP"/>
        </w:rPr>
      </w:pPr>
      <w:r w:rsidRPr="00360F7F">
        <w:rPr>
          <w:b/>
          <w:bCs/>
          <w:highlight w:val="green"/>
          <w:lang w:eastAsia="ja-JP"/>
        </w:rPr>
        <w:t>Agreement</w:t>
      </w:r>
    </w:p>
    <w:p w14:paraId="26807FEA" w14:textId="77777777" w:rsidR="00360F7F" w:rsidRPr="00360F7F" w:rsidRDefault="00360F7F" w:rsidP="00360F7F">
      <w:pPr>
        <w:rPr>
          <w:b/>
          <w:bCs/>
          <w:lang w:eastAsia="ja-JP"/>
        </w:rPr>
      </w:pPr>
      <w:r w:rsidRPr="00360F7F">
        <w:rPr>
          <w:b/>
          <w:bCs/>
          <w:lang w:eastAsia="ja-JP"/>
        </w:rPr>
        <w:t>Use the Rel-16 interference management frameworks (e.g. CLI, RIM) to handle IAB interference scenarios, and discuss if any of the following enhancements are needed (not an exhaustive list):</w:t>
      </w:r>
    </w:p>
    <w:p w14:paraId="2AB7EB28" w14:textId="77777777" w:rsidR="00360F7F" w:rsidRPr="00360F7F" w:rsidRDefault="00360F7F" w:rsidP="00360F7F">
      <w:pPr>
        <w:pStyle w:val="ListParagraph"/>
        <w:numPr>
          <w:ilvl w:val="0"/>
          <w:numId w:val="46"/>
        </w:numPr>
        <w:autoSpaceDN w:val="0"/>
        <w:spacing w:after="0"/>
        <w:ind w:firstLineChars="0"/>
        <w:contextualSpacing/>
        <w:rPr>
          <w:rFonts w:cs="Times New Roman"/>
          <w:b/>
          <w:bCs/>
          <w:lang w:eastAsia="ja-JP"/>
        </w:rPr>
      </w:pPr>
      <w:r w:rsidRPr="00360F7F">
        <w:rPr>
          <w:b/>
          <w:bCs/>
          <w:lang w:eastAsia="ja-JP"/>
        </w:rPr>
        <w:t>FFS: extend the information exchange (e.g. the resource configuration, result of CLI measurements, etc.) among different entities (e.g. between parent-child nodes, adjacent IAB nodes, between network and IAB-node, etc.)  </w:t>
      </w:r>
    </w:p>
    <w:p w14:paraId="6CC52B61" w14:textId="77777777" w:rsidR="00360F7F" w:rsidRPr="00360F7F" w:rsidRDefault="00360F7F" w:rsidP="00360F7F">
      <w:pPr>
        <w:pStyle w:val="ListParagraph"/>
        <w:numPr>
          <w:ilvl w:val="0"/>
          <w:numId w:val="46"/>
        </w:numPr>
        <w:autoSpaceDN w:val="0"/>
        <w:spacing w:after="0"/>
        <w:ind w:firstLineChars="0"/>
        <w:contextualSpacing/>
        <w:rPr>
          <w:rFonts w:ascii="Calibri" w:hAnsi="Calibri" w:cs="Calibri"/>
          <w:b/>
          <w:bCs/>
          <w:lang w:eastAsia="ja-JP"/>
        </w:rPr>
      </w:pPr>
      <w:r w:rsidRPr="00360F7F">
        <w:rPr>
          <w:b/>
          <w:bCs/>
          <w:lang w:eastAsia="ja-JP"/>
        </w:rPr>
        <w:t>FFS: required enhancements on CLI measurement accuracy (e.g. via timing adjustment, etc.)</w:t>
      </w:r>
    </w:p>
    <w:p w14:paraId="631E1DE0" w14:textId="1402134D" w:rsidR="00360F7F" w:rsidRDefault="00360F7F" w:rsidP="00360F7F">
      <w:pPr>
        <w:pStyle w:val="ListParagraph"/>
        <w:numPr>
          <w:ilvl w:val="0"/>
          <w:numId w:val="46"/>
        </w:numPr>
        <w:autoSpaceDN w:val="0"/>
        <w:spacing w:after="0"/>
        <w:ind w:firstLineChars="0"/>
        <w:contextualSpacing/>
        <w:rPr>
          <w:b/>
          <w:bCs/>
          <w:lang w:eastAsia="ja-JP"/>
        </w:rPr>
      </w:pPr>
      <w:r w:rsidRPr="00360F7F">
        <w:rPr>
          <w:b/>
          <w:bCs/>
          <w:lang w:eastAsia="ja-JP"/>
        </w:rPr>
        <w:t>FFS: required enhancements on CLI measurements (e.g. introducing short-term measurements, multi-beam measurements, etc.)</w:t>
      </w:r>
    </w:p>
    <w:p w14:paraId="2EAB37C8" w14:textId="77777777" w:rsidR="00360F7F" w:rsidRPr="00360F7F" w:rsidRDefault="00360F7F" w:rsidP="00360F7F">
      <w:pPr>
        <w:pStyle w:val="ListParagraph"/>
        <w:autoSpaceDN w:val="0"/>
        <w:spacing w:after="0"/>
        <w:ind w:left="720" w:firstLineChars="0" w:firstLine="0"/>
        <w:contextualSpacing/>
        <w:rPr>
          <w:b/>
          <w:bCs/>
          <w:lang w:eastAsia="ja-JP"/>
        </w:rPr>
      </w:pPr>
    </w:p>
    <w:p w14:paraId="29EF2828" w14:textId="4BA9233B" w:rsidR="00360F7F" w:rsidRDefault="00360F7F" w:rsidP="001B1CE4">
      <w:pPr>
        <w:rPr>
          <w:lang w:eastAsia="ja-JP"/>
        </w:rPr>
      </w:pPr>
      <w:r>
        <w:rPr>
          <w:lang w:eastAsia="zh-CN"/>
        </w:rPr>
        <w:t xml:space="preserve">For Rel-17 </w:t>
      </w:r>
      <w:proofErr w:type="spellStart"/>
      <w:r>
        <w:rPr>
          <w:lang w:eastAsia="zh-CN"/>
        </w:rPr>
        <w:t>eIAB</w:t>
      </w:r>
      <w:proofErr w:type="spellEnd"/>
      <w:r>
        <w:rPr>
          <w:lang w:eastAsia="zh-CN"/>
        </w:rPr>
        <w:t xml:space="preserve">, </w:t>
      </w:r>
      <w:r>
        <w:rPr>
          <w:lang w:eastAsia="ja-JP"/>
        </w:rPr>
        <w:t xml:space="preserve">RAN1 decided </w:t>
      </w:r>
      <w:r w:rsidRPr="00360F7F">
        <w:rPr>
          <w:lang w:eastAsia="ja-JP"/>
        </w:rPr>
        <w:t>not to do any enhancement on top of Rel-16 CLI</w:t>
      </w:r>
      <w:r>
        <w:rPr>
          <w:lang w:eastAsia="ja-JP"/>
        </w:rPr>
        <w:t xml:space="preserve"> framework for the IAB-nodes, with the understanding that the IAB-MTs can reuse Rel-16 CLI framework as-is without any additional features.</w:t>
      </w:r>
    </w:p>
    <w:p w14:paraId="32B96234" w14:textId="458274F5" w:rsidR="00371DAF" w:rsidRPr="00360F7F" w:rsidRDefault="00371DAF" w:rsidP="001B1CE4">
      <w:pPr>
        <w:rPr>
          <w:lang w:val="en-US" w:eastAsia="zh-CN"/>
        </w:rPr>
      </w:pPr>
      <w:r>
        <w:rPr>
          <w:lang w:eastAsia="ja-JP"/>
        </w:rPr>
        <w:t xml:space="preserve">Based on all these, it is obvious that </w:t>
      </w:r>
      <w:proofErr w:type="spellStart"/>
      <w:r>
        <w:rPr>
          <w:lang w:eastAsia="ja-JP"/>
        </w:rPr>
        <w:t>eIAB</w:t>
      </w:r>
      <w:proofErr w:type="spellEnd"/>
      <w:r>
        <w:rPr>
          <w:lang w:eastAsia="ja-JP"/>
        </w:rPr>
        <w:t xml:space="preserve"> deployment will benefit from adopting CLI measurement reporting mechanism.</w:t>
      </w:r>
    </w:p>
    <w:bookmarkEnd w:id="0"/>
    <w:bookmarkEnd w:id="1"/>
    <w:bookmarkEnd w:id="2"/>
    <w:p w14:paraId="516E8B1B" w14:textId="5A755177" w:rsidR="00E17034" w:rsidRPr="00E17034" w:rsidRDefault="00DB3D77" w:rsidP="00BA46DF">
      <w:pPr>
        <w:rPr>
          <w:b/>
          <w:bCs/>
          <w:lang w:eastAsia="zh-CN"/>
        </w:rPr>
      </w:pPr>
      <w:r>
        <w:rPr>
          <w:b/>
          <w:bCs/>
          <w:lang w:eastAsia="zh-CN"/>
        </w:rPr>
        <w:t>Proposal</w:t>
      </w:r>
      <w:r w:rsidR="00E17034" w:rsidRPr="00E17034">
        <w:rPr>
          <w:b/>
          <w:bCs/>
          <w:lang w:eastAsia="zh-CN"/>
        </w:rPr>
        <w:t xml:space="preserve"> </w:t>
      </w:r>
      <w:r w:rsidR="00360F7F">
        <w:rPr>
          <w:b/>
          <w:bCs/>
          <w:lang w:eastAsia="zh-CN"/>
        </w:rPr>
        <w:t>1</w:t>
      </w:r>
      <w:r w:rsidR="00E17034" w:rsidRPr="00E17034">
        <w:rPr>
          <w:b/>
          <w:bCs/>
          <w:lang w:eastAsia="zh-CN"/>
        </w:rPr>
        <w:t xml:space="preserve">: RAN4 needs to define CLI measurement requirements </w:t>
      </w:r>
      <w:r w:rsidR="00360F7F">
        <w:rPr>
          <w:b/>
          <w:bCs/>
          <w:lang w:eastAsia="zh-CN"/>
        </w:rPr>
        <w:t xml:space="preserve">and </w:t>
      </w:r>
      <w:proofErr w:type="spellStart"/>
      <w:r w:rsidR="00360F7F">
        <w:rPr>
          <w:b/>
          <w:bCs/>
          <w:lang w:eastAsia="zh-CN"/>
        </w:rPr>
        <w:t>Rel</w:t>
      </w:r>
      <w:proofErr w:type="spellEnd"/>
      <w:r w:rsidR="00360F7F">
        <w:rPr>
          <w:b/>
          <w:bCs/>
          <w:lang w:eastAsia="zh-CN"/>
        </w:rPr>
        <w:t xml:space="preserve"> 16 UE CLI measurement requirement can be used as baseline.</w:t>
      </w:r>
    </w:p>
    <w:p w14:paraId="696009C4" w14:textId="0C31AC05" w:rsidR="00C42574" w:rsidRPr="000862DF" w:rsidRDefault="00E17034" w:rsidP="00C42574">
      <w:pPr>
        <w:pStyle w:val="Heading1"/>
        <w:rPr>
          <w:rFonts w:eastAsia="SimSun"/>
          <w:lang w:eastAsia="zh-CN"/>
        </w:rPr>
      </w:pPr>
      <w:r>
        <w:rPr>
          <w:rFonts w:eastAsia="SimSun"/>
          <w:lang w:eastAsia="zh-CN"/>
        </w:rPr>
        <w:t>Conclusion</w:t>
      </w:r>
    </w:p>
    <w:p w14:paraId="750D605F" w14:textId="6849CDA4" w:rsidR="00DB3D77" w:rsidRPr="00E90A57" w:rsidRDefault="00360F7F" w:rsidP="00DB3D77">
      <w:pPr>
        <w:rPr>
          <w:b/>
          <w:bCs/>
          <w:lang w:eastAsia="zh-CN"/>
        </w:rPr>
      </w:pPr>
      <w:r>
        <w:rPr>
          <w:lang w:eastAsia="zh-CN"/>
        </w:rPr>
        <w:t xml:space="preserve">In this contribution, we reiterate our view regarding the need for CLI measurement for </w:t>
      </w:r>
      <w:proofErr w:type="spellStart"/>
      <w:r>
        <w:rPr>
          <w:lang w:eastAsia="zh-CN"/>
        </w:rPr>
        <w:t>eIAB</w:t>
      </w:r>
      <w:proofErr w:type="spellEnd"/>
    </w:p>
    <w:p w14:paraId="360A00BE" w14:textId="77777777" w:rsidR="00360F7F" w:rsidRPr="00E17034" w:rsidRDefault="00DB3D77" w:rsidP="00360F7F">
      <w:pPr>
        <w:rPr>
          <w:b/>
          <w:bCs/>
          <w:lang w:eastAsia="zh-CN"/>
        </w:rPr>
      </w:pPr>
      <w:r>
        <w:rPr>
          <w:b/>
          <w:bCs/>
          <w:lang w:eastAsia="zh-CN"/>
        </w:rPr>
        <w:t>Proposal</w:t>
      </w:r>
      <w:r w:rsidRPr="00E17034">
        <w:rPr>
          <w:b/>
          <w:bCs/>
          <w:lang w:eastAsia="zh-CN"/>
        </w:rPr>
        <w:t xml:space="preserve"> </w:t>
      </w:r>
      <w:r w:rsidR="00360F7F">
        <w:rPr>
          <w:b/>
          <w:bCs/>
          <w:lang w:eastAsia="zh-CN"/>
        </w:rPr>
        <w:t>1</w:t>
      </w:r>
      <w:r w:rsidRPr="00E17034">
        <w:rPr>
          <w:b/>
          <w:bCs/>
          <w:lang w:eastAsia="zh-CN"/>
        </w:rPr>
        <w:t xml:space="preserve">: </w:t>
      </w:r>
      <w:r w:rsidR="00360F7F" w:rsidRPr="00E17034">
        <w:rPr>
          <w:b/>
          <w:bCs/>
          <w:lang w:eastAsia="zh-CN"/>
        </w:rPr>
        <w:t xml:space="preserve">RAN4 needs to define CLI measurement requirements </w:t>
      </w:r>
      <w:r w:rsidR="00360F7F">
        <w:rPr>
          <w:b/>
          <w:bCs/>
          <w:lang w:eastAsia="zh-CN"/>
        </w:rPr>
        <w:t xml:space="preserve">and </w:t>
      </w:r>
      <w:proofErr w:type="spellStart"/>
      <w:r w:rsidR="00360F7F">
        <w:rPr>
          <w:b/>
          <w:bCs/>
          <w:lang w:eastAsia="zh-CN"/>
        </w:rPr>
        <w:t>Rel</w:t>
      </w:r>
      <w:proofErr w:type="spellEnd"/>
      <w:r w:rsidR="00360F7F">
        <w:rPr>
          <w:b/>
          <w:bCs/>
          <w:lang w:eastAsia="zh-CN"/>
        </w:rPr>
        <w:t xml:space="preserve"> 16 UE CLI measurement requirement can be used as baseline.</w:t>
      </w:r>
    </w:p>
    <w:p w14:paraId="4B02854B" w14:textId="77777777" w:rsidR="00245D5E" w:rsidRPr="000862DF" w:rsidRDefault="00245D5E" w:rsidP="00245D5E">
      <w:pPr>
        <w:pStyle w:val="Heading1"/>
        <w:rPr>
          <w:rFonts w:eastAsia="SimSun"/>
          <w:lang w:eastAsia="zh-CN"/>
        </w:rPr>
      </w:pPr>
      <w:r w:rsidRPr="000862DF">
        <w:rPr>
          <w:rFonts w:eastAsia="SimSun"/>
          <w:lang w:eastAsia="zh-CN"/>
        </w:rPr>
        <w:t>References</w:t>
      </w:r>
    </w:p>
    <w:p w14:paraId="1E72078E" w14:textId="5FDC039B" w:rsidR="009C58B3" w:rsidRPr="000862DF" w:rsidRDefault="00245D5E" w:rsidP="00245D5E">
      <w:pPr>
        <w:rPr>
          <w:lang w:eastAsia="zh-CN"/>
        </w:rPr>
      </w:pPr>
      <w:r w:rsidRPr="000862DF">
        <w:rPr>
          <w:lang w:eastAsia="zh-CN"/>
        </w:rPr>
        <w:t xml:space="preserve">[1] </w:t>
      </w:r>
      <w:r w:rsidR="001B1CE4" w:rsidRPr="001B1CE4">
        <w:rPr>
          <w:color w:val="000000"/>
        </w:rPr>
        <w:t>R4-</w:t>
      </w:r>
      <w:r w:rsidR="00AD5F53">
        <w:rPr>
          <w:color w:val="000000"/>
        </w:rPr>
        <w:t>2202664</w:t>
      </w:r>
      <w:r w:rsidR="0095154E" w:rsidRPr="000862DF">
        <w:rPr>
          <w:lang w:eastAsia="zh-CN"/>
        </w:rPr>
        <w:t xml:space="preserve">, </w:t>
      </w:r>
      <w:r w:rsidR="00AD5F53">
        <w:rPr>
          <w:lang w:eastAsia="zh-CN"/>
        </w:rPr>
        <w:t>WF on IAB enhancement RRM</w:t>
      </w:r>
      <w:r w:rsidR="00360F7F">
        <w:rPr>
          <w:lang w:eastAsia="zh-CN"/>
        </w:rPr>
        <w:t>, ZTE Corporation</w:t>
      </w:r>
    </w:p>
    <w:sectPr w:rsidR="009C58B3" w:rsidRPr="000862D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5B22F" w14:textId="77777777" w:rsidR="008534F9" w:rsidRDefault="008534F9">
      <w:r>
        <w:separator/>
      </w:r>
    </w:p>
  </w:endnote>
  <w:endnote w:type="continuationSeparator" w:id="0">
    <w:p w14:paraId="6B11587E" w14:textId="77777777" w:rsidR="008534F9" w:rsidRDefault="00853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default"/>
    <w:sig w:usb0="00000000" w:usb1="00000000"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0BCC6" w14:textId="77777777" w:rsidR="008534F9" w:rsidRDefault="008534F9">
      <w:r>
        <w:separator/>
      </w:r>
    </w:p>
  </w:footnote>
  <w:footnote w:type="continuationSeparator" w:id="0">
    <w:p w14:paraId="49F22D4F" w14:textId="77777777" w:rsidR="008534F9" w:rsidRDefault="008534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756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4140"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9E3DF7"/>
    <w:multiLevelType w:val="hybridMultilevel"/>
    <w:tmpl w:val="BE184694"/>
    <w:lvl w:ilvl="0" w:tplc="8474F31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F0441"/>
    <w:multiLevelType w:val="hybridMultilevel"/>
    <w:tmpl w:val="E66A2B70"/>
    <w:lvl w:ilvl="0" w:tplc="8474F31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15:restartNumberingAfterBreak="0">
    <w:nsid w:val="23B17C5B"/>
    <w:multiLevelType w:val="hybridMultilevel"/>
    <w:tmpl w:val="46C8CDF0"/>
    <w:lvl w:ilvl="0" w:tplc="92F89AD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7"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8"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DC21C70"/>
    <w:multiLevelType w:val="hybridMultilevel"/>
    <w:tmpl w:val="477E3D40"/>
    <w:lvl w:ilvl="0" w:tplc="3BEAEE6C">
      <w:start w:val="1"/>
      <w:numFmt w:val="bullet"/>
      <w:lvlText w:val="•"/>
      <w:lvlJc w:val="left"/>
      <w:pPr>
        <w:tabs>
          <w:tab w:val="num" w:pos="720"/>
        </w:tabs>
        <w:ind w:left="720" w:hanging="360"/>
      </w:pPr>
      <w:rPr>
        <w:rFonts w:ascii="Arial" w:hAnsi="Arial" w:hint="default"/>
      </w:rPr>
    </w:lvl>
    <w:lvl w:ilvl="1" w:tplc="5E6CAD12">
      <w:numFmt w:val="bullet"/>
      <w:lvlText w:val="–"/>
      <w:lvlJc w:val="left"/>
      <w:pPr>
        <w:tabs>
          <w:tab w:val="num" w:pos="1440"/>
        </w:tabs>
        <w:ind w:left="1440" w:hanging="360"/>
      </w:pPr>
      <w:rPr>
        <w:rFonts w:ascii="Arial" w:hAnsi="Arial" w:hint="default"/>
      </w:rPr>
    </w:lvl>
    <w:lvl w:ilvl="2" w:tplc="FB70C484" w:tentative="1">
      <w:start w:val="1"/>
      <w:numFmt w:val="bullet"/>
      <w:lvlText w:val="•"/>
      <w:lvlJc w:val="left"/>
      <w:pPr>
        <w:tabs>
          <w:tab w:val="num" w:pos="2160"/>
        </w:tabs>
        <w:ind w:left="2160" w:hanging="360"/>
      </w:pPr>
      <w:rPr>
        <w:rFonts w:ascii="Arial" w:hAnsi="Arial" w:hint="default"/>
      </w:rPr>
    </w:lvl>
    <w:lvl w:ilvl="3" w:tplc="A00C5CDA" w:tentative="1">
      <w:start w:val="1"/>
      <w:numFmt w:val="bullet"/>
      <w:lvlText w:val="•"/>
      <w:lvlJc w:val="left"/>
      <w:pPr>
        <w:tabs>
          <w:tab w:val="num" w:pos="2880"/>
        </w:tabs>
        <w:ind w:left="2880" w:hanging="360"/>
      </w:pPr>
      <w:rPr>
        <w:rFonts w:ascii="Arial" w:hAnsi="Arial" w:hint="default"/>
      </w:rPr>
    </w:lvl>
    <w:lvl w:ilvl="4" w:tplc="87B21AA8" w:tentative="1">
      <w:start w:val="1"/>
      <w:numFmt w:val="bullet"/>
      <w:lvlText w:val="•"/>
      <w:lvlJc w:val="left"/>
      <w:pPr>
        <w:tabs>
          <w:tab w:val="num" w:pos="3600"/>
        </w:tabs>
        <w:ind w:left="3600" w:hanging="360"/>
      </w:pPr>
      <w:rPr>
        <w:rFonts w:ascii="Arial" w:hAnsi="Arial" w:hint="default"/>
      </w:rPr>
    </w:lvl>
    <w:lvl w:ilvl="5" w:tplc="EB3879B4" w:tentative="1">
      <w:start w:val="1"/>
      <w:numFmt w:val="bullet"/>
      <w:lvlText w:val="•"/>
      <w:lvlJc w:val="left"/>
      <w:pPr>
        <w:tabs>
          <w:tab w:val="num" w:pos="4320"/>
        </w:tabs>
        <w:ind w:left="4320" w:hanging="360"/>
      </w:pPr>
      <w:rPr>
        <w:rFonts w:ascii="Arial" w:hAnsi="Arial" w:hint="default"/>
      </w:rPr>
    </w:lvl>
    <w:lvl w:ilvl="6" w:tplc="51AA5ABC" w:tentative="1">
      <w:start w:val="1"/>
      <w:numFmt w:val="bullet"/>
      <w:lvlText w:val="•"/>
      <w:lvlJc w:val="left"/>
      <w:pPr>
        <w:tabs>
          <w:tab w:val="num" w:pos="5040"/>
        </w:tabs>
        <w:ind w:left="5040" w:hanging="360"/>
      </w:pPr>
      <w:rPr>
        <w:rFonts w:ascii="Arial" w:hAnsi="Arial" w:hint="default"/>
      </w:rPr>
    </w:lvl>
    <w:lvl w:ilvl="7" w:tplc="3BFC8C46" w:tentative="1">
      <w:start w:val="1"/>
      <w:numFmt w:val="bullet"/>
      <w:lvlText w:val="•"/>
      <w:lvlJc w:val="left"/>
      <w:pPr>
        <w:tabs>
          <w:tab w:val="num" w:pos="5760"/>
        </w:tabs>
        <w:ind w:left="5760" w:hanging="360"/>
      </w:pPr>
      <w:rPr>
        <w:rFonts w:ascii="Arial" w:hAnsi="Arial" w:hint="default"/>
      </w:rPr>
    </w:lvl>
    <w:lvl w:ilvl="8" w:tplc="D7E06E3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C5404E"/>
    <w:multiLevelType w:val="hybridMultilevel"/>
    <w:tmpl w:val="3C2E2A90"/>
    <w:lvl w:ilvl="0" w:tplc="4FC48CAE">
      <w:start w:val="1"/>
      <w:numFmt w:val="bullet"/>
      <w:lvlText w:val="•"/>
      <w:lvlJc w:val="left"/>
      <w:pPr>
        <w:tabs>
          <w:tab w:val="num" w:pos="720"/>
        </w:tabs>
        <w:ind w:left="720" w:hanging="360"/>
      </w:pPr>
      <w:rPr>
        <w:rFonts w:ascii="Arial" w:hAnsi="Arial" w:hint="default"/>
      </w:rPr>
    </w:lvl>
    <w:lvl w:ilvl="1" w:tplc="737CF746">
      <w:numFmt w:val="none"/>
      <w:lvlText w:val=""/>
      <w:lvlJc w:val="left"/>
      <w:pPr>
        <w:tabs>
          <w:tab w:val="num" w:pos="360"/>
        </w:tabs>
      </w:pPr>
    </w:lvl>
    <w:lvl w:ilvl="2" w:tplc="E3CE1746">
      <w:numFmt w:val="none"/>
      <w:lvlText w:val=""/>
      <w:lvlJc w:val="left"/>
      <w:pPr>
        <w:tabs>
          <w:tab w:val="num" w:pos="360"/>
        </w:tabs>
      </w:pPr>
    </w:lvl>
    <w:lvl w:ilvl="3" w:tplc="4CE6899C" w:tentative="1">
      <w:start w:val="1"/>
      <w:numFmt w:val="bullet"/>
      <w:lvlText w:val="•"/>
      <w:lvlJc w:val="left"/>
      <w:pPr>
        <w:tabs>
          <w:tab w:val="num" w:pos="2880"/>
        </w:tabs>
        <w:ind w:left="2880" w:hanging="360"/>
      </w:pPr>
      <w:rPr>
        <w:rFonts w:ascii="Arial" w:hAnsi="Arial" w:hint="default"/>
      </w:rPr>
    </w:lvl>
    <w:lvl w:ilvl="4" w:tplc="996A0244" w:tentative="1">
      <w:start w:val="1"/>
      <w:numFmt w:val="bullet"/>
      <w:lvlText w:val="•"/>
      <w:lvlJc w:val="left"/>
      <w:pPr>
        <w:tabs>
          <w:tab w:val="num" w:pos="3600"/>
        </w:tabs>
        <w:ind w:left="3600" w:hanging="360"/>
      </w:pPr>
      <w:rPr>
        <w:rFonts w:ascii="Arial" w:hAnsi="Arial" w:hint="default"/>
      </w:rPr>
    </w:lvl>
    <w:lvl w:ilvl="5" w:tplc="4F3E97F6" w:tentative="1">
      <w:start w:val="1"/>
      <w:numFmt w:val="bullet"/>
      <w:lvlText w:val="•"/>
      <w:lvlJc w:val="left"/>
      <w:pPr>
        <w:tabs>
          <w:tab w:val="num" w:pos="4320"/>
        </w:tabs>
        <w:ind w:left="4320" w:hanging="360"/>
      </w:pPr>
      <w:rPr>
        <w:rFonts w:ascii="Arial" w:hAnsi="Arial" w:hint="default"/>
      </w:rPr>
    </w:lvl>
    <w:lvl w:ilvl="6" w:tplc="2B0A8B62" w:tentative="1">
      <w:start w:val="1"/>
      <w:numFmt w:val="bullet"/>
      <w:lvlText w:val="•"/>
      <w:lvlJc w:val="left"/>
      <w:pPr>
        <w:tabs>
          <w:tab w:val="num" w:pos="5040"/>
        </w:tabs>
        <w:ind w:left="5040" w:hanging="360"/>
      </w:pPr>
      <w:rPr>
        <w:rFonts w:ascii="Arial" w:hAnsi="Arial" w:hint="default"/>
      </w:rPr>
    </w:lvl>
    <w:lvl w:ilvl="7" w:tplc="8F3C6F4C" w:tentative="1">
      <w:start w:val="1"/>
      <w:numFmt w:val="bullet"/>
      <w:lvlText w:val="•"/>
      <w:lvlJc w:val="left"/>
      <w:pPr>
        <w:tabs>
          <w:tab w:val="num" w:pos="5760"/>
        </w:tabs>
        <w:ind w:left="5760" w:hanging="360"/>
      </w:pPr>
      <w:rPr>
        <w:rFonts w:ascii="Arial" w:hAnsi="Arial" w:hint="default"/>
      </w:rPr>
    </w:lvl>
    <w:lvl w:ilvl="8" w:tplc="5950C16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40"/>
  </w:num>
  <w:num w:numId="4">
    <w:abstractNumId w:val="41"/>
  </w:num>
  <w:num w:numId="5">
    <w:abstractNumId w:val="30"/>
  </w:num>
  <w:num w:numId="6">
    <w:abstractNumId w:val="3"/>
  </w:num>
  <w:num w:numId="7">
    <w:abstractNumId w:val="8"/>
  </w:num>
  <w:num w:numId="8">
    <w:abstractNumId w:val="21"/>
  </w:num>
  <w:num w:numId="9">
    <w:abstractNumId w:val="23"/>
  </w:num>
  <w:num w:numId="10">
    <w:abstractNumId w:val="7"/>
  </w:num>
  <w:num w:numId="11">
    <w:abstractNumId w:val="20"/>
  </w:num>
  <w:num w:numId="12">
    <w:abstractNumId w:val="14"/>
  </w:num>
  <w:num w:numId="13">
    <w:abstractNumId w:val="37"/>
  </w:num>
  <w:num w:numId="14">
    <w:abstractNumId w:val="6"/>
  </w:num>
  <w:num w:numId="15">
    <w:abstractNumId w:val="25"/>
  </w:num>
  <w:num w:numId="16">
    <w:abstractNumId w:val="16"/>
  </w:num>
  <w:num w:numId="17">
    <w:abstractNumId w:val="35"/>
  </w:num>
  <w:num w:numId="18">
    <w:abstractNumId w:val="38"/>
  </w:num>
  <w:num w:numId="19">
    <w:abstractNumId w:val="18"/>
  </w:num>
  <w:num w:numId="20">
    <w:abstractNumId w:val="17"/>
  </w:num>
  <w:num w:numId="21">
    <w:abstractNumId w:val="36"/>
  </w:num>
  <w:num w:numId="22">
    <w:abstractNumId w:val="22"/>
  </w:num>
  <w:num w:numId="23">
    <w:abstractNumId w:val="32"/>
  </w:num>
  <w:num w:numId="24">
    <w:abstractNumId w:val="4"/>
  </w:num>
  <w:num w:numId="25">
    <w:abstractNumId w:val="33"/>
  </w:num>
  <w:num w:numId="26">
    <w:abstractNumId w:val="28"/>
  </w:num>
  <w:num w:numId="27">
    <w:abstractNumId w:val="9"/>
  </w:num>
  <w:num w:numId="28">
    <w:abstractNumId w:val="29"/>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 w:numId="32">
    <w:abstractNumId w:val="12"/>
  </w:num>
  <w:num w:numId="33">
    <w:abstractNumId w:val="26"/>
  </w:num>
  <w:num w:numId="34">
    <w:abstractNumId w:val="3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31"/>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15"/>
  </w:num>
  <w:num w:numId="41">
    <w:abstractNumId w:val="10"/>
  </w:num>
  <w:num w:numId="42">
    <w:abstractNumId w:val="11"/>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3"/>
  </w:num>
  <w:num w:numId="4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2DF"/>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CBB"/>
    <w:rsid w:val="000C6D76"/>
    <w:rsid w:val="000C6E31"/>
    <w:rsid w:val="000C7168"/>
    <w:rsid w:val="000D0344"/>
    <w:rsid w:val="000D14E8"/>
    <w:rsid w:val="000D3620"/>
    <w:rsid w:val="000D3B23"/>
    <w:rsid w:val="000D468C"/>
    <w:rsid w:val="000D5EC9"/>
    <w:rsid w:val="000E02F8"/>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4FDD"/>
    <w:rsid w:val="001053B5"/>
    <w:rsid w:val="0010634F"/>
    <w:rsid w:val="001066B3"/>
    <w:rsid w:val="001076DF"/>
    <w:rsid w:val="00107EFF"/>
    <w:rsid w:val="00107FF6"/>
    <w:rsid w:val="00110973"/>
    <w:rsid w:val="00110CE9"/>
    <w:rsid w:val="001119E6"/>
    <w:rsid w:val="00111BE5"/>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413C"/>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72B"/>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CE4"/>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37ED"/>
    <w:rsid w:val="00214991"/>
    <w:rsid w:val="00217162"/>
    <w:rsid w:val="0022013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217"/>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181"/>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3EE9"/>
    <w:rsid w:val="002A4079"/>
    <w:rsid w:val="002A622D"/>
    <w:rsid w:val="002A65D4"/>
    <w:rsid w:val="002A6DD5"/>
    <w:rsid w:val="002A6FBE"/>
    <w:rsid w:val="002B08C5"/>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27C"/>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0A4"/>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5612"/>
    <w:rsid w:val="00336042"/>
    <w:rsid w:val="00336954"/>
    <w:rsid w:val="003371C6"/>
    <w:rsid w:val="0033792C"/>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0F7F"/>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DAF"/>
    <w:rsid w:val="00371EED"/>
    <w:rsid w:val="00372A7D"/>
    <w:rsid w:val="003735C8"/>
    <w:rsid w:val="00373E10"/>
    <w:rsid w:val="0037427C"/>
    <w:rsid w:val="00375036"/>
    <w:rsid w:val="0037548B"/>
    <w:rsid w:val="003760CC"/>
    <w:rsid w:val="0037684F"/>
    <w:rsid w:val="00376950"/>
    <w:rsid w:val="0037722A"/>
    <w:rsid w:val="00377569"/>
    <w:rsid w:val="00377843"/>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6C5B"/>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8C0"/>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D79E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01A"/>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3669"/>
    <w:rsid w:val="004245F2"/>
    <w:rsid w:val="004257D6"/>
    <w:rsid w:val="0042735E"/>
    <w:rsid w:val="004307F1"/>
    <w:rsid w:val="00430DA2"/>
    <w:rsid w:val="00432380"/>
    <w:rsid w:val="00433E63"/>
    <w:rsid w:val="00434065"/>
    <w:rsid w:val="00434BE2"/>
    <w:rsid w:val="004354E9"/>
    <w:rsid w:val="00435C19"/>
    <w:rsid w:val="00435C42"/>
    <w:rsid w:val="00437000"/>
    <w:rsid w:val="00437A99"/>
    <w:rsid w:val="00441415"/>
    <w:rsid w:val="00444983"/>
    <w:rsid w:val="00444E0B"/>
    <w:rsid w:val="00444F8C"/>
    <w:rsid w:val="004453C9"/>
    <w:rsid w:val="00445A1C"/>
    <w:rsid w:val="00446217"/>
    <w:rsid w:val="0044674B"/>
    <w:rsid w:val="00446771"/>
    <w:rsid w:val="00447C5E"/>
    <w:rsid w:val="00450032"/>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45C9"/>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5E0"/>
    <w:rsid w:val="00530A4D"/>
    <w:rsid w:val="00530B01"/>
    <w:rsid w:val="00530D6B"/>
    <w:rsid w:val="00530F73"/>
    <w:rsid w:val="00531613"/>
    <w:rsid w:val="00531843"/>
    <w:rsid w:val="0053195E"/>
    <w:rsid w:val="00531C66"/>
    <w:rsid w:val="005325DA"/>
    <w:rsid w:val="00532F2B"/>
    <w:rsid w:val="005330A8"/>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49B"/>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0DD4"/>
    <w:rsid w:val="005B142A"/>
    <w:rsid w:val="005B17D5"/>
    <w:rsid w:val="005B21D8"/>
    <w:rsid w:val="005B286F"/>
    <w:rsid w:val="005B288E"/>
    <w:rsid w:val="005B4B81"/>
    <w:rsid w:val="005B4EAD"/>
    <w:rsid w:val="005B5098"/>
    <w:rsid w:val="005B57AD"/>
    <w:rsid w:val="005B662F"/>
    <w:rsid w:val="005B7802"/>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3BF9"/>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61E"/>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5DEE"/>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6F7FAB"/>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5987"/>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AE7"/>
    <w:rsid w:val="00801B02"/>
    <w:rsid w:val="00802EB9"/>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4F9"/>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A62"/>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8B3"/>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2F"/>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4D4B"/>
    <w:rsid w:val="00A358D7"/>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83"/>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D5F53"/>
    <w:rsid w:val="00AE0052"/>
    <w:rsid w:val="00AE1857"/>
    <w:rsid w:val="00AE20D4"/>
    <w:rsid w:val="00AE241C"/>
    <w:rsid w:val="00AE28EA"/>
    <w:rsid w:val="00AE2CC3"/>
    <w:rsid w:val="00AE2DDF"/>
    <w:rsid w:val="00AE2E0A"/>
    <w:rsid w:val="00AE30CF"/>
    <w:rsid w:val="00AE4202"/>
    <w:rsid w:val="00AE48D3"/>
    <w:rsid w:val="00AE5600"/>
    <w:rsid w:val="00AE6B0C"/>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A9D"/>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574"/>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56F3E"/>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A88"/>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49B"/>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0587"/>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3EE4"/>
    <w:rsid w:val="00D748B0"/>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D77"/>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17034"/>
    <w:rsid w:val="00E210C8"/>
    <w:rsid w:val="00E214EB"/>
    <w:rsid w:val="00E22D5C"/>
    <w:rsid w:val="00E232BC"/>
    <w:rsid w:val="00E234D2"/>
    <w:rsid w:val="00E239CD"/>
    <w:rsid w:val="00E241B2"/>
    <w:rsid w:val="00E26C40"/>
    <w:rsid w:val="00E26EF6"/>
    <w:rsid w:val="00E27BDA"/>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4D5"/>
    <w:rsid w:val="00E7553B"/>
    <w:rsid w:val="00E75864"/>
    <w:rsid w:val="00E75E4B"/>
    <w:rsid w:val="00E76737"/>
    <w:rsid w:val="00E76B96"/>
    <w:rsid w:val="00E7773E"/>
    <w:rsid w:val="00E809FD"/>
    <w:rsid w:val="00E80FB6"/>
    <w:rsid w:val="00E8136F"/>
    <w:rsid w:val="00E81D7A"/>
    <w:rsid w:val="00E82653"/>
    <w:rsid w:val="00E836AC"/>
    <w:rsid w:val="00E84310"/>
    <w:rsid w:val="00E84A05"/>
    <w:rsid w:val="00E8527C"/>
    <w:rsid w:val="00E855A7"/>
    <w:rsid w:val="00E857D7"/>
    <w:rsid w:val="00E85C54"/>
    <w:rsid w:val="00E86376"/>
    <w:rsid w:val="00E86828"/>
    <w:rsid w:val="00E86925"/>
    <w:rsid w:val="00E86989"/>
    <w:rsid w:val="00E87423"/>
    <w:rsid w:val="00E87C44"/>
    <w:rsid w:val="00E901C9"/>
    <w:rsid w:val="00E90A57"/>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446B"/>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AFE"/>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4F32"/>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5242"/>
    <w:rsid w:val="00FA5778"/>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1BE3"/>
    <w:rsid w:val="00FE29A6"/>
    <w:rsid w:val="00FE33AC"/>
    <w:rsid w:val="00FE38F2"/>
    <w:rsid w:val="00FE4872"/>
    <w:rsid w:val="00FE49B8"/>
    <w:rsid w:val="00FE4A78"/>
    <w:rsid w:val="00FE536E"/>
    <w:rsid w:val="00FE55FE"/>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ind w:left="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목록 단락,リスト段落,列出段落,列表段落,¥¡¡¡¡ì¬º¥¹¥È¶ÎÂä,ÁÐ³ö¶ÎÂä,¥ê¥¹¥È¶ÎÂä,列表段落1,—ño’i—Ž,1st level - Bullet List Paragraph,Lettre d'introduction,Paragrafo elenco,Normal bullet 2,Bullet list,列表段落11"/>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1 Char,中等深浅网格 1 - 着色 21 Char,목록 단락 Char,リスト段落 Char,列出段落 Char,列表段落 Char,¥¡¡¡¡ì¬º¥¹¥È¶ÎÂä Char,ÁÐ³ö¶ÎÂä Char,¥ê¥¹¥È¶ÎÂä Char,列表段落1 Char,—ño’i—Ž Char,Paragrafo elenco Char"/>
    <w:link w:val="ListParagraph"/>
    <w:uiPriority w:val="34"/>
    <w:qFormat/>
    <w:locked/>
    <w:rsid w:val="000D14E8"/>
    <w:rPr>
      <w:rFonts w:eastAsia="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5625162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64451960">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06602140">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00175961">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806F3.6A2727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070D.7B1F077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070D.7B1F077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478</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Jun Ma (CORP R&amp;D)</cp:lastModifiedBy>
  <cp:revision>8</cp:revision>
  <cp:lastPrinted>2009-04-22T01:01:00Z</cp:lastPrinted>
  <dcterms:created xsi:type="dcterms:W3CDTF">2022-01-10T23:17:00Z</dcterms:created>
  <dcterms:modified xsi:type="dcterms:W3CDTF">2022-02-11T17:43:00Z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