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33AD28" w14:textId="77777777" w:rsidR="00DD64B1" w:rsidRDefault="00DD64B1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</w:p>
    <w:p w14:paraId="2886A6E2" w14:textId="77777777" w:rsidR="00DD64B1" w:rsidRDefault="00C40D3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61177671"/>
      <w:r>
        <w:rPr>
          <w:b/>
          <w:sz w:val="24"/>
        </w:rPr>
        <w:t>3GPP TSG-RAN WG4 Meeting #101-e</w:t>
      </w:r>
      <w:r>
        <w:rPr>
          <w:b/>
          <w:i/>
          <w:sz w:val="28"/>
        </w:rPr>
        <w:tab/>
        <w:t>R4-2120675</w:t>
      </w:r>
    </w:p>
    <w:p w14:paraId="50BCED4A" w14:textId="77777777" w:rsidR="00DD64B1" w:rsidRDefault="00C40D32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Electronic meeting, November 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– 12</w:t>
      </w:r>
      <w:r>
        <w:rPr>
          <w:sz w:val="24"/>
          <w:vertAlign w:val="superscript"/>
        </w:rPr>
        <w:t>th</w:t>
      </w:r>
      <w:r>
        <w:rPr>
          <w:sz w:val="24"/>
        </w:rPr>
        <w:t>, 2021</w:t>
      </w:r>
    </w:p>
    <w:bookmarkEnd w:id="0"/>
    <w:p w14:paraId="7AE80AC4" w14:textId="77777777" w:rsidR="00DD64B1" w:rsidRDefault="00C40D32">
      <w:pPr>
        <w:pStyle w:val="CRCoverPage"/>
        <w:outlineLvl w:val="0"/>
        <w:rPr>
          <w:rFonts w:cs="Arial"/>
          <w:b/>
          <w:lang w:val="en-US"/>
        </w:rPr>
      </w:pP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</w:p>
    <w:p w14:paraId="32F20E12" w14:textId="77777777" w:rsidR="00DD64B1" w:rsidRDefault="00C40D32">
      <w:r>
        <w:rPr>
          <w:b/>
        </w:rPr>
        <w:t>Source:</w:t>
      </w:r>
      <w:r>
        <w:rPr>
          <w:b/>
        </w:rPr>
        <w:tab/>
      </w:r>
      <w:r>
        <w:rPr>
          <w:b/>
        </w:rPr>
        <w:tab/>
      </w:r>
      <w:r>
        <w:t>Ericsson</w:t>
      </w:r>
    </w:p>
    <w:p w14:paraId="0B128E9A" w14:textId="77777777" w:rsidR="00DD64B1" w:rsidRDefault="00C40D32">
      <w:r>
        <w:rPr>
          <w:b/>
        </w:rPr>
        <w:t>Title:</w:t>
      </w:r>
      <w:r>
        <w:tab/>
      </w:r>
      <w:r>
        <w:tab/>
      </w:r>
      <w:r>
        <w:tab/>
        <w:t xml:space="preserve">NTN - </w:t>
      </w:r>
      <w:r>
        <w:rPr>
          <w:lang w:val="en-US" w:eastAsia="zh-CN"/>
        </w:rPr>
        <w:t>WF on Rx RF requirements for satellite access node</w:t>
      </w:r>
    </w:p>
    <w:p w14:paraId="61F5570D" w14:textId="77777777" w:rsidR="00DD64B1" w:rsidRDefault="00C40D32">
      <w:r>
        <w:rPr>
          <w:b/>
        </w:rPr>
        <w:t>Agenda item:</w:t>
      </w:r>
      <w:r>
        <w:tab/>
      </w:r>
      <w:r>
        <w:tab/>
        <w:t>8.13.3</w:t>
      </w:r>
    </w:p>
    <w:p w14:paraId="1C1974E7" w14:textId="77777777" w:rsidR="00DD64B1" w:rsidRDefault="00C40D32">
      <w:r>
        <w:rPr>
          <w:b/>
        </w:rPr>
        <w:t>Document for:</w:t>
      </w:r>
      <w:r>
        <w:rPr>
          <w:b/>
        </w:rPr>
        <w:tab/>
      </w:r>
      <w:r>
        <w:rPr>
          <w:b/>
        </w:rPr>
        <w:tab/>
      </w:r>
      <w:r>
        <w:t>Approval</w:t>
      </w:r>
    </w:p>
    <w:p w14:paraId="17A679F8" w14:textId="77777777" w:rsidR="00DD64B1" w:rsidRDefault="00C40D32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Rx RF requirements for </w:t>
      </w:r>
      <w:r>
        <w:rPr>
          <w:rFonts w:cs="Arial"/>
          <w:lang w:val="en-US" w:eastAsia="zh-CN"/>
        </w:rPr>
        <w:t>satellite access node</w:t>
      </w:r>
    </w:p>
    <w:p w14:paraId="68A1CD79" w14:textId="77777777" w:rsidR="00DD64B1" w:rsidRDefault="00C40D32">
      <w:pPr>
        <w:pStyle w:val="Heading2"/>
        <w:rPr>
          <w:lang w:eastAsia="zh-CN"/>
        </w:rPr>
      </w:pPr>
      <w:r>
        <w:rPr>
          <w:lang w:eastAsia="zh-CN"/>
        </w:rPr>
        <w:t>REFSENS</w:t>
      </w:r>
    </w:p>
    <w:p w14:paraId="22548582" w14:textId="77777777" w:rsidR="00DD64B1" w:rsidRDefault="00C40D32">
      <w:pPr>
        <w:rPr>
          <w:b/>
        </w:rPr>
      </w:pPr>
      <w:r>
        <w:rPr>
          <w:b/>
        </w:rPr>
        <w:t>Sub-topic 1-</w:t>
      </w:r>
      <w:r>
        <w:rPr>
          <w:rFonts w:hint="eastAsia"/>
          <w:b/>
        </w:rPr>
        <w:t>3 Rx requirements for Satellite BS</w:t>
      </w:r>
    </w:p>
    <w:p w14:paraId="1F928AF2" w14:textId="77777777" w:rsidR="00DD64B1" w:rsidRDefault="00C40D32">
      <w:pPr>
        <w:rPr>
          <w:b/>
          <w:u w:val="single"/>
          <w:lang w:eastAsia="zh-CN"/>
        </w:rPr>
      </w:pPr>
      <w:r>
        <w:rPr>
          <w:b/>
          <w:u w:val="single"/>
        </w:rPr>
        <w:t>Issue 1-</w:t>
      </w:r>
      <w:r>
        <w:rPr>
          <w:rFonts w:hint="eastAsia"/>
          <w:b/>
          <w:u w:val="single"/>
          <w:lang w:eastAsia="zh-CN"/>
        </w:rPr>
        <w:t>3-1</w:t>
      </w:r>
      <w:r>
        <w:rPr>
          <w:b/>
          <w:u w:val="single"/>
        </w:rPr>
        <w:t xml:space="preserve">: </w:t>
      </w:r>
      <w:r>
        <w:rPr>
          <w:rFonts w:hint="eastAsia"/>
          <w:b/>
          <w:lang w:eastAsia="zh-CN"/>
        </w:rPr>
        <w:t>FRC</w:t>
      </w:r>
    </w:p>
    <w:p w14:paraId="53E91AAA" w14:textId="77777777" w:rsidR="00DD64B1" w:rsidRDefault="00C40D32">
      <w:pPr>
        <w:pStyle w:val="ListParagraph"/>
        <w:numPr>
          <w:ilvl w:val="0"/>
          <w:numId w:val="15"/>
        </w:numPr>
        <w:spacing w:after="120" w:line="240" w:lineRule="auto"/>
        <w:ind w:left="720"/>
      </w:pPr>
      <w:r>
        <w:rPr>
          <w:rFonts w:hint="eastAsia"/>
        </w:rPr>
        <w:t xml:space="preserve">GTW </w:t>
      </w:r>
      <w:r>
        <w:t>Nov. 2nd</w:t>
      </w:r>
      <w:r>
        <w:rPr>
          <w:rFonts w:hint="eastAsia"/>
        </w:rPr>
        <w:t>:</w:t>
      </w:r>
    </w:p>
    <w:p w14:paraId="30B0C0CD" w14:textId="77777777" w:rsidR="00DD64B1" w:rsidRDefault="00C40D32">
      <w:pPr>
        <w:ind w:leftChars="300" w:left="600"/>
        <w:rPr>
          <w:lang w:val="en-US" w:eastAsia="zh-CN"/>
        </w:rPr>
      </w:pPr>
      <w:r>
        <w:rPr>
          <w:highlight w:val="green"/>
          <w:lang w:val="en-US" w:eastAsia="zh-CN"/>
        </w:rPr>
        <w:t>Agreement: taking option 1 as starting point.</w:t>
      </w:r>
      <w:r>
        <w:rPr>
          <w:lang w:val="en-US" w:eastAsia="zh-CN"/>
        </w:rPr>
        <w:t xml:space="preserve"> </w:t>
      </w:r>
    </w:p>
    <w:p w14:paraId="07E15889" w14:textId="77777777" w:rsidR="00DD64B1" w:rsidRDefault="00C40D32">
      <w:pPr>
        <w:pStyle w:val="ListParagraph"/>
        <w:numPr>
          <w:ilvl w:val="1"/>
          <w:numId w:val="15"/>
        </w:numPr>
        <w:spacing w:after="120" w:line="240" w:lineRule="auto"/>
        <w:ind w:left="1440"/>
        <w:rPr>
          <w:highlight w:val="green"/>
        </w:rPr>
      </w:pPr>
      <w:r>
        <w:rPr>
          <w:highlight w:val="green"/>
        </w:rPr>
        <w:t xml:space="preserve">Option 1: The FRCs specified in TS 38.104 shall be re-used to specify the satellite node Rx </w:t>
      </w:r>
      <w:r>
        <w:rPr>
          <w:highlight w:val="green"/>
        </w:rPr>
        <w:t>requirements.</w:t>
      </w:r>
      <w:r>
        <w:rPr>
          <w:rFonts w:hint="eastAsia"/>
          <w:highlight w:val="green"/>
        </w:rPr>
        <w:t xml:space="preserve"> </w:t>
      </w:r>
      <w:r>
        <w:rPr>
          <w:highlight w:val="green"/>
        </w:rPr>
        <w:t>S</w:t>
      </w:r>
      <w:r>
        <w:rPr>
          <w:rFonts w:hint="eastAsia"/>
          <w:highlight w:val="green"/>
        </w:rPr>
        <w:t>pecifically the following FRCs and DMRS pattern is re-used.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2031"/>
        <w:gridCol w:w="2114"/>
        <w:gridCol w:w="1859"/>
      </w:tblGrid>
      <w:tr w:rsidR="00DD64B1" w14:paraId="5CEF9A4D" w14:textId="77777777">
        <w:trPr>
          <w:jc w:val="center"/>
        </w:trPr>
        <w:tc>
          <w:tcPr>
            <w:tcW w:w="1808" w:type="dxa"/>
            <w:shd w:val="clear" w:color="auto" w:fill="auto"/>
          </w:tcPr>
          <w:p w14:paraId="6B0E2DFF" w14:textId="77777777" w:rsidR="00DD64B1" w:rsidRDefault="00DD64B1">
            <w:pPr>
              <w:pStyle w:val="TAH"/>
              <w:rPr>
                <w:highlight w:val="green"/>
                <w:lang w:val="en-US"/>
              </w:rPr>
            </w:pPr>
          </w:p>
        </w:tc>
        <w:tc>
          <w:tcPr>
            <w:tcW w:w="2031" w:type="dxa"/>
            <w:shd w:val="clear" w:color="auto" w:fill="auto"/>
          </w:tcPr>
          <w:p w14:paraId="1A07929D" w14:textId="77777777" w:rsidR="00DD64B1" w:rsidRDefault="00C40D32">
            <w:pPr>
              <w:pStyle w:val="TAH"/>
              <w:rPr>
                <w:highlight w:val="green"/>
                <w:lang w:val="en-US"/>
              </w:rPr>
            </w:pPr>
            <w:r>
              <w:rPr>
                <w:highlight w:val="green"/>
                <w:lang w:val="en-US"/>
              </w:rPr>
              <w:t>BS Channel BW</w:t>
            </w:r>
          </w:p>
        </w:tc>
        <w:tc>
          <w:tcPr>
            <w:tcW w:w="2114" w:type="dxa"/>
            <w:shd w:val="clear" w:color="auto" w:fill="auto"/>
          </w:tcPr>
          <w:p w14:paraId="2F9057FE" w14:textId="77777777" w:rsidR="00DD64B1" w:rsidRDefault="00C40D32">
            <w:pPr>
              <w:pStyle w:val="TAH"/>
              <w:rPr>
                <w:highlight w:val="green"/>
                <w:lang w:val="en-US"/>
              </w:rPr>
            </w:pPr>
            <w:r>
              <w:rPr>
                <w:highlight w:val="green"/>
                <w:lang w:val="en-US"/>
              </w:rPr>
              <w:t>Subcarrier spacing</w:t>
            </w:r>
          </w:p>
        </w:tc>
        <w:tc>
          <w:tcPr>
            <w:tcW w:w="1859" w:type="dxa"/>
            <w:shd w:val="clear" w:color="auto" w:fill="auto"/>
          </w:tcPr>
          <w:p w14:paraId="4F8C85A3" w14:textId="77777777" w:rsidR="00DD64B1" w:rsidRDefault="00C40D32">
            <w:pPr>
              <w:pStyle w:val="TAH"/>
              <w:rPr>
                <w:highlight w:val="green"/>
                <w:lang w:val="en-US"/>
              </w:rPr>
            </w:pPr>
            <w:r>
              <w:rPr>
                <w:highlight w:val="green"/>
                <w:lang w:val="en-US"/>
              </w:rPr>
              <w:t>Number of PRBS</w:t>
            </w:r>
          </w:p>
        </w:tc>
      </w:tr>
      <w:tr w:rsidR="00DD64B1" w14:paraId="2C9C430D" w14:textId="77777777">
        <w:trPr>
          <w:jc w:val="center"/>
        </w:trPr>
        <w:tc>
          <w:tcPr>
            <w:tcW w:w="1808" w:type="dxa"/>
            <w:shd w:val="clear" w:color="auto" w:fill="auto"/>
          </w:tcPr>
          <w:p w14:paraId="6EFF5EE0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G-FR1-A1-1</w:t>
            </w:r>
          </w:p>
        </w:tc>
        <w:tc>
          <w:tcPr>
            <w:tcW w:w="2031" w:type="dxa"/>
            <w:shd w:val="clear" w:color="auto" w:fill="auto"/>
          </w:tcPr>
          <w:p w14:paraId="55E7AE96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5 MHz</w:t>
            </w:r>
          </w:p>
        </w:tc>
        <w:tc>
          <w:tcPr>
            <w:tcW w:w="2114" w:type="dxa"/>
            <w:shd w:val="clear" w:color="auto" w:fill="auto"/>
          </w:tcPr>
          <w:p w14:paraId="34218A08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15 kHz</w:t>
            </w:r>
          </w:p>
        </w:tc>
        <w:tc>
          <w:tcPr>
            <w:tcW w:w="1859" w:type="dxa"/>
            <w:shd w:val="clear" w:color="auto" w:fill="auto"/>
          </w:tcPr>
          <w:p w14:paraId="05B93112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25</w:t>
            </w:r>
          </w:p>
        </w:tc>
      </w:tr>
      <w:tr w:rsidR="00DD64B1" w14:paraId="19144C84" w14:textId="77777777">
        <w:trPr>
          <w:jc w:val="center"/>
        </w:trPr>
        <w:tc>
          <w:tcPr>
            <w:tcW w:w="1808" w:type="dxa"/>
            <w:shd w:val="clear" w:color="auto" w:fill="auto"/>
          </w:tcPr>
          <w:p w14:paraId="01C51674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G-FR1-A1-2</w:t>
            </w:r>
          </w:p>
        </w:tc>
        <w:tc>
          <w:tcPr>
            <w:tcW w:w="2031" w:type="dxa"/>
            <w:shd w:val="clear" w:color="auto" w:fill="auto"/>
          </w:tcPr>
          <w:p w14:paraId="00FB139F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5 MHz</w:t>
            </w:r>
          </w:p>
        </w:tc>
        <w:tc>
          <w:tcPr>
            <w:tcW w:w="2114" w:type="dxa"/>
            <w:shd w:val="clear" w:color="auto" w:fill="auto"/>
          </w:tcPr>
          <w:p w14:paraId="3B2C6613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30 kHz</w:t>
            </w:r>
          </w:p>
        </w:tc>
        <w:tc>
          <w:tcPr>
            <w:tcW w:w="1859" w:type="dxa"/>
            <w:shd w:val="clear" w:color="auto" w:fill="auto"/>
          </w:tcPr>
          <w:p w14:paraId="3154B0ED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11</w:t>
            </w:r>
          </w:p>
        </w:tc>
      </w:tr>
      <w:tr w:rsidR="00DD64B1" w14:paraId="07ED64F9" w14:textId="77777777">
        <w:trPr>
          <w:jc w:val="center"/>
        </w:trPr>
        <w:tc>
          <w:tcPr>
            <w:tcW w:w="1808" w:type="dxa"/>
            <w:shd w:val="clear" w:color="auto" w:fill="auto"/>
          </w:tcPr>
          <w:p w14:paraId="3AC82451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G-FR1-A1-3</w:t>
            </w:r>
          </w:p>
        </w:tc>
        <w:tc>
          <w:tcPr>
            <w:tcW w:w="2031" w:type="dxa"/>
            <w:shd w:val="clear" w:color="auto" w:fill="auto"/>
          </w:tcPr>
          <w:p w14:paraId="2B261264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10 MHz</w:t>
            </w:r>
          </w:p>
        </w:tc>
        <w:tc>
          <w:tcPr>
            <w:tcW w:w="2114" w:type="dxa"/>
            <w:shd w:val="clear" w:color="auto" w:fill="auto"/>
          </w:tcPr>
          <w:p w14:paraId="6E9C4D6F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60 kHz</w:t>
            </w:r>
          </w:p>
        </w:tc>
        <w:tc>
          <w:tcPr>
            <w:tcW w:w="1859" w:type="dxa"/>
            <w:shd w:val="clear" w:color="auto" w:fill="auto"/>
          </w:tcPr>
          <w:p w14:paraId="7D53839F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11</w:t>
            </w:r>
          </w:p>
        </w:tc>
      </w:tr>
      <w:tr w:rsidR="00DD64B1" w14:paraId="60436587" w14:textId="77777777">
        <w:trPr>
          <w:jc w:val="center"/>
        </w:trPr>
        <w:tc>
          <w:tcPr>
            <w:tcW w:w="1808" w:type="dxa"/>
            <w:shd w:val="clear" w:color="auto" w:fill="auto"/>
          </w:tcPr>
          <w:p w14:paraId="394761D3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G-FR1-A1-4</w:t>
            </w:r>
          </w:p>
        </w:tc>
        <w:tc>
          <w:tcPr>
            <w:tcW w:w="2031" w:type="dxa"/>
            <w:shd w:val="clear" w:color="auto" w:fill="auto"/>
          </w:tcPr>
          <w:p w14:paraId="0280AC6E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20 MHz</w:t>
            </w:r>
          </w:p>
        </w:tc>
        <w:tc>
          <w:tcPr>
            <w:tcW w:w="2114" w:type="dxa"/>
            <w:shd w:val="clear" w:color="auto" w:fill="auto"/>
          </w:tcPr>
          <w:p w14:paraId="1D63A419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15 kHz</w:t>
            </w:r>
          </w:p>
        </w:tc>
        <w:tc>
          <w:tcPr>
            <w:tcW w:w="1859" w:type="dxa"/>
            <w:shd w:val="clear" w:color="auto" w:fill="auto"/>
          </w:tcPr>
          <w:p w14:paraId="129B060A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106</w:t>
            </w:r>
          </w:p>
        </w:tc>
      </w:tr>
      <w:tr w:rsidR="00DD64B1" w14:paraId="43A6D78E" w14:textId="77777777">
        <w:trPr>
          <w:jc w:val="center"/>
        </w:trPr>
        <w:tc>
          <w:tcPr>
            <w:tcW w:w="1808" w:type="dxa"/>
            <w:shd w:val="clear" w:color="auto" w:fill="auto"/>
          </w:tcPr>
          <w:p w14:paraId="149AD937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G-FR1-A1-5</w:t>
            </w:r>
          </w:p>
        </w:tc>
        <w:tc>
          <w:tcPr>
            <w:tcW w:w="2031" w:type="dxa"/>
            <w:shd w:val="clear" w:color="auto" w:fill="auto"/>
          </w:tcPr>
          <w:p w14:paraId="138BDF69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20 MHz</w:t>
            </w:r>
          </w:p>
        </w:tc>
        <w:tc>
          <w:tcPr>
            <w:tcW w:w="2114" w:type="dxa"/>
            <w:shd w:val="clear" w:color="auto" w:fill="auto"/>
          </w:tcPr>
          <w:p w14:paraId="78067D1B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30 kHz</w:t>
            </w:r>
          </w:p>
        </w:tc>
        <w:tc>
          <w:tcPr>
            <w:tcW w:w="1859" w:type="dxa"/>
            <w:shd w:val="clear" w:color="auto" w:fill="auto"/>
          </w:tcPr>
          <w:p w14:paraId="2BFA7D54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51</w:t>
            </w:r>
          </w:p>
        </w:tc>
      </w:tr>
      <w:tr w:rsidR="00DD64B1" w14:paraId="01FC2664" w14:textId="77777777">
        <w:trPr>
          <w:jc w:val="center"/>
        </w:trPr>
        <w:tc>
          <w:tcPr>
            <w:tcW w:w="1808" w:type="dxa"/>
            <w:shd w:val="clear" w:color="auto" w:fill="auto"/>
          </w:tcPr>
          <w:p w14:paraId="72A84CD5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G-FR1-A1-6</w:t>
            </w:r>
          </w:p>
        </w:tc>
        <w:tc>
          <w:tcPr>
            <w:tcW w:w="2031" w:type="dxa"/>
            <w:shd w:val="clear" w:color="auto" w:fill="auto"/>
          </w:tcPr>
          <w:p w14:paraId="3D9876F3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20 MHz</w:t>
            </w:r>
          </w:p>
        </w:tc>
        <w:tc>
          <w:tcPr>
            <w:tcW w:w="2114" w:type="dxa"/>
            <w:shd w:val="clear" w:color="auto" w:fill="auto"/>
          </w:tcPr>
          <w:p w14:paraId="1D180D97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60 kHz</w:t>
            </w:r>
          </w:p>
        </w:tc>
        <w:tc>
          <w:tcPr>
            <w:tcW w:w="1859" w:type="dxa"/>
            <w:shd w:val="clear" w:color="auto" w:fill="auto"/>
          </w:tcPr>
          <w:p w14:paraId="3ECE0E02" w14:textId="77777777" w:rsidR="00DD64B1" w:rsidRDefault="00C40D32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24</w:t>
            </w:r>
          </w:p>
        </w:tc>
      </w:tr>
    </w:tbl>
    <w:p w14:paraId="41597EA1" w14:textId="77777777" w:rsidR="00DD64B1" w:rsidRDefault="00C40D32">
      <w:pPr>
        <w:spacing w:after="120"/>
        <w:jc w:val="center"/>
        <w:rPr>
          <w:szCs w:val="24"/>
          <w:lang w:eastAsia="zh-CN"/>
        </w:rPr>
      </w:pPr>
      <w:r>
        <w:rPr>
          <w:noProof/>
          <w:highlight w:val="green"/>
          <w:lang w:val="en-US" w:eastAsia="zh-CN"/>
        </w:rPr>
        <w:drawing>
          <wp:inline distT="0" distB="0" distL="0" distR="0">
            <wp:extent cx="3073400" cy="2057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34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BB817" w14:textId="77777777" w:rsidR="00DD64B1" w:rsidRDefault="00DD64B1">
      <w:pPr>
        <w:ind w:leftChars="300" w:left="600"/>
        <w:rPr>
          <w:lang w:val="en-US" w:eastAsia="zh-CN"/>
        </w:rPr>
      </w:pPr>
    </w:p>
    <w:p w14:paraId="56B20D6A" w14:textId="77777777" w:rsidR="00DD64B1" w:rsidRDefault="00DD64B1">
      <w:pPr>
        <w:rPr>
          <w:color w:val="0070C0"/>
          <w:lang w:val="en-US" w:eastAsia="zh-CN"/>
        </w:rPr>
      </w:pPr>
    </w:p>
    <w:p w14:paraId="07B98B28" w14:textId="77777777" w:rsidR="00DD64B1" w:rsidRDefault="00C40D32">
      <w:pPr>
        <w:rPr>
          <w:b/>
          <w:u w:val="single"/>
          <w:lang w:eastAsia="zh-CN"/>
        </w:rPr>
      </w:pPr>
      <w:r>
        <w:rPr>
          <w:b/>
          <w:u w:val="single"/>
        </w:rPr>
        <w:t>Issue 1-</w:t>
      </w:r>
      <w:r>
        <w:rPr>
          <w:rFonts w:hint="eastAsia"/>
          <w:b/>
          <w:u w:val="single"/>
          <w:lang w:eastAsia="zh-CN"/>
        </w:rPr>
        <w:t>3-2</w:t>
      </w:r>
      <w:r>
        <w:rPr>
          <w:b/>
          <w:u w:val="single"/>
        </w:rPr>
        <w:t xml:space="preserve">: </w:t>
      </w:r>
      <w:r>
        <w:rPr>
          <w:rFonts w:hint="eastAsia"/>
          <w:b/>
          <w:lang w:eastAsia="zh-CN"/>
        </w:rPr>
        <w:t xml:space="preserve">Noise figure </w:t>
      </w:r>
    </w:p>
    <w:p w14:paraId="741C235E" w14:textId="77777777" w:rsidR="00DD64B1" w:rsidRDefault="00C40D32">
      <w:pPr>
        <w:pStyle w:val="ListParagraph"/>
        <w:numPr>
          <w:ilvl w:val="0"/>
          <w:numId w:val="15"/>
        </w:numPr>
        <w:spacing w:after="120" w:line="240" w:lineRule="auto"/>
        <w:ind w:left="720"/>
      </w:pPr>
      <w:r>
        <w:rPr>
          <w:rFonts w:hint="eastAsia"/>
        </w:rPr>
        <w:t xml:space="preserve">GTW </w:t>
      </w:r>
      <w:r>
        <w:t>Nov. 2nd:</w:t>
      </w:r>
    </w:p>
    <w:p w14:paraId="7685C2EF" w14:textId="77777777" w:rsidR="00DD64B1" w:rsidRDefault="00C40D32">
      <w:pPr>
        <w:ind w:leftChars="300" w:left="600"/>
        <w:rPr>
          <w:lang w:val="en-US" w:eastAsia="zh-CN"/>
        </w:rPr>
      </w:pPr>
      <w:r>
        <w:rPr>
          <w:highlight w:val="green"/>
          <w:lang w:val="en-US" w:eastAsia="zh-CN"/>
        </w:rPr>
        <w:t>Agreements: Option 1</w:t>
      </w:r>
      <w:r>
        <w:rPr>
          <w:lang w:val="en-US" w:eastAsia="zh-CN"/>
        </w:rPr>
        <w:t>:</w:t>
      </w:r>
    </w:p>
    <w:tbl>
      <w:tblPr>
        <w:tblStyle w:val="TableGrid"/>
        <w:tblW w:w="7940" w:type="dxa"/>
        <w:jc w:val="center"/>
        <w:tblLook w:val="04A0" w:firstRow="1" w:lastRow="0" w:firstColumn="1" w:lastColumn="0" w:noHBand="0" w:noVBand="1"/>
      </w:tblPr>
      <w:tblGrid>
        <w:gridCol w:w="1985"/>
        <w:gridCol w:w="1845"/>
        <w:gridCol w:w="1985"/>
        <w:gridCol w:w="2125"/>
      </w:tblGrid>
      <w:tr w:rsidR="00DD64B1" w14:paraId="7AFB2587" w14:textId="77777777">
        <w:trPr>
          <w:jc w:val="center"/>
        </w:trPr>
        <w:tc>
          <w:tcPr>
            <w:tcW w:w="1980" w:type="dxa"/>
          </w:tcPr>
          <w:p w14:paraId="04943959" w14:textId="77777777" w:rsidR="00DD64B1" w:rsidRDefault="00C40D32">
            <w:pPr>
              <w:snapToGrid w:val="0"/>
              <w:spacing w:after="0"/>
              <w:rPr>
                <w:rFonts w:eastAsiaTheme="minorEastAsia"/>
                <w:sz w:val="18"/>
                <w:szCs w:val="15"/>
                <w:highlight w:val="green"/>
              </w:rPr>
            </w:pPr>
            <w:r>
              <w:rPr>
                <w:rFonts w:eastAsiaTheme="minorEastAsia"/>
                <w:b/>
                <w:bCs/>
                <w:sz w:val="18"/>
                <w:szCs w:val="15"/>
                <w:highlight w:val="green"/>
              </w:rPr>
              <w:t>Satellite</w:t>
            </w:r>
          </w:p>
        </w:tc>
        <w:tc>
          <w:tcPr>
            <w:tcW w:w="1840" w:type="dxa"/>
          </w:tcPr>
          <w:p w14:paraId="4568BBD0" w14:textId="77777777" w:rsidR="00DD64B1" w:rsidRDefault="00C40D32">
            <w:pPr>
              <w:snapToGrid w:val="0"/>
              <w:spacing w:after="0"/>
              <w:rPr>
                <w:rFonts w:eastAsiaTheme="minorEastAsia"/>
                <w:sz w:val="18"/>
                <w:szCs w:val="15"/>
                <w:highlight w:val="green"/>
              </w:rPr>
            </w:pPr>
            <w:r>
              <w:rPr>
                <w:rFonts w:eastAsiaTheme="minorEastAsia"/>
                <w:b/>
                <w:bCs/>
                <w:sz w:val="18"/>
                <w:szCs w:val="15"/>
                <w:highlight w:val="green"/>
              </w:rPr>
              <w:t>GEO</w:t>
            </w:r>
          </w:p>
        </w:tc>
        <w:tc>
          <w:tcPr>
            <w:tcW w:w="1980" w:type="dxa"/>
          </w:tcPr>
          <w:p w14:paraId="5DF9E20B" w14:textId="77777777" w:rsidR="00DD64B1" w:rsidRDefault="00C40D32">
            <w:pPr>
              <w:snapToGrid w:val="0"/>
              <w:spacing w:after="0"/>
              <w:rPr>
                <w:rFonts w:eastAsiaTheme="minorEastAsia"/>
                <w:sz w:val="18"/>
                <w:szCs w:val="15"/>
                <w:highlight w:val="green"/>
              </w:rPr>
            </w:pPr>
            <w:r>
              <w:rPr>
                <w:rFonts w:eastAsiaTheme="minorEastAsia"/>
                <w:b/>
                <w:bCs/>
                <w:sz w:val="18"/>
                <w:szCs w:val="15"/>
                <w:highlight w:val="green"/>
              </w:rPr>
              <w:t>LEO 600</w:t>
            </w:r>
          </w:p>
        </w:tc>
        <w:tc>
          <w:tcPr>
            <w:tcW w:w="2120" w:type="dxa"/>
          </w:tcPr>
          <w:p w14:paraId="5661A4C6" w14:textId="77777777" w:rsidR="00DD64B1" w:rsidRDefault="00C40D32">
            <w:pPr>
              <w:snapToGrid w:val="0"/>
              <w:spacing w:after="0"/>
              <w:rPr>
                <w:rFonts w:eastAsiaTheme="minorEastAsia"/>
                <w:sz w:val="18"/>
                <w:szCs w:val="15"/>
                <w:highlight w:val="green"/>
              </w:rPr>
            </w:pPr>
            <w:r>
              <w:rPr>
                <w:rFonts w:eastAsiaTheme="minorEastAsia"/>
                <w:b/>
                <w:bCs/>
                <w:sz w:val="18"/>
                <w:szCs w:val="15"/>
                <w:highlight w:val="green"/>
              </w:rPr>
              <w:t>LEO 1200</w:t>
            </w:r>
          </w:p>
        </w:tc>
      </w:tr>
      <w:tr w:rsidR="00DD64B1" w14:paraId="11AE94A4" w14:textId="77777777">
        <w:trPr>
          <w:jc w:val="center"/>
        </w:trPr>
        <w:tc>
          <w:tcPr>
            <w:tcW w:w="1980" w:type="dxa"/>
          </w:tcPr>
          <w:p w14:paraId="0FDBB7F0" w14:textId="77777777" w:rsidR="00DD64B1" w:rsidRDefault="00C40D32">
            <w:pPr>
              <w:snapToGrid w:val="0"/>
              <w:spacing w:after="0"/>
              <w:rPr>
                <w:rFonts w:eastAsiaTheme="minorEastAsia"/>
                <w:sz w:val="18"/>
                <w:szCs w:val="15"/>
                <w:highlight w:val="green"/>
              </w:rPr>
            </w:pPr>
            <w:r>
              <w:rPr>
                <w:rFonts w:eastAsiaTheme="minorEastAsia"/>
                <w:b/>
                <w:bCs/>
                <w:sz w:val="18"/>
                <w:szCs w:val="15"/>
                <w:highlight w:val="green"/>
              </w:rPr>
              <w:lastRenderedPageBreak/>
              <w:t>G/T (dB K</w:t>
            </w:r>
            <w:r>
              <w:rPr>
                <w:rFonts w:eastAsiaTheme="minorEastAsia"/>
                <w:b/>
                <w:bCs/>
                <w:sz w:val="18"/>
                <w:szCs w:val="15"/>
                <w:highlight w:val="green"/>
                <w:vertAlign w:val="superscript"/>
              </w:rPr>
              <w:t>-1</w:t>
            </w:r>
            <w:r>
              <w:rPr>
                <w:rFonts w:eastAsiaTheme="minorEastAsia"/>
                <w:b/>
                <w:bCs/>
                <w:sz w:val="18"/>
                <w:szCs w:val="15"/>
                <w:highlight w:val="green"/>
              </w:rPr>
              <w:t>)</w:t>
            </w:r>
          </w:p>
        </w:tc>
        <w:tc>
          <w:tcPr>
            <w:tcW w:w="1840" w:type="dxa"/>
          </w:tcPr>
          <w:p w14:paraId="7B2C2A75" w14:textId="77777777" w:rsidR="00DD64B1" w:rsidRDefault="00C40D32">
            <w:pPr>
              <w:snapToGrid w:val="0"/>
              <w:spacing w:after="0"/>
              <w:rPr>
                <w:rFonts w:eastAsiaTheme="minorEastAsia"/>
                <w:sz w:val="18"/>
                <w:szCs w:val="15"/>
                <w:highlight w:val="green"/>
              </w:rPr>
            </w:pPr>
            <w:r>
              <w:rPr>
                <w:rFonts w:eastAsiaTheme="minorEastAsia"/>
                <w:sz w:val="18"/>
                <w:szCs w:val="15"/>
                <w:highlight w:val="green"/>
              </w:rPr>
              <w:t>19</w:t>
            </w:r>
          </w:p>
        </w:tc>
        <w:tc>
          <w:tcPr>
            <w:tcW w:w="1980" w:type="dxa"/>
          </w:tcPr>
          <w:p w14:paraId="6865B427" w14:textId="77777777" w:rsidR="00DD64B1" w:rsidRDefault="00C40D32">
            <w:pPr>
              <w:snapToGrid w:val="0"/>
              <w:spacing w:after="0"/>
              <w:rPr>
                <w:rFonts w:eastAsiaTheme="minorEastAsia"/>
                <w:sz w:val="18"/>
                <w:szCs w:val="15"/>
                <w:highlight w:val="green"/>
              </w:rPr>
            </w:pPr>
            <w:r>
              <w:rPr>
                <w:rFonts w:eastAsiaTheme="minorEastAsia"/>
                <w:sz w:val="18"/>
                <w:szCs w:val="15"/>
                <w:highlight w:val="green"/>
              </w:rPr>
              <w:t>1.1</w:t>
            </w:r>
          </w:p>
        </w:tc>
        <w:tc>
          <w:tcPr>
            <w:tcW w:w="2120" w:type="dxa"/>
          </w:tcPr>
          <w:p w14:paraId="20BD1A81" w14:textId="77777777" w:rsidR="00DD64B1" w:rsidRDefault="00C40D32">
            <w:pPr>
              <w:snapToGrid w:val="0"/>
              <w:spacing w:after="0"/>
              <w:rPr>
                <w:rFonts w:eastAsiaTheme="minorEastAsia"/>
                <w:sz w:val="18"/>
                <w:szCs w:val="15"/>
                <w:highlight w:val="green"/>
              </w:rPr>
            </w:pPr>
            <w:r>
              <w:rPr>
                <w:rFonts w:eastAsiaTheme="minorEastAsia"/>
                <w:sz w:val="18"/>
                <w:szCs w:val="15"/>
                <w:highlight w:val="green"/>
              </w:rPr>
              <w:t>1.1</w:t>
            </w:r>
          </w:p>
        </w:tc>
      </w:tr>
      <w:tr w:rsidR="00DD64B1" w14:paraId="6012D7DB" w14:textId="77777777">
        <w:trPr>
          <w:jc w:val="center"/>
        </w:trPr>
        <w:tc>
          <w:tcPr>
            <w:tcW w:w="1980" w:type="dxa"/>
          </w:tcPr>
          <w:p w14:paraId="71891FE2" w14:textId="77777777" w:rsidR="00DD64B1" w:rsidRDefault="00C40D32">
            <w:pPr>
              <w:snapToGrid w:val="0"/>
              <w:spacing w:after="0"/>
              <w:rPr>
                <w:rFonts w:eastAsiaTheme="minorEastAsia"/>
                <w:sz w:val="18"/>
                <w:szCs w:val="15"/>
                <w:highlight w:val="green"/>
              </w:rPr>
            </w:pPr>
            <w:r>
              <w:rPr>
                <w:rFonts w:eastAsiaTheme="minorEastAsia"/>
                <w:b/>
                <w:bCs/>
                <w:sz w:val="18"/>
                <w:szCs w:val="15"/>
                <w:highlight w:val="green"/>
              </w:rPr>
              <w:t>G_Rx (dBi)</w:t>
            </w:r>
          </w:p>
        </w:tc>
        <w:tc>
          <w:tcPr>
            <w:tcW w:w="1840" w:type="dxa"/>
          </w:tcPr>
          <w:p w14:paraId="349905CE" w14:textId="77777777" w:rsidR="00DD64B1" w:rsidRDefault="00C40D32">
            <w:pPr>
              <w:snapToGrid w:val="0"/>
              <w:spacing w:after="0"/>
              <w:rPr>
                <w:rFonts w:eastAsiaTheme="minorEastAsia"/>
                <w:sz w:val="18"/>
                <w:szCs w:val="15"/>
                <w:highlight w:val="green"/>
              </w:rPr>
            </w:pPr>
            <w:r>
              <w:rPr>
                <w:rFonts w:eastAsiaTheme="minorEastAsia"/>
                <w:sz w:val="18"/>
                <w:szCs w:val="15"/>
                <w:highlight w:val="green"/>
              </w:rPr>
              <w:t>51</w:t>
            </w:r>
          </w:p>
        </w:tc>
        <w:tc>
          <w:tcPr>
            <w:tcW w:w="1980" w:type="dxa"/>
          </w:tcPr>
          <w:p w14:paraId="6D808E78" w14:textId="77777777" w:rsidR="00DD64B1" w:rsidRDefault="00C40D32">
            <w:pPr>
              <w:snapToGrid w:val="0"/>
              <w:spacing w:after="0"/>
              <w:rPr>
                <w:rFonts w:eastAsiaTheme="minorEastAsia"/>
                <w:sz w:val="18"/>
                <w:szCs w:val="15"/>
                <w:highlight w:val="green"/>
              </w:rPr>
            </w:pPr>
            <w:r>
              <w:rPr>
                <w:rFonts w:eastAsiaTheme="minorEastAsia"/>
                <w:sz w:val="18"/>
                <w:szCs w:val="15"/>
                <w:highlight w:val="green"/>
              </w:rPr>
              <w:t>30</w:t>
            </w:r>
          </w:p>
        </w:tc>
        <w:tc>
          <w:tcPr>
            <w:tcW w:w="2120" w:type="dxa"/>
          </w:tcPr>
          <w:p w14:paraId="77E67B3D" w14:textId="77777777" w:rsidR="00DD64B1" w:rsidRDefault="00C40D32">
            <w:pPr>
              <w:snapToGrid w:val="0"/>
              <w:spacing w:after="0"/>
              <w:rPr>
                <w:rFonts w:eastAsiaTheme="minorEastAsia"/>
                <w:sz w:val="18"/>
                <w:szCs w:val="15"/>
                <w:highlight w:val="green"/>
              </w:rPr>
            </w:pPr>
            <w:r>
              <w:rPr>
                <w:rFonts w:eastAsiaTheme="minorEastAsia"/>
                <w:sz w:val="18"/>
                <w:szCs w:val="15"/>
                <w:highlight w:val="green"/>
              </w:rPr>
              <w:t>30</w:t>
            </w:r>
          </w:p>
        </w:tc>
      </w:tr>
      <w:tr w:rsidR="00DD64B1" w14:paraId="66D073DB" w14:textId="77777777">
        <w:trPr>
          <w:jc w:val="center"/>
        </w:trPr>
        <w:tc>
          <w:tcPr>
            <w:tcW w:w="1980" w:type="dxa"/>
          </w:tcPr>
          <w:p w14:paraId="4DEFE0C6" w14:textId="77777777" w:rsidR="00DD64B1" w:rsidRDefault="00C40D32">
            <w:pPr>
              <w:snapToGrid w:val="0"/>
              <w:spacing w:after="0"/>
              <w:rPr>
                <w:rFonts w:eastAsiaTheme="minorEastAsia"/>
                <w:sz w:val="18"/>
                <w:szCs w:val="15"/>
                <w:highlight w:val="green"/>
              </w:rPr>
            </w:pPr>
            <w:r>
              <w:rPr>
                <w:rFonts w:eastAsiaTheme="minorEastAsia"/>
                <w:b/>
                <w:bCs/>
                <w:sz w:val="18"/>
                <w:szCs w:val="15"/>
                <w:highlight w:val="green"/>
              </w:rPr>
              <w:t>NF (dB)</w:t>
            </w:r>
          </w:p>
        </w:tc>
        <w:tc>
          <w:tcPr>
            <w:tcW w:w="1840" w:type="dxa"/>
          </w:tcPr>
          <w:p w14:paraId="068EDB35" w14:textId="77777777" w:rsidR="00DD64B1" w:rsidRDefault="00C40D32">
            <w:pPr>
              <w:snapToGrid w:val="0"/>
              <w:spacing w:after="0"/>
              <w:rPr>
                <w:rFonts w:eastAsiaTheme="minorEastAsia"/>
                <w:sz w:val="18"/>
                <w:szCs w:val="15"/>
                <w:highlight w:val="green"/>
              </w:rPr>
            </w:pPr>
            <w:r>
              <w:rPr>
                <w:rFonts w:eastAsiaTheme="minorEastAsia"/>
                <w:b/>
                <w:bCs/>
                <w:sz w:val="18"/>
                <w:szCs w:val="15"/>
                <w:highlight w:val="green"/>
              </w:rPr>
              <w:t>7.4</w:t>
            </w:r>
          </w:p>
        </w:tc>
        <w:tc>
          <w:tcPr>
            <w:tcW w:w="1980" w:type="dxa"/>
          </w:tcPr>
          <w:p w14:paraId="317C3A79" w14:textId="77777777" w:rsidR="00DD64B1" w:rsidRDefault="00C40D32">
            <w:pPr>
              <w:snapToGrid w:val="0"/>
              <w:spacing w:after="0"/>
              <w:rPr>
                <w:rFonts w:eastAsiaTheme="minorEastAsia"/>
                <w:sz w:val="18"/>
                <w:szCs w:val="15"/>
                <w:highlight w:val="green"/>
              </w:rPr>
            </w:pPr>
            <w:r>
              <w:rPr>
                <w:rFonts w:eastAsiaTheme="minorEastAsia"/>
                <w:b/>
                <w:bCs/>
                <w:sz w:val="18"/>
                <w:szCs w:val="15"/>
                <w:highlight w:val="green"/>
              </w:rPr>
              <w:t>4.3</w:t>
            </w:r>
          </w:p>
        </w:tc>
        <w:tc>
          <w:tcPr>
            <w:tcW w:w="2120" w:type="dxa"/>
          </w:tcPr>
          <w:p w14:paraId="05DC12F8" w14:textId="77777777" w:rsidR="00DD64B1" w:rsidRDefault="00C40D32">
            <w:pPr>
              <w:keepNext/>
              <w:snapToGrid w:val="0"/>
              <w:spacing w:after="0"/>
              <w:rPr>
                <w:rFonts w:eastAsiaTheme="minorEastAsia"/>
                <w:sz w:val="18"/>
                <w:szCs w:val="15"/>
                <w:highlight w:val="green"/>
              </w:rPr>
            </w:pPr>
            <w:r>
              <w:rPr>
                <w:rFonts w:eastAsiaTheme="minorEastAsia"/>
                <w:b/>
                <w:bCs/>
                <w:sz w:val="18"/>
                <w:szCs w:val="15"/>
                <w:highlight w:val="green"/>
              </w:rPr>
              <w:t>4.3</w:t>
            </w:r>
          </w:p>
        </w:tc>
      </w:tr>
    </w:tbl>
    <w:p w14:paraId="65F98880" w14:textId="77777777" w:rsidR="00DD64B1" w:rsidRDefault="00DD64B1">
      <w:pPr>
        <w:ind w:leftChars="300" w:left="600"/>
        <w:rPr>
          <w:lang w:val="en-US" w:eastAsia="zh-CN"/>
        </w:rPr>
      </w:pPr>
    </w:p>
    <w:p w14:paraId="30F67E94" w14:textId="77777777" w:rsidR="00DD64B1" w:rsidRDefault="00DD64B1">
      <w:pPr>
        <w:rPr>
          <w:lang w:val="en-US" w:eastAsia="zh-CN"/>
        </w:rPr>
      </w:pPr>
    </w:p>
    <w:p w14:paraId="7B62B2B4" w14:textId="77777777" w:rsidR="00DD64B1" w:rsidRDefault="00C40D32">
      <w:pPr>
        <w:rPr>
          <w:b/>
          <w:lang w:eastAsia="zh-CN"/>
        </w:rPr>
      </w:pPr>
      <w:r>
        <w:rPr>
          <w:b/>
          <w:u w:val="single"/>
        </w:rPr>
        <w:t>Issue 1-</w:t>
      </w:r>
      <w:r>
        <w:rPr>
          <w:rFonts w:hint="eastAsia"/>
          <w:b/>
          <w:u w:val="single"/>
          <w:lang w:eastAsia="zh-CN"/>
        </w:rPr>
        <w:t>3-3</w:t>
      </w:r>
      <w:r>
        <w:rPr>
          <w:b/>
          <w:u w:val="single"/>
        </w:rPr>
        <w:t xml:space="preserve">: </w:t>
      </w:r>
      <w:r>
        <w:rPr>
          <w:rFonts w:hint="eastAsia"/>
          <w:b/>
          <w:lang w:eastAsia="zh-CN"/>
        </w:rPr>
        <w:t>Implementation margin</w:t>
      </w:r>
    </w:p>
    <w:p w14:paraId="146E9369" w14:textId="77777777" w:rsidR="00DD64B1" w:rsidRDefault="00C40D32">
      <w:pPr>
        <w:pStyle w:val="ListParagraph"/>
        <w:numPr>
          <w:ilvl w:val="0"/>
          <w:numId w:val="15"/>
        </w:numPr>
        <w:spacing w:after="120" w:line="240" w:lineRule="auto"/>
        <w:ind w:left="720"/>
      </w:pPr>
      <w:r>
        <w:rPr>
          <w:rFonts w:hint="eastAsia"/>
        </w:rPr>
        <w:t xml:space="preserve">GTW </w:t>
      </w:r>
      <w:r>
        <w:t xml:space="preserve">Nov. 2nd </w:t>
      </w:r>
      <w:r>
        <w:rPr>
          <w:rFonts w:hint="eastAsia"/>
        </w:rPr>
        <w:t>discussion:</w:t>
      </w:r>
    </w:p>
    <w:p w14:paraId="7119EBE6" w14:textId="77777777" w:rsidR="00DD64B1" w:rsidRDefault="00C40D32">
      <w:pPr>
        <w:ind w:leftChars="300" w:left="600"/>
        <w:rPr>
          <w:lang w:val="en-US" w:eastAsia="zh-CN"/>
        </w:rPr>
      </w:pPr>
      <w:r>
        <w:rPr>
          <w:highlight w:val="green"/>
          <w:lang w:val="en-US" w:eastAsia="zh-CN"/>
        </w:rPr>
        <w:t>Agreement: Reusing margin from TN as [2dB].</w:t>
      </w:r>
    </w:p>
    <w:p w14:paraId="0A7BBEB5" w14:textId="77777777" w:rsidR="00DD64B1" w:rsidRDefault="00DD64B1">
      <w:pPr>
        <w:ind w:leftChars="300" w:left="600"/>
        <w:rPr>
          <w:lang w:val="en-US" w:eastAsia="zh-CN"/>
        </w:rPr>
      </w:pPr>
    </w:p>
    <w:p w14:paraId="484FEBD0" w14:textId="77777777" w:rsidR="00DD64B1" w:rsidRDefault="00C40D32">
      <w:pPr>
        <w:pStyle w:val="Heading2"/>
      </w:pPr>
      <w:r>
        <w:t>Dynamic Range</w:t>
      </w:r>
    </w:p>
    <w:p w14:paraId="3D165E08" w14:textId="77777777" w:rsidR="00DD64B1" w:rsidRDefault="00C40D32">
      <w:pPr>
        <w:rPr>
          <w:lang w:val="en-GB"/>
        </w:rPr>
      </w:pPr>
      <w:r>
        <w:rPr>
          <w:lang w:val="en-GB"/>
        </w:rPr>
        <w:t>WF: Further check the following proposals for next meeting:</w:t>
      </w:r>
    </w:p>
    <w:p w14:paraId="1E224016" w14:textId="77777777" w:rsidR="00DD64B1" w:rsidRDefault="00C40D32">
      <w:pPr>
        <w:pStyle w:val="ListParagraph"/>
        <w:numPr>
          <w:ilvl w:val="2"/>
          <w:numId w:val="15"/>
        </w:numPr>
        <w:spacing w:after="120" w:line="276" w:lineRule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define IoT level as 18dBc for LEO600KM NTN BS;</w:t>
      </w:r>
    </w:p>
    <w:p w14:paraId="2301440A" w14:textId="77777777" w:rsidR="00DD64B1" w:rsidRDefault="00C40D32">
      <w:pPr>
        <w:pStyle w:val="ListParagraph"/>
        <w:numPr>
          <w:ilvl w:val="2"/>
          <w:numId w:val="15"/>
        </w:numPr>
        <w:spacing w:after="120" w:line="276" w:lineRule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 xml:space="preserve">define IoT level as 12dBc for </w:t>
      </w:r>
      <w:r>
        <w:rPr>
          <w:rFonts w:eastAsia="SimSun" w:hint="eastAsia"/>
          <w:color w:val="000000" w:themeColor="text1"/>
          <w:szCs w:val="24"/>
          <w:lang w:eastAsia="zh-CN"/>
        </w:rPr>
        <w:t>LEO1200KM NTN BS;</w:t>
      </w:r>
    </w:p>
    <w:p w14:paraId="029C0861" w14:textId="77777777" w:rsidR="00DD64B1" w:rsidRDefault="00C40D32">
      <w:pPr>
        <w:pStyle w:val="ListParagraph"/>
        <w:numPr>
          <w:ilvl w:val="2"/>
          <w:numId w:val="15"/>
        </w:numPr>
        <w:spacing w:after="120" w:line="276" w:lineRule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 w:hint="eastAsia"/>
          <w:color w:val="000000" w:themeColor="text1"/>
          <w:szCs w:val="24"/>
          <w:lang w:eastAsia="zh-CN"/>
        </w:rPr>
        <w:t>not to define Rx dynamic range requirements for GEO NTN BS;</w:t>
      </w:r>
    </w:p>
    <w:p w14:paraId="36FA356D" w14:textId="77777777" w:rsidR="00DD64B1" w:rsidRDefault="00C40D32">
      <w:pPr>
        <w:pStyle w:val="Heading2"/>
      </w:pPr>
      <w:r>
        <w:t>ACS</w:t>
      </w:r>
    </w:p>
    <w:p w14:paraId="37E05551" w14:textId="77777777" w:rsidR="00DD64B1" w:rsidRDefault="00C40D32">
      <w:pPr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>Agreement: W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ait for co-existence </w:t>
      </w:r>
      <w:r>
        <w:rPr>
          <w:rFonts w:eastAsiaTheme="minorEastAsia"/>
          <w:color w:val="000000" w:themeColor="text1"/>
          <w:lang w:val="en-US" w:eastAsia="zh-CN"/>
        </w:rPr>
        <w:t>simulation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 conclusion</w:t>
      </w:r>
      <w:r>
        <w:rPr>
          <w:rFonts w:eastAsiaTheme="minorEastAsia"/>
          <w:color w:val="000000" w:themeColor="text1"/>
          <w:lang w:val="en-US" w:eastAsia="zh-CN"/>
        </w:rPr>
        <w:t>.</w:t>
      </w:r>
    </w:p>
    <w:p w14:paraId="3435D02E" w14:textId="77777777" w:rsidR="00DD64B1" w:rsidRDefault="00DD64B1">
      <w:pPr>
        <w:rPr>
          <w:color w:val="000000" w:themeColor="text1"/>
          <w:lang w:val="en-GB"/>
        </w:rPr>
      </w:pPr>
    </w:p>
    <w:p w14:paraId="0F8040B1" w14:textId="77777777" w:rsidR="00DD64B1" w:rsidRDefault="00C40D32">
      <w:pPr>
        <w:pStyle w:val="Heading2"/>
      </w:pPr>
      <w:r>
        <w:t>Blocking</w:t>
      </w:r>
    </w:p>
    <w:p w14:paraId="463E80D2" w14:textId="77777777" w:rsidR="00DD64B1" w:rsidRDefault="00C40D32">
      <w:pPr>
        <w:rPr>
          <w:lang w:val="en-GB"/>
        </w:rPr>
      </w:pPr>
      <w:r>
        <w:rPr>
          <w:lang w:val="en-GB"/>
        </w:rPr>
        <w:t>WF: FFS, waiting also fo co-existence simulation conclusion.</w:t>
      </w:r>
    </w:p>
    <w:p w14:paraId="66E0CCCE" w14:textId="77777777" w:rsidR="00DD64B1" w:rsidRDefault="00DD64B1">
      <w:pPr>
        <w:rPr>
          <w:lang w:val="en-GB"/>
        </w:rPr>
      </w:pPr>
    </w:p>
    <w:p w14:paraId="591DF6D7" w14:textId="77777777" w:rsidR="00DD64B1" w:rsidRDefault="00C40D32">
      <w:pPr>
        <w:pStyle w:val="Heading2"/>
      </w:pPr>
      <w:r>
        <w:t>Co-location</w:t>
      </w:r>
    </w:p>
    <w:p w14:paraId="54E30B11" w14:textId="471C8413" w:rsidR="00DD64B1" w:rsidRDefault="00EB2C96">
      <w:pPr>
        <w:rPr>
          <w:lang w:val="en-GB"/>
        </w:rPr>
      </w:pPr>
      <w:r>
        <w:rPr>
          <w:lang w:val="en-GB"/>
        </w:rPr>
        <w:t xml:space="preserve">WF: FFS, companies are encouraged to check if the presence of multiple wireless systems and their impact for next meeting. </w:t>
      </w:r>
    </w:p>
    <w:p w14:paraId="252C7C65" w14:textId="77777777" w:rsidR="00DD64B1" w:rsidRDefault="00C40D32">
      <w:pPr>
        <w:pStyle w:val="Heading2"/>
      </w:pPr>
      <w:r>
        <w:t>Rx intermodulation</w:t>
      </w:r>
    </w:p>
    <w:p w14:paraId="36ACF3C7" w14:textId="77777777" w:rsidR="00DD64B1" w:rsidRDefault="00C40D32">
      <w:pPr>
        <w:spacing w:after="120" w:line="276" w:lineRule="auto"/>
        <w:rPr>
          <w:rFonts w:eastAsia="SimSun"/>
          <w:color w:val="0070C0"/>
          <w:szCs w:val="24"/>
          <w:lang w:eastAsia="zh-CN"/>
        </w:rPr>
      </w:pPr>
      <w:r>
        <w:rPr>
          <w:lang w:val="en-GB"/>
        </w:rPr>
        <w:t xml:space="preserve">Agreement: </w:t>
      </w:r>
      <w:r>
        <w:rPr>
          <w:rFonts w:eastAsia="SimSun"/>
          <w:color w:val="000000" w:themeColor="text1"/>
          <w:szCs w:val="24"/>
          <w:lang w:eastAsia="zh-CN"/>
        </w:rPr>
        <w:t>This requirement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is not needed considering the scenario of satellite BS.</w:t>
      </w:r>
      <w:r>
        <w:rPr>
          <w:rFonts w:eastAsia="SimSun"/>
          <w:color w:val="000000" w:themeColor="text1"/>
          <w:szCs w:val="24"/>
          <w:lang w:eastAsia="zh-CN"/>
        </w:rPr>
        <w:t xml:space="preserve"> </w:t>
      </w:r>
    </w:p>
    <w:p w14:paraId="2410DEE7" w14:textId="77777777" w:rsidR="00DD64B1" w:rsidRDefault="00DD64B1">
      <w:pPr>
        <w:rPr>
          <w:lang w:val="en-GB"/>
        </w:rPr>
      </w:pPr>
    </w:p>
    <w:p w14:paraId="364413F1" w14:textId="77777777" w:rsidR="00DD64B1" w:rsidRDefault="00C40D32">
      <w:pPr>
        <w:pStyle w:val="Heading2"/>
        <w:rPr>
          <w:color w:val="000000" w:themeColor="text1"/>
        </w:rPr>
      </w:pPr>
      <w:r>
        <w:rPr>
          <w:color w:val="000000" w:themeColor="text1"/>
        </w:rPr>
        <w:t>In-channel selectivity</w:t>
      </w:r>
    </w:p>
    <w:p w14:paraId="6CBDDE16" w14:textId="77777777" w:rsidR="00DD64B1" w:rsidRDefault="00C40D32">
      <w:pPr>
        <w:rPr>
          <w:rFonts w:eastAsia="SimSun"/>
          <w:color w:val="000000" w:themeColor="text1"/>
          <w:szCs w:val="24"/>
          <w:lang w:eastAsia="zh-CN"/>
        </w:rPr>
      </w:pPr>
      <w:r>
        <w:rPr>
          <w:color w:val="000000" w:themeColor="text1"/>
          <w:lang w:val="en-GB"/>
        </w:rPr>
        <w:t xml:space="preserve">WF: </w:t>
      </w:r>
      <w:r>
        <w:rPr>
          <w:rFonts w:eastAsia="SimSun"/>
          <w:color w:val="000000" w:themeColor="text1"/>
          <w:szCs w:val="24"/>
          <w:lang w:eastAsia="zh-CN"/>
        </w:rPr>
        <w:t>Further investigate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</w:t>
      </w:r>
      <w:r>
        <w:rPr>
          <w:rFonts w:eastAsia="SimSun"/>
          <w:color w:val="000000" w:themeColor="text1"/>
          <w:szCs w:val="24"/>
          <w:lang w:eastAsia="zh-CN"/>
        </w:rPr>
        <w:t>whether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to keep ICS </w:t>
      </w:r>
      <w:r>
        <w:rPr>
          <w:rFonts w:eastAsia="SimSun"/>
          <w:color w:val="000000" w:themeColor="text1"/>
          <w:szCs w:val="24"/>
          <w:lang w:eastAsia="zh-CN"/>
        </w:rPr>
        <w:t>requirement</w:t>
      </w:r>
      <w:r>
        <w:rPr>
          <w:rFonts w:eastAsia="SimSun" w:hint="eastAsia"/>
          <w:color w:val="000000" w:themeColor="text1"/>
          <w:szCs w:val="24"/>
          <w:lang w:eastAsia="zh-CN"/>
        </w:rPr>
        <w:t xml:space="preserve"> for NTN BS considering the calibration results, where the CL CDF is within 5dB difference.</w:t>
      </w:r>
    </w:p>
    <w:p w14:paraId="4AFDF484" w14:textId="77777777" w:rsidR="00DD64B1" w:rsidRDefault="00DD64B1">
      <w:pPr>
        <w:rPr>
          <w:color w:val="000000" w:themeColor="text1"/>
          <w:lang w:val="en-GB"/>
        </w:rPr>
      </w:pPr>
    </w:p>
    <w:p w14:paraId="0B9A55FB" w14:textId="77777777" w:rsidR="00DD64B1" w:rsidRDefault="00C40D32">
      <w:pPr>
        <w:pStyle w:val="Heading2"/>
      </w:pPr>
      <w:r>
        <w:t>Rx requirements for type 1-O</w:t>
      </w:r>
    </w:p>
    <w:p w14:paraId="3AE1327C" w14:textId="77777777" w:rsidR="00DD64B1" w:rsidRDefault="00C40D32">
      <w:pPr>
        <w:rPr>
          <w:lang w:val="en-US"/>
        </w:rPr>
      </w:pPr>
      <w:r>
        <w:rPr>
          <w:lang w:val="en-US"/>
        </w:rPr>
        <w:t>WF: FFS</w:t>
      </w:r>
    </w:p>
    <w:p w14:paraId="6C5A90A4" w14:textId="77777777" w:rsidR="00DD64B1" w:rsidRDefault="00C40D32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References</w:t>
      </w:r>
    </w:p>
    <w:p w14:paraId="696BDC5C" w14:textId="77777777" w:rsidR="00DD64B1" w:rsidRDefault="00C40D32">
      <w:pPr>
        <w:numPr>
          <w:ilvl w:val="0"/>
          <w:numId w:val="16"/>
        </w:numPr>
        <w:rPr>
          <w:lang w:val="en-US" w:eastAsia="ja-JP"/>
        </w:rPr>
      </w:pPr>
      <w:bookmarkStart w:id="1" w:name="_Ref71297840"/>
      <w:r>
        <w:t>R</w:t>
      </w:r>
      <w:bookmarkEnd w:id="1"/>
      <w:r>
        <w:t>4-2117382, Further discussion on Rx requirements for NTN BS, CATT</w:t>
      </w:r>
    </w:p>
    <w:p w14:paraId="69F1AE21" w14:textId="77777777" w:rsidR="00DD64B1" w:rsidRDefault="00C40D32">
      <w:pPr>
        <w:numPr>
          <w:ilvl w:val="0"/>
          <w:numId w:val="16"/>
        </w:numPr>
        <w:rPr>
          <w:lang w:val="en-US" w:eastAsia="ja-JP"/>
        </w:rPr>
      </w:pPr>
      <w:r>
        <w:t>R4-2118161, NTN - Satell</w:t>
      </w:r>
      <w:r>
        <w:t>ite Node - Rx requirements, Erisson</w:t>
      </w:r>
    </w:p>
    <w:p w14:paraId="77B219BA" w14:textId="77777777" w:rsidR="00DD64B1" w:rsidRDefault="00C40D32">
      <w:pPr>
        <w:numPr>
          <w:ilvl w:val="0"/>
          <w:numId w:val="16"/>
        </w:numPr>
        <w:rPr>
          <w:lang w:val="en-US" w:eastAsia="ja-JP"/>
        </w:rPr>
      </w:pPr>
      <w:r>
        <w:t xml:space="preserve">R4-2119142, </w:t>
      </w:r>
      <w:r>
        <w:rPr>
          <w:lang w:val="en-US" w:eastAsia="ja-JP"/>
        </w:rPr>
        <w:t>TP to TR 38.863: node class, RF RX (6.2), Huawei</w:t>
      </w:r>
    </w:p>
    <w:p w14:paraId="0691EA70" w14:textId="77777777" w:rsidR="00DD64B1" w:rsidRDefault="00C40D32">
      <w:pPr>
        <w:numPr>
          <w:ilvl w:val="0"/>
          <w:numId w:val="16"/>
        </w:numPr>
        <w:rPr>
          <w:lang w:val="en-US" w:eastAsia="ja-JP"/>
        </w:rPr>
      </w:pPr>
      <w:r>
        <w:t>R4-2119206, Discussion on Rx requirements of satellite gNB, ZTE Corporation</w:t>
      </w:r>
    </w:p>
    <w:p w14:paraId="26DB7386" w14:textId="77777777" w:rsidR="00DD64B1" w:rsidRDefault="00DD64B1">
      <w:pPr>
        <w:ind w:left="405"/>
        <w:rPr>
          <w:lang w:val="en-US" w:eastAsia="ja-JP"/>
        </w:rPr>
      </w:pPr>
    </w:p>
    <w:sectPr w:rsidR="00DD64B1">
      <w:pgSz w:w="11907" w:h="16840"/>
      <w:pgMar w:top="1134" w:right="1021" w:bottom="1287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87A02"/>
    <w:multiLevelType w:val="multilevel"/>
    <w:tmpl w:val="20A87A02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 Bold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 Bold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 Bold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F4188"/>
    <w:multiLevelType w:val="multilevel"/>
    <w:tmpl w:val="212F4188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2F6336B5"/>
    <w:lvl w:ilvl="0">
      <w:start w:val="1"/>
      <w:numFmt w:val="decimal"/>
      <w:pStyle w:val="References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30376DA7"/>
    <w:multiLevelType w:val="multilevel"/>
    <w:tmpl w:val="30376DA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C785176"/>
    <w:multiLevelType w:val="multilevel"/>
    <w:tmpl w:val="7C785176"/>
    <w:lvl w:ilvl="0">
      <w:start w:val="1"/>
      <w:numFmt w:val="decimal"/>
      <w:lvlText w:val="[%1]"/>
      <w:lvlJc w:val="left"/>
      <w:pPr>
        <w:tabs>
          <w:tab w:val="left" w:pos="405"/>
        </w:tabs>
        <w:ind w:left="40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873"/>
        </w:tabs>
        <w:ind w:left="873" w:hanging="360"/>
      </w:pPr>
    </w:lvl>
    <w:lvl w:ilvl="2">
      <w:start w:val="1"/>
      <w:numFmt w:val="lowerRoman"/>
      <w:lvlText w:val="%3."/>
      <w:lvlJc w:val="right"/>
      <w:pPr>
        <w:tabs>
          <w:tab w:val="left" w:pos="1593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left" w:pos="2313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left" w:pos="3033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left" w:pos="3753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left" w:pos="4473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left" w:pos="5193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left" w:pos="5913"/>
        </w:tabs>
        <w:ind w:left="5913" w:hanging="180"/>
      </w:p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0"/>
  </w:num>
  <w:num w:numId="5">
    <w:abstractNumId w:val="8"/>
  </w:num>
  <w:num w:numId="6">
    <w:abstractNumId w:val="7"/>
  </w:num>
  <w:num w:numId="7">
    <w:abstractNumId w:val="4"/>
  </w:num>
  <w:num w:numId="8">
    <w:abstractNumId w:val="9"/>
  </w:num>
  <w:num w:numId="9">
    <w:abstractNumId w:val="11"/>
  </w:num>
  <w:num w:numId="10">
    <w:abstractNumId w:val="6"/>
  </w:num>
  <w:num w:numId="11">
    <w:abstractNumId w:val="12"/>
  </w:num>
  <w:num w:numId="12">
    <w:abstractNumId w:val="14"/>
  </w:num>
  <w:num w:numId="13">
    <w:abstractNumId w:val="1"/>
  </w:num>
  <w:num w:numId="14">
    <w:abstractNumId w:val="2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AC8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2F00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5AF6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D7C3C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4FF5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C61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01B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2C59"/>
    <w:rsid w:val="004F5757"/>
    <w:rsid w:val="004F62A8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11E5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5DB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5BF5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67ED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271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5DDA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2C1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2A6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EB0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D32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87707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3939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07B"/>
    <w:rsid w:val="00D83EAA"/>
    <w:rsid w:val="00D85B81"/>
    <w:rsid w:val="00D85B9C"/>
    <w:rsid w:val="00D8779B"/>
    <w:rsid w:val="00D87AEB"/>
    <w:rsid w:val="00D87CC2"/>
    <w:rsid w:val="00D90EAE"/>
    <w:rsid w:val="00D923BF"/>
    <w:rsid w:val="00D92470"/>
    <w:rsid w:val="00D94C30"/>
    <w:rsid w:val="00D95EE6"/>
    <w:rsid w:val="00D975B0"/>
    <w:rsid w:val="00DA0AF7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5B3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4B1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E7494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2DEA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A7F7F"/>
    <w:rsid w:val="00EB0396"/>
    <w:rsid w:val="00EB084D"/>
    <w:rsid w:val="00EB0E39"/>
    <w:rsid w:val="00EB14EA"/>
    <w:rsid w:val="00EB1B7B"/>
    <w:rsid w:val="00EB21A3"/>
    <w:rsid w:val="00EB2AC9"/>
    <w:rsid w:val="00EB2C96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3E86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  <w:rsid w:val="488B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B7E5E6"/>
  <w15:docId w15:val="{0365C4B5-7896-42DA-B218-B9DBA78EC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caption" w:qFormat="1"/>
    <w:lsdException w:name="footnote reference" w:uiPriority="99" w:qFormat="1"/>
    <w:lsdException w:name="annotation reference" w:uiPriority="99" w:qFormat="1"/>
    <w:lsdException w:name="page number" w:qFormat="1"/>
    <w:lsdException w:name="endnote reference" w:unhideWhenUsed="1" w:qFormat="1"/>
    <w:lsdException w:name="endnote text" w:uiPriority="99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C96"/>
    <w:rPr>
      <w:rFonts w:ascii="Arial" w:eastAsiaTheme="minorHAnsi" w:hAnsi="Arial" w:cs="Arial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B2C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2C96"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link w:val="DocumentMapChar"/>
    <w:qFormat/>
    <w:rPr>
      <w:rFonts w:ascii="Tahoma" w:hAnsi="Tahoma"/>
      <w:sz w:val="16"/>
      <w:szCs w:val="16"/>
      <w:lang w:val="zh-CN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zh-CN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uiPriority w:val="99"/>
    <w:unhideWhenUsed/>
    <w:qFormat/>
    <w:pPr>
      <w:spacing w:after="0"/>
    </w:pPr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  <w:lang w:eastAsia="zh-CN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5">
    <w:name w:val="Medium Grid 3 Accent 5"/>
    <w:basedOn w:val="TableNormal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character" w:styleId="EndnoteReference">
    <w:name w:val="endnote reference"/>
    <w:unhideWhenUsed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uiPriority w:val="99"/>
    <w:qFormat/>
    <w:rPr>
      <w:b/>
      <w:position w:val="6"/>
      <w:sz w:val="16"/>
    </w:rPr>
  </w:style>
  <w:style w:type="paragraph" w:customStyle="1" w:styleId="B10">
    <w:name w:val="B1"/>
    <w:basedOn w:val="List"/>
    <w:link w:val="B1Char"/>
    <w:qFormat/>
    <w:pPr>
      <w:ind w:left="738" w:hanging="454"/>
    </w:pPr>
  </w:style>
  <w:style w:type="paragraph" w:customStyle="1" w:styleId="00BodyText">
    <w:name w:val="00 BodyText"/>
    <w:basedOn w:val="Normal"/>
    <w:qFormat/>
    <w:pPr>
      <w:spacing w:after="220"/>
    </w:p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2"/>
      </w:numPr>
    </w:pPr>
  </w:style>
  <w:style w:type="paragraph" w:customStyle="1" w:styleId="B20">
    <w:name w:val="B2"/>
    <w:basedOn w:val="List2"/>
    <w:link w:val="B2Char"/>
    <w:qFormat/>
    <w:pPr>
      <w:ind w:left="1191" w:hanging="454"/>
    </w:pPr>
  </w:style>
  <w:style w:type="paragraph" w:customStyle="1" w:styleId="B2">
    <w:name w:val="B2+"/>
    <w:basedOn w:val="B20"/>
    <w:qFormat/>
    <w:pPr>
      <w:numPr>
        <w:numId w:val="3"/>
      </w:numPr>
    </w:pPr>
  </w:style>
  <w:style w:type="paragraph" w:customStyle="1" w:styleId="B30">
    <w:name w:val="B3"/>
    <w:basedOn w:val="List3"/>
    <w:qFormat/>
    <w:pPr>
      <w:ind w:left="1645" w:hanging="454"/>
    </w:pPr>
  </w:style>
  <w:style w:type="paragraph" w:customStyle="1" w:styleId="B3">
    <w:name w:val="B3+"/>
    <w:basedOn w:val="B30"/>
    <w:uiPriority w:val="99"/>
    <w:qFormat/>
    <w:pPr>
      <w:numPr>
        <w:numId w:val="4"/>
      </w:numPr>
      <w:tabs>
        <w:tab w:val="left" w:pos="1134"/>
      </w:tabs>
    </w:pPr>
  </w:style>
  <w:style w:type="paragraph" w:customStyle="1" w:styleId="B4">
    <w:name w:val="B4"/>
    <w:basedOn w:val="List4"/>
    <w:qFormat/>
    <w:pPr>
      <w:ind w:left="2098" w:hanging="454"/>
    </w:pPr>
  </w:style>
  <w:style w:type="paragraph" w:customStyle="1" w:styleId="B5">
    <w:name w:val="B5"/>
    <w:basedOn w:val="List5"/>
    <w:qFormat/>
    <w:pPr>
      <w:ind w:left="2552" w:hanging="454"/>
    </w:pPr>
  </w:style>
  <w:style w:type="paragraph" w:customStyle="1" w:styleId="BL">
    <w:name w:val="BL"/>
    <w:basedOn w:val="Normal"/>
    <w:qFormat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pPr>
      <w:numPr>
        <w:numId w:val="6"/>
      </w:numPr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pPr>
      <w:jc w:val="center"/>
    </w:pPr>
    <w:rPr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J">
    <w:name w:val="TAJ"/>
    <w:basedOn w:val="Normal"/>
    <w:qFormat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lang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References">
    <w:name w:val="References"/>
    <w:basedOn w:val="Normal"/>
    <w:qFormat/>
    <w:pPr>
      <w:numPr>
        <w:numId w:val="7"/>
      </w:numPr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paragraph" w:customStyle="1" w:styleId="20">
    <w:name w:val="스타일 양쪽 첫 줄:  2 글자"/>
    <w:basedOn w:val="Normal"/>
    <w:qFormat/>
    <w:pPr>
      <w:spacing w:line="288" w:lineRule="auto"/>
      <w:ind w:firstLineChars="200" w:firstLine="200"/>
      <w:jc w:val="both"/>
    </w:pPr>
    <w:rPr>
      <w:rFonts w:eastAsia="Malgun Gothic" w:cs="Batang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semiHidden/>
    <w:qFormat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semiHidden/>
    <w:qFormat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semiHidden/>
    <w:qFormat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qFormat/>
    <w:rPr>
      <w:rFonts w:ascii="Arial" w:hAnsi="Arial"/>
      <w:sz w:val="1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ascii="Arial" w:hAnsi="Arial"/>
      <w:b/>
      <w:bCs/>
      <w:lang w:val="en-GB" w:eastAsia="en-US"/>
    </w:rPr>
  </w:style>
  <w:style w:type="character" w:customStyle="1" w:styleId="EndnoteTextChar">
    <w:name w:val="Endnote Text Char"/>
    <w:link w:val="EndnoteText"/>
    <w:uiPriority w:val="99"/>
    <w:qFormat/>
    <w:rPr>
      <w:rFonts w:eastAsia="SimSun"/>
      <w:lang w:val="en-GB" w:eastAsia="zh-CN"/>
    </w:rPr>
  </w:style>
  <w:style w:type="character" w:customStyle="1" w:styleId="BodyTextChar">
    <w:name w:val="Body Text Char"/>
    <w:link w:val="BodyText"/>
    <w:qFormat/>
    <w:locked/>
    <w:rPr>
      <w:rFonts w:ascii="Arial" w:hAnsi="Arial"/>
      <w:lang w:val="en-GB" w:eastAsia="en-US"/>
    </w:rPr>
  </w:style>
  <w:style w:type="character" w:customStyle="1" w:styleId="BodyTextChar1">
    <w:name w:val="Body Text Char1"/>
    <w:semiHidden/>
    <w:qFormat/>
    <w:rPr>
      <w:rFonts w:eastAsia="SimSun"/>
      <w:sz w:val="22"/>
      <w:lang w:val="en-GB" w:eastAsia="zh-CN"/>
    </w:rPr>
  </w:style>
  <w:style w:type="paragraph" w:customStyle="1" w:styleId="Revision1">
    <w:name w:val="Revision1"/>
    <w:uiPriority w:val="99"/>
    <w:semiHidden/>
    <w:qFormat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table" w:customStyle="1" w:styleId="GridTable5Dark-Accent51">
    <w:name w:val="Grid Table 5 Dark - Accent 51"/>
    <w:basedOn w:val="TableNormal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link w:val="ListParagraph"/>
    <w:uiPriority w:val="34"/>
    <w:qFormat/>
    <w:rPr>
      <w:rFonts w:ascii="Arial" w:hAnsi="Arial"/>
      <w:lang w:val="en-GB"/>
    </w:rPr>
  </w:style>
  <w:style w:type="table" w:customStyle="1" w:styleId="GridTable4-Accent51">
    <w:name w:val="Grid Table 4 - Accent 51"/>
    <w:basedOn w:val="TableNormal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msoins0">
    <w:name w:val="msoins"/>
    <w:qFormat/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EQChar">
    <w:name w:val="EQ Char"/>
    <w:link w:val="EQ"/>
    <w:qFormat/>
    <w:rPr>
      <w:rFonts w:ascii="Arial" w:hAnsi="Arial"/>
      <w:lang w:val="en-GB" w:eastAsia="en-US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character" w:customStyle="1" w:styleId="BodyTextIndentChar">
    <w:name w:val="Body Text Indent Char"/>
    <w:link w:val="BodyTextIndent"/>
    <w:qFormat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qFormat/>
    <w:pPr>
      <w:numPr>
        <w:numId w:val="9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pPr>
      <w:numPr>
        <w:numId w:val="10"/>
      </w:numPr>
    </w:pPr>
    <w:rPr>
      <w:rFonts w:eastAsia="MS Mincho"/>
      <w:szCs w:val="18"/>
      <w:lang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Pr>
      <w:rFonts w:ascii="Arial" w:hAnsi="Arial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EXChar">
    <w:name w:val="EX Char"/>
    <w:link w:val="EX"/>
    <w:qFormat/>
    <w:locked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pPr>
      <w:keepNext/>
      <w:keepLines/>
      <w:numPr>
        <w:numId w:val="11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pPr>
      <w:keepNext/>
      <w:keepLines/>
      <w:numPr>
        <w:numId w:val="12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qFormat/>
    <w:rPr>
      <w:rFonts w:ascii="Times New Roman" w:hAnsi="Times New Roman"/>
      <w:i/>
      <w:color w:val="0000FF"/>
      <w:lang w:eastAsia="ko-KR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qFormat/>
    <w:locked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qFormat/>
    <w:pPr>
      <w:numPr>
        <w:numId w:val="13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qFormat/>
    <w:pPr>
      <w:keepLines w:val="0"/>
      <w:pageBreakBefore/>
      <w:numPr>
        <w:numId w:val="14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qFormat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qFormat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qFormat/>
    <w:pPr>
      <w:numPr>
        <w:ilvl w:val="1"/>
        <w:numId w:val="14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qFormat/>
    <w:pPr>
      <w:numPr>
        <w:ilvl w:val="2"/>
        <w:numId w:val="14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qFormat/>
    <w:pPr>
      <w:numPr>
        <w:ilvl w:val="3"/>
        <w:numId w:val="14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Pr>
      <w:rFonts w:eastAsia="Calibri"/>
      <w:szCs w:val="22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341</Words>
  <Characters>1808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dominique.everaere@ericsson.com</dc:creator>
  <cp:lastModifiedBy>D. Everaere</cp:lastModifiedBy>
  <cp:revision>2</cp:revision>
  <cp:lastPrinted>2001-04-23T09:30:00Z</cp:lastPrinted>
  <dcterms:created xsi:type="dcterms:W3CDTF">2021-11-10T19:28:00Z</dcterms:created>
  <dcterms:modified xsi:type="dcterms:W3CDTF">2021-11-10T19:28:00Z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2052-11.8.2.8875</vt:lpwstr>
  </property>
</Properties>
</file>