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b/>
          <w:sz w:val="24"/>
          <w:lang w:val="en-US" w:eastAsia="zh-CN"/>
        </w:rPr>
      </w:pPr>
      <w:bookmarkStart w:id="0" w:name="_Toc21123157"/>
      <w:bookmarkStart w:id="1" w:name="_Toc68770421"/>
      <w:bookmarkStart w:id="2" w:name="_Toc61117217"/>
      <w:bookmarkStart w:id="3" w:name="_Toc83113327"/>
      <w:bookmarkStart w:id="4" w:name="_Toc67081069"/>
      <w:bookmarkStart w:id="5" w:name="_Toc76506408"/>
      <w:bookmarkStart w:id="6" w:name="_Toc45907350"/>
      <w:bookmarkStart w:id="7" w:name="_Toc74755484"/>
      <w:bookmarkStart w:id="8" w:name="_Toc5318145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bookmarkStart w:id="22" w:name="_GoBack"/>
      <w:bookmarkEnd w:id="22"/>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R4-2120633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45-2</w:t>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rFonts w:hint="eastAsia" w:eastAsia="宋体"/>
                <w:b/>
                <w:lang w:val="en-US" w:eastAsia="zh-CN"/>
              </w:rPr>
            </w:pPr>
            <w:r>
              <w:rPr>
                <w:rFonts w:hint="eastAsia" w:eastAsia="宋体"/>
                <w:b/>
                <w:lang w:val="en-US" w:eastAsia="zh-CN"/>
              </w:rPr>
              <w:t>1</w:t>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9" w:name="_Hlt497126619"/>
            <w:r>
              <w:rPr>
                <w:rStyle w:val="51"/>
                <w:rFonts w:cs="Arial"/>
                <w:b/>
                <w:i/>
                <w:color w:val="FF0000"/>
              </w:rPr>
              <w:t>L</w:t>
            </w:r>
            <w:bookmarkEnd w:id="9"/>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 xml:space="preserve">Maintenance CR for TS 37.145-2 section </w:t>
            </w:r>
            <w:r>
              <w:t>6.7.6.4.5.1.1</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ja-JP" w:bidi="ar-SA"/>
              </w:rPr>
            </w:pPr>
            <w:r>
              <w:rPr>
                <w:rFonts w:hint="default" w:ascii="Arial" w:hAnsi="Arial" w:eastAsia="宋体" w:cs="Arial"/>
                <w:i w:val="0"/>
                <w:color w:val="000000"/>
                <w:kern w:val="0"/>
                <w:sz w:val="18"/>
                <w:szCs w:val="18"/>
                <w:u w:val="none"/>
                <w:lang w:val="en-US" w:eastAsia="zh-CN" w:bidi="ar"/>
              </w:rPr>
              <w:t>NR_newRAT-Perf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Note for E-UTRA band 22 and n79 is not correct;</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Note for E-UTRA band 22 and n79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 xml:space="preserve">Note for E-UTRA band 22  and n79 In </w:t>
            </w:r>
            <w:r>
              <w:t>Table 6.7.6.4.5.1.1-1</w:t>
            </w:r>
            <w:r>
              <w:rPr>
                <w:rFonts w:hint="eastAsia" w:eastAsia="宋体"/>
                <w:lang w:val="en-US" w:eastAsia="zh-CN"/>
              </w:rPr>
              <w:t xml:space="preserve"> is not correct.</w:t>
            </w:r>
          </w:p>
          <w:p>
            <w:pPr>
              <w:pStyle w:val="136"/>
              <w:spacing w:after="0"/>
              <w:rPr>
                <w:rFonts w:hint="default" w:eastAsia="宋体"/>
                <w:lang w:val="en-US" w:eastAsia="zh-CN"/>
              </w:rPr>
            </w:pPr>
            <w:r>
              <w:rPr>
                <w:rFonts w:hint="eastAsia" w:eastAsia="宋体"/>
                <w:lang w:val="en-US" w:eastAsia="zh-CN"/>
              </w:rPr>
              <w:t xml:space="preserve">Note for E-UTRA band 22  and n79 In </w:t>
            </w:r>
            <w:r>
              <w:t>Table 6.7.6.4.5.3-1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t>6.7.6.4.5.1.1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70"/>
        <w:bidi w:val="0"/>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p>
    <w:p>
      <w:pPr>
        <w:pStyle w:val="8"/>
      </w:pPr>
      <w:bookmarkStart w:id="10" w:name="_Toc21123158"/>
      <w:bookmarkStart w:id="11" w:name="_Toc53181455"/>
      <w:bookmarkStart w:id="12" w:name="_Toc45907351"/>
      <w:r>
        <w:t>6.7.6.4.5.1</w:t>
      </w:r>
      <w:r>
        <w:tab/>
      </w:r>
      <w:r>
        <w:t>MSR operation</w:t>
      </w:r>
      <w:bookmarkEnd w:id="10"/>
      <w:bookmarkEnd w:id="11"/>
      <w:bookmarkEnd w:id="12"/>
    </w:p>
    <w:p>
      <w:r>
        <w:t>For UTRA, the minimum requirement is specified in clause 6.7.6.4.5.2</w:t>
      </w:r>
    </w:p>
    <w:p>
      <w:r>
        <w:t>For E-UTRA, the minimum requirement is specified in clause 6.7.6.4.5.3.</w:t>
      </w:r>
    </w:p>
    <w:p>
      <w:pPr>
        <w:pStyle w:val="8"/>
      </w:pPr>
      <w:bookmarkStart w:id="13" w:name="_Toc45907352"/>
      <w:bookmarkStart w:id="14" w:name="_Toc21123159"/>
      <w:bookmarkStart w:id="15" w:name="_Toc53181456"/>
      <w:r>
        <w:t>6.7.6.4.5.1.1</w:t>
      </w:r>
      <w:r>
        <w:tab/>
      </w:r>
      <w:r>
        <w:t>E-UTRA and NR MSR operation</w:t>
      </w:r>
      <w:bookmarkEnd w:id="13"/>
      <w:bookmarkEnd w:id="14"/>
      <w:bookmarkEnd w:id="1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1"/>
      </w:pPr>
      <w:r>
        <w:t>Table 6.7.6.4.5.1.1-1: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77"/>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7"/>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77"/>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77"/>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7"/>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1930 </w:t>
            </w:r>
            <w:r>
              <w:rPr>
                <w:rFonts w:cs="v5.0.0"/>
              </w:rPr>
              <w:noBreakHyphen/>
            </w:r>
            <w:r>
              <w:rPr>
                <w:rFonts w:cs="v5.0.0"/>
              </w:rPr>
              <w:t xml:space="preserve">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5/n5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 or</w:t>
            </w:r>
          </w:p>
          <w:p>
            <w:pPr>
              <w:pStyle w:val="78"/>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 or</w:t>
            </w:r>
          </w:p>
          <w:p>
            <w:pPr>
              <w:pStyle w:val="78"/>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III or</w:t>
            </w:r>
          </w:p>
          <w:p>
            <w:pPr>
              <w:pStyle w:val="78"/>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 xml:space="preserve">This requirement does not apply to BS operating in band 3/n3, </w:t>
            </w:r>
            <w:r>
              <w:rPr>
                <w:rFonts w:cs="v5.0.0"/>
              </w:rPr>
              <w:t>since it is already covered by the requirement in clause 6.7.6.3.5.1</w:t>
            </w:r>
          </w:p>
          <w:p>
            <w:pPr>
              <w:pStyle w:val="7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8"/>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 or</w:t>
            </w:r>
          </w:p>
          <w:p>
            <w:pPr>
              <w:pStyle w:val="78"/>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8"/>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 XIX or</w:t>
            </w:r>
          </w:p>
          <w:p>
            <w:pPr>
              <w:pStyle w:val="78"/>
            </w:pPr>
            <w:r>
              <w:t>E-UTRA Band 6, 18, 19</w:t>
            </w: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 or</w:t>
            </w:r>
          </w:p>
          <w:p>
            <w:pPr>
              <w:pStyle w:val="78"/>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8"/>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VIII or</w:t>
            </w:r>
          </w:p>
          <w:p>
            <w:pPr>
              <w:pStyle w:val="78"/>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8"/>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p>
            <w:pPr>
              <w:pStyle w:val="78"/>
              <w:rPr>
                <w:lang w:val="sv-SE"/>
              </w:rPr>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p>
            <w:pPr>
              <w:pStyle w:val="78"/>
              <w:rPr>
                <w:lang w:val="sv-SE"/>
              </w:rPr>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p>
            <w:pPr>
              <w:pStyle w:val="78"/>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8"/>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XII or</w:t>
            </w:r>
          </w:p>
          <w:p>
            <w:pPr>
              <w:pStyle w:val="78"/>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8"/>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8"/>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p>
            <w:pPr>
              <w:pStyle w:val="78"/>
              <w:rPr>
                <w:lang w:val="sv-SE"/>
              </w:rPr>
            </w:pPr>
            <w:r>
              <w:rPr>
                <w:lang w:val="sv-SE"/>
              </w:rPr>
              <w:t>E-UTRA Band 14</w:t>
            </w:r>
          </w:p>
        </w:tc>
        <w:tc>
          <w:tcPr>
            <w:tcW w:w="1701" w:type="dxa"/>
            <w:tcBorders>
              <w:top w:val="single" w:color="auto" w:sz="2" w:space="0"/>
              <w:left w:val="single" w:color="auto" w:sz="4" w:space="0"/>
              <w:bottom w:val="single" w:color="auto" w:sz="2" w:space="0"/>
              <w:right w:val="single" w:color="auto" w:sz="2" w:space="0"/>
            </w:tcBorders>
          </w:tcPr>
          <w:p>
            <w:pPr>
              <w:pStyle w:val="78"/>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8"/>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 or</w:t>
            </w:r>
          </w:p>
          <w:p>
            <w:pPr>
              <w:pStyle w:val="78"/>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8"/>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p>
            <w:pPr>
              <w:pStyle w:val="78"/>
              <w:rPr>
                <w:lang w:val="sv-SE"/>
              </w:rPr>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0" w:author="ZTE" w:date="2021-10-22T21:17:29Z">
              <w:r>
                <w:rPr>
                  <w:rFonts w:hint="eastAsia" w:eastAsia="宋体" w:cs="v5.0.0"/>
                  <w:lang w:val="en-US" w:eastAsia="zh-CN"/>
                </w:rPr>
                <w:t>,</w:t>
              </w:r>
            </w:ins>
            <w:ins w:id="1" w:author="ZTE" w:date="2021-10-22T21:17:30Z">
              <w:r>
                <w:rPr>
                  <w:rFonts w:hint="eastAsia" w:eastAsia="宋体" w:cs="v5.0.0"/>
                  <w:lang w:val="en-US" w:eastAsia="zh-CN"/>
                </w:rPr>
                <w:t xml:space="preserve"> </w:t>
              </w:r>
            </w:ins>
            <w:ins w:id="2" w:author="ZTE" w:date="2021-10-22T21:18:09Z">
              <w:r>
                <w:rPr>
                  <w:rFonts w:hint="eastAsia" w:eastAsia="宋体" w:cs="v5.0.0"/>
                  <w:lang w:val="en-US" w:eastAsia="zh-CN"/>
                </w:rPr>
                <w:t>n</w:t>
              </w:r>
            </w:ins>
            <w:ins w:id="3" w:author="ZTE" w:date="2021-10-22T21:17:31Z">
              <w:r>
                <w:rPr>
                  <w:rFonts w:hint="eastAsia" w:eastAsia="宋体" w:cs="v5.0.0"/>
                  <w:lang w:val="en-US" w:eastAsia="zh-CN"/>
                </w:rPr>
                <w:t>77 o</w:t>
              </w:r>
            </w:ins>
            <w:ins w:id="4" w:author="ZTE" w:date="2021-10-22T21:17:32Z">
              <w:r>
                <w:rPr>
                  <w:rFonts w:hint="eastAsia" w:eastAsia="宋体" w:cs="v5.0.0"/>
                  <w:lang w:val="en-US" w:eastAsia="zh-CN"/>
                </w:rPr>
                <w:t xml:space="preserve">r </w:t>
              </w:r>
            </w:ins>
            <w:ins w:id="5" w:author="ZTE" w:date="2021-10-22T21:18:15Z">
              <w:r>
                <w:rPr>
                  <w:rFonts w:hint="eastAsia" w:eastAsia="宋体" w:cs="v5.0.0"/>
                  <w:lang w:val="en-US" w:eastAsia="zh-CN"/>
                </w:rPr>
                <w:t>n</w:t>
              </w:r>
            </w:ins>
            <w:ins w:id="6" w:author="ZTE" w:date="2021-10-22T21:17:32Z">
              <w:r>
                <w:rPr>
                  <w:rFonts w:hint="eastAsia" w:eastAsia="宋体" w:cs="v5.0.0"/>
                  <w:lang w:val="en-US" w:eastAsia="zh-CN"/>
                </w:rPr>
                <w:t>7</w:t>
              </w:r>
            </w:ins>
            <w:ins w:id="7" w:author="ZTE" w:date="2021-10-22T21:17:33Z">
              <w:r>
                <w:rPr>
                  <w:rFonts w:hint="eastAsia" w:eastAsia="宋体" w:cs="v5.0.0"/>
                  <w:lang w:val="en-US" w:eastAsia="zh-CN"/>
                </w:rPr>
                <w:t>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tcBorders>
              <w:top w:val="single" w:color="auto" w:sz="2" w:space="0"/>
              <w:left w:val="single" w:color="auto" w:sz="4" w:space="0"/>
              <w:bottom w:val="single" w:color="auto" w:sz="2" w:space="0"/>
              <w:right w:val="single" w:color="auto" w:sz="2" w:space="0"/>
            </w:tcBorders>
          </w:tcPr>
          <w:p>
            <w:pPr>
              <w:pStyle w:val="78"/>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XXVI or E-UTRA Band 26</w:t>
            </w:r>
          </w:p>
        </w:tc>
        <w:tc>
          <w:tcPr>
            <w:tcW w:w="1701" w:type="dxa"/>
            <w:tcBorders>
              <w:top w:val="single" w:color="auto" w:sz="2" w:space="0"/>
              <w:left w:val="single" w:color="auto" w:sz="4" w:space="0"/>
              <w:bottom w:val="single" w:color="auto" w:sz="2" w:space="0"/>
              <w:right w:val="single" w:color="auto" w:sz="2" w:space="0"/>
            </w:tcBorders>
          </w:tcPr>
          <w:p>
            <w:pPr>
              <w:pStyle w:val="78"/>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8"/>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29</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78"/>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78"/>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78"/>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78"/>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78"/>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78"/>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41/n41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22, 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48</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78"/>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78"/>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78"/>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1/n1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65,</w:t>
            </w:r>
            <w:r>
              <w:rPr>
                <w:rFonts w:cs="v5.0.0"/>
              </w:rPr>
              <w:t xml:space="preserve"> since it is already covered by the requirement in clause </w:t>
            </w:r>
            <w:r>
              <w:t>6.7.6.3.5.1</w:t>
            </w:r>
          </w:p>
          <w:p>
            <w:pPr>
              <w:pStyle w:val="7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rPr>
                <w:szCs w:val="18"/>
              </w:rPr>
              <w:t>E-UTRA Band 67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w:t>
            </w:r>
            <w:r>
              <w:rPr>
                <w:lang w:val="en-US"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w:t>
            </w:r>
            <w:r>
              <w:rPr>
                <w:lang w:eastAsia="zh-CN"/>
              </w:rPr>
              <w:t>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42, </w:t>
            </w:r>
            <w:r>
              <w:rPr>
                <w:lang w:eastAsia="zh-CN"/>
              </w:rPr>
              <w:t>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tcPr>
          <w:p>
            <w:pPr>
              <w:pStyle w:val="78"/>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del w:id="8" w:author="ZTE,Fei Xue" w:date="2021-11-09T11:13:04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701" w:type="dxa"/>
            <w:tcBorders>
              <w:top w:val="single" w:color="auto" w:sz="2" w:space="0"/>
              <w:left w:val="single" w:color="auto" w:sz="4" w:space="0"/>
              <w:bottom w:val="single" w:color="auto" w:sz="2" w:space="0"/>
              <w:right w:val="single" w:color="auto" w:sz="2" w:space="0"/>
            </w:tcBorders>
          </w:tcPr>
          <w:p>
            <w:pPr>
              <w:pStyle w:val="78"/>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78"/>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78"/>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p>
      <w:pPr>
        <w:pStyle w:val="70"/>
      </w:pPr>
      <w:r>
        <w:t>NOTE 1:</w:t>
      </w:r>
      <w:r>
        <w:tab/>
      </w:r>
      <w:r>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color w:val="auto"/>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7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0"/>
      </w:pPr>
      <w:r>
        <w:t>NOTE 3:</w:t>
      </w:r>
      <w:r>
        <w:tab/>
      </w:r>
      <w:r>
        <w:t>For the protection of DCS1800, UTRA Band III or E-UTRA Band 3 or NR band n3 in China, the frequency ranges of the downlink and uplink protection requirements are 1805 – 1850 MHz and 1710 – 1755 MHz respectively.</w:t>
      </w:r>
    </w:p>
    <w:p>
      <w:pPr>
        <w:pStyle w:val="7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pPr>
        <w:pStyle w:val="70"/>
      </w:pPr>
      <w:r>
        <w:t>NOTE 6:</w:t>
      </w:r>
      <w:r>
        <w:tab/>
      </w:r>
      <w:r>
        <w:t>For Band 28/n28 BS, specific solutions may be required to fulfil the spurious emissions limits for BS for co-existence with Band 27 UL operating band.</w:t>
      </w:r>
    </w:p>
    <w:p>
      <w:pPr>
        <w:pStyle w:val="7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91"/>
      </w:pPr>
      <w:r>
        <w:t>Table 6.7.6.4.5.1.1-2: AAS BS OTA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7"/>
              <w:rPr>
                <w:rFonts w:cs="Arial"/>
              </w:rPr>
            </w:pPr>
            <w:r>
              <w:rPr>
                <w:rFonts w:cs="Arial"/>
              </w:rPr>
              <w:t>Frequency range</w:t>
            </w:r>
          </w:p>
        </w:tc>
        <w:tc>
          <w:tcPr>
            <w:tcW w:w="2126" w:type="dxa"/>
          </w:tcPr>
          <w:p>
            <w:pPr>
              <w:pStyle w:val="77"/>
              <w:rPr>
                <w:rFonts w:cs="Arial"/>
              </w:rPr>
            </w:pPr>
            <w:r>
              <w:rPr>
                <w:rFonts w:cs="Arial"/>
              </w:rPr>
              <w:t>Maximum Level</w:t>
            </w:r>
          </w:p>
        </w:tc>
        <w:tc>
          <w:tcPr>
            <w:tcW w:w="864" w:type="dxa"/>
          </w:tcPr>
          <w:p>
            <w:pPr>
              <w:pStyle w:val="77"/>
              <w:rPr>
                <w:rFonts w:cs="Arial"/>
              </w:rPr>
            </w:pPr>
            <w:r>
              <w:rPr>
                <w:rFonts w:cs="Arial"/>
              </w:rPr>
              <w:t>Measurement Bandwidth</w:t>
            </w:r>
          </w:p>
        </w:tc>
        <w:tc>
          <w:tcPr>
            <w:tcW w:w="3617"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8"/>
            </w:pPr>
            <w:r>
              <w:t xml:space="preserve">1884.5 </w:t>
            </w:r>
            <w:r>
              <w:noBreakHyphen/>
            </w:r>
            <w:r>
              <w:t xml:space="preserve"> 1915.7 MHz</w:t>
            </w:r>
          </w:p>
        </w:tc>
        <w:tc>
          <w:tcPr>
            <w:tcW w:w="2126" w:type="dxa"/>
            <w:tcBorders>
              <w:top w:val="single" w:color="auto" w:sz="4" w:space="0"/>
              <w:bottom w:val="single" w:color="auto" w:sz="4" w:space="0"/>
            </w:tcBorders>
          </w:tcPr>
          <w:p>
            <w:pPr>
              <w:pStyle w:val="78"/>
              <w:rPr>
                <w:rFonts w:cs="v5.0.0"/>
              </w:rPr>
            </w:pPr>
            <w:r>
              <w:rPr>
                <w:rFonts w:cs="v5.0.0"/>
              </w:rPr>
              <w:t>-32 dBm</w:t>
            </w:r>
          </w:p>
        </w:tc>
        <w:tc>
          <w:tcPr>
            <w:tcW w:w="864" w:type="dxa"/>
            <w:tcBorders>
              <w:top w:val="single" w:color="auto" w:sz="4" w:space="0"/>
              <w:bottom w:val="single" w:color="auto" w:sz="4" w:space="0"/>
            </w:tcBorders>
          </w:tcPr>
          <w:p>
            <w:pPr>
              <w:pStyle w:val="78"/>
            </w:pPr>
            <w:r>
              <w:t>300 kHz</w:t>
            </w:r>
          </w:p>
        </w:tc>
        <w:tc>
          <w:tcPr>
            <w:tcW w:w="3617" w:type="dxa"/>
            <w:tcBorders>
              <w:top w:val="single" w:color="auto" w:sz="4" w:space="0"/>
              <w:bottom w:val="single" w:color="auto" w:sz="4" w:space="0"/>
            </w:tcBorders>
          </w:tcPr>
          <w:p>
            <w:pPr>
              <w:pStyle w:val="78"/>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8"/>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rFonts w:cs="v5.0.0"/>
        </w:rPr>
        <w:t>-4</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
      <w:pPr>
        <w:pStyle w:val="91"/>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91"/>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7"/>
              <w:rPr>
                <w:rFonts w:cs="Arial"/>
              </w:rPr>
            </w:pPr>
            <w:r>
              <w:rPr>
                <w:rFonts w:cs="Arial"/>
              </w:rPr>
              <w:t>Frequency range</w:t>
            </w:r>
          </w:p>
        </w:tc>
        <w:tc>
          <w:tcPr>
            <w:tcW w:w="2268" w:type="dxa"/>
          </w:tcPr>
          <w:p>
            <w:pPr>
              <w:pStyle w:val="77"/>
              <w:rPr>
                <w:rFonts w:cs="Arial"/>
              </w:rPr>
            </w:pPr>
            <w:r>
              <w:rPr>
                <w:rFonts w:cs="Arial"/>
              </w:rPr>
              <w:t>Maximum Level</w:t>
            </w:r>
          </w:p>
        </w:tc>
        <w:tc>
          <w:tcPr>
            <w:tcW w:w="1560" w:type="dxa"/>
          </w:tcPr>
          <w:p>
            <w:pPr>
              <w:pStyle w:val="77"/>
              <w:rPr>
                <w:rFonts w:cs="Arial"/>
              </w:rPr>
            </w:pPr>
            <w:r>
              <w:rPr>
                <w:rFonts w:cs="Arial"/>
              </w:rPr>
              <w:t>Measurement Bandwidth</w:t>
            </w:r>
          </w:p>
        </w:tc>
        <w:tc>
          <w:tcPr>
            <w:tcW w:w="875"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200 </w:t>
            </w:r>
            <w:r>
              <w:rPr>
                <w:rFonts w:hint="eastAsia" w:cs="Arial"/>
              </w:rPr>
              <w:t xml:space="preserve">MHz </w:t>
            </w:r>
            <w:r>
              <w:rPr>
                <w:rFonts w:cs="Arial"/>
              </w:rPr>
              <w:t>–</w:t>
            </w:r>
            <w:r>
              <w:rPr>
                <w:rFonts w:hint="eastAsia" w:cs="Arial"/>
              </w:rPr>
              <w:t xml:space="preserve"> 2</w:t>
            </w:r>
            <w:r>
              <w:rPr>
                <w:rFonts w:cs="Arial"/>
              </w:rPr>
              <w:t xml:space="preserve">345 </w:t>
            </w:r>
            <w:r>
              <w:rPr>
                <w:rFonts w:hint="eastAsia" w:cs="Arial"/>
              </w:rPr>
              <w:t>MHz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362.5 </w:t>
            </w:r>
            <w:r>
              <w:rPr>
                <w:rFonts w:hint="eastAsia" w:cs="Arial"/>
              </w:rPr>
              <w:t xml:space="preserve">MHz </w:t>
            </w:r>
            <w:r>
              <w:rPr>
                <w:rFonts w:cs="Arial"/>
              </w:rPr>
              <w:t>–</w:t>
            </w:r>
            <w:r>
              <w:rPr>
                <w:rFonts w:hint="eastAsia" w:cs="Arial"/>
              </w:rPr>
              <w:t xml:space="preserve"> 2</w:t>
            </w:r>
            <w:r>
              <w:rPr>
                <w:rFonts w:cs="Arial"/>
              </w:rPr>
              <w:t>3</w:t>
            </w:r>
            <w:r>
              <w:rPr>
                <w:rFonts w:hint="eastAsia" w:cs="Arial"/>
              </w:rPr>
              <w:t>65</w:t>
            </w:r>
            <w:r>
              <w:rPr>
                <w:rFonts w:cs="Arial"/>
              </w:rPr>
              <w:t xml:space="preserve"> </w:t>
            </w:r>
            <w:r>
              <w:rPr>
                <w:rFonts w:hint="eastAsia" w:cs="Arial"/>
              </w:rPr>
              <w:t>MHz</w:t>
            </w:r>
          </w:p>
        </w:tc>
        <w:tc>
          <w:tcPr>
            <w:tcW w:w="2268" w:type="dxa"/>
          </w:tcPr>
          <w:p>
            <w:pPr>
              <w:pStyle w:val="78"/>
            </w:pPr>
            <w:r>
              <w:t>-13.4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365 </w:t>
            </w:r>
            <w:r>
              <w:rPr>
                <w:rFonts w:hint="eastAsia" w:cs="Arial"/>
              </w:rPr>
              <w:t xml:space="preserve">MHz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w:t>
            </w:r>
            <w:r>
              <w:rPr>
                <w:rFonts w:cs="Arial"/>
              </w:rPr>
              <w:t xml:space="preserve"> </w:t>
            </w:r>
            <w:r>
              <w:rPr>
                <w:rFonts w:hint="eastAsia" w:cs="Arial"/>
              </w:rPr>
              <w:t>MHz</w:t>
            </w:r>
          </w:p>
        </w:tc>
        <w:tc>
          <w:tcPr>
            <w:tcW w:w="2268" w:type="dxa"/>
          </w:tcPr>
          <w:p>
            <w:pPr>
              <w:pStyle w:val="78"/>
            </w:pPr>
            <w:r>
              <w:t>-28.4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367.5 </w:t>
            </w:r>
            <w:r>
              <w:rPr>
                <w:rFonts w:hint="eastAsia" w:cs="Arial"/>
              </w:rPr>
              <w:t xml:space="preserve">MHz </w:t>
            </w:r>
            <w:r>
              <w:rPr>
                <w:rFonts w:cs="Arial"/>
              </w:rPr>
              <w:t>–</w:t>
            </w:r>
            <w:r>
              <w:rPr>
                <w:rFonts w:hint="eastAsia" w:cs="Arial"/>
              </w:rPr>
              <w:t xml:space="preserve"> 2</w:t>
            </w:r>
            <w:r>
              <w:rPr>
                <w:rFonts w:cs="Arial"/>
              </w:rPr>
              <w:t xml:space="preserve">370 </w:t>
            </w:r>
            <w:r>
              <w:rPr>
                <w:rFonts w:hint="eastAsia" w:cs="Arial"/>
              </w:rPr>
              <w:t>MHz</w:t>
            </w:r>
          </w:p>
        </w:tc>
        <w:tc>
          <w:tcPr>
            <w:tcW w:w="2268" w:type="dxa"/>
          </w:tcPr>
          <w:p>
            <w:pPr>
              <w:pStyle w:val="78"/>
            </w:pPr>
            <w:r>
              <w:t>-30.4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370 </w:t>
            </w:r>
            <w:r>
              <w:rPr>
                <w:rFonts w:hint="eastAsia" w:cs="Arial"/>
              </w:rPr>
              <w:t>MHz</w:t>
            </w:r>
            <w:r>
              <w:rPr>
                <w:rFonts w:cs="Arial"/>
              </w:rPr>
              <w:t xml:space="preserve"> –</w:t>
            </w:r>
            <w:r>
              <w:rPr>
                <w:rFonts w:hint="eastAsia" w:cs="Arial"/>
              </w:rPr>
              <w:t xml:space="preserve"> </w:t>
            </w:r>
            <w:r>
              <w:t>2395 M</w:t>
            </w:r>
            <w:r>
              <w:rPr>
                <w:rFonts w:hint="eastAsia" w:cs="Arial"/>
              </w:rPr>
              <w:t>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91"/>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szCs w:val="21"/>
              </w:rP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w:t>
            </w:r>
            <w:r>
              <w:rPr>
                <w:rFonts w:hint="eastAsia" w:cs="v5.0.0"/>
              </w:rPr>
              <w:t>13</w:t>
            </w:r>
            <w:r>
              <w:rPr>
                <w:rFonts w:cs="v5.0.0"/>
              </w:rPr>
              <w:t xml:space="preserve"> dBm</w:t>
            </w:r>
          </w:p>
          <w:p>
            <w:pPr>
              <w:pStyle w:val="78"/>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8"/>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szCs w:val="21"/>
              </w:rPr>
            </w:pPr>
            <w:r>
              <w:rPr>
                <w:szCs w:val="21"/>
              </w:rPr>
              <w:t>3100 MHz – 3530 MHz</w:t>
            </w:r>
          </w:p>
          <w:p>
            <w:pPr>
              <w:pStyle w:val="78"/>
              <w:rPr>
                <w:szCs w:val="21"/>
              </w:rPr>
            </w:pPr>
            <w:r>
              <w:rPr>
                <w:szCs w:val="21"/>
              </w:rP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-28.0 dBm</w:t>
            </w:r>
          </w:p>
          <w:p>
            <w:pPr>
              <w:pStyle w:val="78"/>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91"/>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lang w:eastAsia="zh-CN"/>
        </w:rPr>
        <w:t>9</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Pr>
        <w:rPr>
          <w:lang w:val="en-US" w:eastAsia="zh-CN"/>
        </w:rPr>
      </w:pPr>
    </w:p>
    <w:p>
      <w:pPr>
        <w:pStyle w:val="8"/>
      </w:pPr>
      <w:bookmarkStart w:id="16" w:name="_Toc45907353"/>
      <w:bookmarkStart w:id="17" w:name="_Toc53181457"/>
      <w:bookmarkStart w:id="18" w:name="_Toc21123160"/>
      <w:r>
        <w:t>6.7.6.4.5.2</w:t>
      </w:r>
      <w:r>
        <w:tab/>
      </w:r>
      <w:r>
        <w:t>Single RAT UTRA operation</w:t>
      </w:r>
      <w:bookmarkEnd w:id="16"/>
      <w:bookmarkEnd w:id="17"/>
      <w:bookmarkEnd w:id="18"/>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1"/>
      </w:pPr>
      <w:r>
        <w:t xml:space="preserve">Table 6.7.6.4.5.2-1 </w:t>
      </w:r>
      <w:r>
        <w:rPr>
          <w:i/>
        </w:rPr>
        <w:t>OTA AAS BS</w:t>
      </w:r>
      <w:r>
        <w:t xml:space="preserve"> Spurious emissions limits for UTRA FDD BS in geographic coverage area of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7"/>
              <w:rPr>
                <w:rFonts w:cs="Arial"/>
              </w:rPr>
            </w:pPr>
            <w:r>
              <w:rPr>
                <w:rFonts w:cs="Arial"/>
              </w:rPr>
              <w:t>System type operating in the same geographical area</w:t>
            </w:r>
          </w:p>
        </w:tc>
        <w:tc>
          <w:tcPr>
            <w:tcW w:w="1559" w:type="dxa"/>
            <w:shd w:val="clear" w:color="auto" w:fill="auto"/>
          </w:tcPr>
          <w:p>
            <w:pPr>
              <w:pStyle w:val="77"/>
              <w:rPr>
                <w:rFonts w:cs="Arial"/>
              </w:rPr>
            </w:pPr>
            <w:r>
              <w:rPr>
                <w:rFonts w:cs="Arial"/>
              </w:rPr>
              <w:t>Band for co-existence requirement</w:t>
            </w:r>
          </w:p>
        </w:tc>
        <w:tc>
          <w:tcPr>
            <w:tcW w:w="992" w:type="dxa"/>
            <w:shd w:val="clear" w:color="auto" w:fill="auto"/>
          </w:tcPr>
          <w:p>
            <w:pPr>
              <w:pStyle w:val="77"/>
              <w:rPr>
                <w:rFonts w:cs="Arial"/>
              </w:rPr>
            </w:pPr>
            <w:r>
              <w:rPr>
                <w:rFonts w:cs="Arial"/>
              </w:rPr>
              <w:t>Maximum Level</w:t>
            </w:r>
          </w:p>
        </w:tc>
        <w:tc>
          <w:tcPr>
            <w:tcW w:w="1276" w:type="dxa"/>
            <w:shd w:val="clear" w:color="auto" w:fill="auto"/>
          </w:tcPr>
          <w:p>
            <w:pPr>
              <w:pStyle w:val="77"/>
              <w:rPr>
                <w:rFonts w:cs="Arial"/>
              </w:rPr>
            </w:pPr>
            <w:r>
              <w:rPr>
                <w:rFonts w:cs="Arial"/>
              </w:rPr>
              <w:t>Measurement Bandwidth</w:t>
            </w:r>
          </w:p>
        </w:tc>
        <w:tc>
          <w:tcPr>
            <w:tcW w:w="4422" w:type="dxa"/>
            <w:shd w:val="clear" w:color="auto" w:fill="auto"/>
          </w:tcPr>
          <w:p>
            <w:pPr>
              <w:pStyle w:val="77"/>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559" w:type="dxa"/>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t>876 - 915 MHz</w:t>
            </w:r>
          </w:p>
        </w:tc>
        <w:tc>
          <w:tcPr>
            <w:tcW w:w="992" w:type="dxa"/>
            <w:shd w:val="clear" w:color="auto" w:fill="auto"/>
          </w:tcPr>
          <w:p>
            <w:pPr>
              <w:pStyle w:val="78"/>
              <w:rPr>
                <w:rFonts w:cs="v5.0.0"/>
              </w:rPr>
            </w:pPr>
            <w:r>
              <w:t>-52.4 dBm</w:t>
            </w:r>
          </w:p>
        </w:tc>
        <w:tc>
          <w:tcPr>
            <w:tcW w:w="1276" w:type="dxa"/>
            <w:shd w:val="clear" w:color="auto" w:fill="auto"/>
          </w:tcPr>
          <w:p>
            <w:pPr>
              <w:pStyle w:val="78"/>
              <w:rPr>
                <w:rFonts w:cs="v5.0.0"/>
              </w:rPr>
            </w:pPr>
            <w:r>
              <w:t>100 kHz</w:t>
            </w:r>
          </w:p>
        </w:tc>
        <w:tc>
          <w:tcPr>
            <w:tcW w:w="4422" w:type="dxa"/>
            <w:shd w:val="clear" w:color="auto" w:fill="auto"/>
          </w:tcPr>
          <w:p>
            <w:pPr>
              <w:pStyle w:val="7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DCS1800</w:t>
            </w:r>
          </w:p>
        </w:tc>
        <w:tc>
          <w:tcPr>
            <w:tcW w:w="1559" w:type="dxa"/>
            <w:tcBorders>
              <w:left w:val="single" w:color="auto" w:sz="4" w:space="0"/>
            </w:tcBorders>
            <w:shd w:val="clear" w:color="auto" w:fill="auto"/>
          </w:tcPr>
          <w:p>
            <w:pPr>
              <w:pStyle w:val="78"/>
            </w:pPr>
            <w:r>
              <w:rPr>
                <w:rFonts w:cs="v5.0.0"/>
              </w:rPr>
              <w:t xml:space="preserve">1805 </w:t>
            </w:r>
            <w:r>
              <w:rPr>
                <w:rFonts w:cs="v5.0.0"/>
              </w:rPr>
              <w:noBreakHyphen/>
            </w:r>
            <w:r>
              <w:rPr>
                <w:rFonts w:cs="v5.0.0"/>
              </w:rPr>
              <w:t xml:space="preserve"> 1880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-52.4 dBm</w:t>
            </w:r>
          </w:p>
        </w:tc>
        <w:tc>
          <w:tcPr>
            <w:tcW w:w="1276" w:type="dxa"/>
            <w:shd w:val="clear" w:color="auto" w:fill="auto"/>
          </w:tcPr>
          <w:p>
            <w:pPr>
              <w:pStyle w:val="78"/>
            </w:pPr>
            <w:r>
              <w:t>100 kHz</w:t>
            </w:r>
          </w:p>
        </w:tc>
        <w:tc>
          <w:tcPr>
            <w:tcW w:w="4422" w:type="dxa"/>
            <w:shd w:val="clear" w:color="auto" w:fill="auto"/>
          </w:tcPr>
          <w:p>
            <w:pPr>
              <w:pStyle w:val="7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559" w:type="dxa"/>
            <w:tcBorders>
              <w:left w:val="single" w:color="auto" w:sz="4" w:space="0"/>
            </w:tcBorders>
            <w:shd w:val="clear" w:color="auto" w:fill="auto"/>
          </w:tcPr>
          <w:p>
            <w:pPr>
              <w:pStyle w:val="78"/>
            </w:pPr>
            <w:r>
              <w:rPr>
                <w:rFonts w:cs="v5.0.0"/>
              </w:rPr>
              <w:t xml:space="preserve">1930 </w:t>
            </w:r>
            <w:r>
              <w:rPr>
                <w:rFonts w:cs="v5.0.0"/>
              </w:rPr>
              <w:noBreakHyphen/>
            </w:r>
            <w:r>
              <w:rPr>
                <w:rFonts w:cs="v5.0.0"/>
              </w:rPr>
              <w:t xml:space="preserve"> 1990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rPr>
                <w:rFonts w:cs="v5.0.0"/>
              </w:rPr>
              <w:t xml:space="preserve">1850 </w:t>
            </w:r>
            <w:r>
              <w:rPr>
                <w:rFonts w:cs="v5.0.0"/>
              </w:rPr>
              <w:noBreakHyphen/>
            </w:r>
            <w:r>
              <w:rPr>
                <w:rFonts w:cs="v5.0.0"/>
              </w:rPr>
              <w:t xml:space="preserve"> 1910 MHz</w:t>
            </w:r>
          </w:p>
        </w:tc>
        <w:tc>
          <w:tcPr>
            <w:tcW w:w="992" w:type="dxa"/>
            <w:shd w:val="clear" w:color="auto" w:fill="auto"/>
          </w:tcPr>
          <w:p>
            <w:pPr>
              <w:pStyle w:val="78"/>
            </w:pPr>
            <w:r>
              <w:rPr>
                <w:rFonts w:cs="v5.0.0"/>
              </w:rPr>
              <w:t>-52.4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GSM850 or CDMA850</w:t>
            </w:r>
          </w:p>
        </w:tc>
        <w:tc>
          <w:tcPr>
            <w:tcW w:w="1559" w:type="dxa"/>
            <w:tcBorders>
              <w:left w:val="single" w:color="auto" w:sz="4" w:space="0"/>
            </w:tcBorders>
            <w:shd w:val="clear" w:color="auto" w:fill="auto"/>
          </w:tcPr>
          <w:p>
            <w:pPr>
              <w:pStyle w:val="78"/>
            </w:pPr>
            <w:r>
              <w:rPr>
                <w:rFonts w:cs="v5.0.0"/>
              </w:rPr>
              <w:t>869 - 894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8"/>
              <w:rPr>
                <w:rFonts w:cs="v5.0.0"/>
              </w:rPr>
            </w:pPr>
            <w:r>
              <w:rPr>
                <w:rFonts w:cs="v5.0.0"/>
              </w:rPr>
              <w:t>-52.4 dBm</w:t>
            </w:r>
          </w:p>
        </w:tc>
        <w:tc>
          <w:tcPr>
            <w:tcW w:w="1276" w:type="dxa"/>
            <w:shd w:val="clear" w:color="auto" w:fill="auto"/>
          </w:tcPr>
          <w:p>
            <w:pPr>
              <w:pStyle w:val="78"/>
              <w:rPr>
                <w:rFonts w:cs="v5.0.0"/>
              </w:rPr>
            </w:pPr>
            <w:r>
              <w:rPr>
                <w:rFonts w:cs="v5.0.0"/>
              </w:rPr>
              <w:t>100 kHz</w:t>
            </w:r>
          </w:p>
        </w:tc>
        <w:tc>
          <w:tcPr>
            <w:tcW w:w="4422" w:type="dxa"/>
            <w:shd w:val="clear" w:color="auto" w:fill="auto"/>
          </w:tcPr>
          <w:p>
            <w:pPr>
              <w:pStyle w:val="7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I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t>E-UTRA Band 1</w:t>
            </w:r>
            <w:r>
              <w:rPr>
                <w:lang w:val="sv-SE"/>
              </w:rPr>
              <w:t xml:space="preserve"> or NR band n1</w:t>
            </w:r>
          </w:p>
        </w:tc>
        <w:tc>
          <w:tcPr>
            <w:tcW w:w="1559" w:type="dxa"/>
            <w:tcBorders>
              <w:left w:val="single" w:color="auto" w:sz="4" w:space="0"/>
            </w:tcBorders>
            <w:shd w:val="clear" w:color="auto" w:fill="auto"/>
          </w:tcPr>
          <w:p>
            <w:pPr>
              <w:pStyle w:val="78"/>
            </w:pPr>
            <w:r>
              <w:t>1920 - 1980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 or</w:t>
            </w:r>
          </w:p>
        </w:tc>
        <w:tc>
          <w:tcPr>
            <w:tcW w:w="1559" w:type="dxa"/>
            <w:tcBorders>
              <w:left w:val="single" w:color="auto" w:sz="4" w:space="0"/>
            </w:tcBorders>
            <w:shd w:val="clear" w:color="auto" w:fill="auto"/>
          </w:tcPr>
          <w:p>
            <w:pPr>
              <w:pStyle w:val="78"/>
            </w:pPr>
            <w:r>
              <w:t>1930 - 1990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w:t>
            </w:r>
          </w:p>
          <w:p>
            <w:pPr>
              <w:pStyle w:val="78"/>
            </w:pPr>
            <w:r>
              <w:rPr>
                <w:lang w:val="sv-SE"/>
              </w:rPr>
              <w:t>or NR band n2</w:t>
            </w:r>
          </w:p>
        </w:tc>
        <w:tc>
          <w:tcPr>
            <w:tcW w:w="1559" w:type="dxa"/>
            <w:tcBorders>
              <w:left w:val="single" w:color="auto" w:sz="4" w:space="0"/>
            </w:tcBorders>
            <w:shd w:val="clear" w:color="auto" w:fill="auto"/>
          </w:tcPr>
          <w:p>
            <w:pPr>
              <w:pStyle w:val="78"/>
            </w:pPr>
            <w:r>
              <w:t>1850 - 1910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III or</w:t>
            </w:r>
          </w:p>
        </w:tc>
        <w:tc>
          <w:tcPr>
            <w:tcW w:w="1559" w:type="dxa"/>
            <w:tcBorders>
              <w:left w:val="single" w:color="auto" w:sz="4" w:space="0"/>
            </w:tcBorders>
            <w:shd w:val="clear" w:color="auto" w:fill="auto"/>
          </w:tcPr>
          <w:p>
            <w:pPr>
              <w:pStyle w:val="78"/>
            </w:pPr>
            <w:r>
              <w:t>1805 - 1880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3</w:t>
            </w:r>
          </w:p>
          <w:p>
            <w:pPr>
              <w:pStyle w:val="78"/>
            </w:pPr>
            <w:r>
              <w:rPr>
                <w:lang w:val="sv-SE"/>
              </w:rPr>
              <w:t>or NR band n3</w:t>
            </w: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IV or</w:t>
            </w:r>
          </w:p>
        </w:tc>
        <w:tc>
          <w:tcPr>
            <w:tcW w:w="1559" w:type="dxa"/>
            <w:tcBorders>
              <w:left w:val="single" w:color="auto" w:sz="4" w:space="0"/>
            </w:tcBorders>
            <w:shd w:val="clear" w:color="auto" w:fill="auto"/>
          </w:tcPr>
          <w:p>
            <w:pPr>
              <w:pStyle w:val="78"/>
            </w:pPr>
            <w:r>
              <w:t>2110 - 2155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4</w:t>
            </w:r>
          </w:p>
        </w:tc>
        <w:tc>
          <w:tcPr>
            <w:tcW w:w="1559" w:type="dxa"/>
            <w:tcBorders>
              <w:left w:val="single" w:color="auto" w:sz="4" w:space="0"/>
            </w:tcBorders>
            <w:shd w:val="clear" w:color="auto" w:fill="auto"/>
          </w:tcPr>
          <w:p>
            <w:pPr>
              <w:pStyle w:val="78"/>
            </w:pPr>
            <w:r>
              <w:t>1710 - 1755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 or</w:t>
            </w:r>
          </w:p>
        </w:tc>
        <w:tc>
          <w:tcPr>
            <w:tcW w:w="1559" w:type="dxa"/>
            <w:tcBorders>
              <w:left w:val="single" w:color="auto" w:sz="4" w:space="0"/>
            </w:tcBorders>
            <w:shd w:val="clear" w:color="auto" w:fill="auto"/>
          </w:tcPr>
          <w:p>
            <w:pPr>
              <w:pStyle w:val="78"/>
            </w:pPr>
            <w:r>
              <w:t>869 - 894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5</w:t>
            </w:r>
          </w:p>
          <w:p>
            <w:pPr>
              <w:pStyle w:val="78"/>
            </w:pPr>
            <w:r>
              <w:rPr>
                <w:lang w:val="sv-SE"/>
              </w:rPr>
              <w:t>or NR band n5</w:t>
            </w:r>
          </w:p>
        </w:tc>
        <w:tc>
          <w:tcPr>
            <w:tcW w:w="1559" w:type="dxa"/>
            <w:tcBorders>
              <w:left w:val="single" w:color="auto" w:sz="4" w:space="0"/>
            </w:tcBorders>
            <w:shd w:val="clear" w:color="auto" w:fill="auto"/>
          </w:tcPr>
          <w:p>
            <w:pPr>
              <w:pStyle w:val="78"/>
            </w:pPr>
            <w:r>
              <w:t>824 - 849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VI or</w:t>
            </w:r>
          </w:p>
        </w:tc>
        <w:tc>
          <w:tcPr>
            <w:tcW w:w="1559" w:type="dxa"/>
            <w:tcBorders>
              <w:left w:val="single" w:color="auto" w:sz="4" w:space="0"/>
            </w:tcBorders>
            <w:shd w:val="clear" w:color="auto" w:fill="auto"/>
          </w:tcPr>
          <w:p>
            <w:pPr>
              <w:pStyle w:val="78"/>
            </w:pPr>
            <w:r>
              <w:t xml:space="preserve">860 - 890 MHz </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XIX, E-UTRA Band 6, 18 or 19</w:t>
            </w:r>
          </w:p>
        </w:tc>
        <w:tc>
          <w:tcPr>
            <w:tcW w:w="1559" w:type="dxa"/>
            <w:tcBorders>
              <w:left w:val="single" w:color="auto" w:sz="4" w:space="0"/>
            </w:tcBorders>
            <w:shd w:val="clear" w:color="auto" w:fill="auto"/>
          </w:tcPr>
          <w:p>
            <w:pPr>
              <w:pStyle w:val="78"/>
            </w:pPr>
            <w:r>
              <w:t xml:space="preserve">815 - 845 MHz </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 or</w:t>
            </w:r>
          </w:p>
        </w:tc>
        <w:tc>
          <w:tcPr>
            <w:tcW w:w="1559" w:type="dxa"/>
            <w:tcBorders>
              <w:left w:val="single" w:color="auto" w:sz="4" w:space="0"/>
            </w:tcBorders>
            <w:shd w:val="clear" w:color="auto" w:fill="auto"/>
          </w:tcPr>
          <w:p>
            <w:pPr>
              <w:pStyle w:val="78"/>
            </w:pPr>
            <w:r>
              <w:t>2620 - 2690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7</w:t>
            </w:r>
          </w:p>
          <w:p>
            <w:pPr>
              <w:pStyle w:val="78"/>
            </w:pPr>
            <w:r>
              <w:rPr>
                <w:lang w:val="sv-SE"/>
              </w:rPr>
              <w:t>or NR band n7</w:t>
            </w:r>
          </w:p>
        </w:tc>
        <w:tc>
          <w:tcPr>
            <w:tcW w:w="1559" w:type="dxa"/>
            <w:tcBorders>
              <w:left w:val="single" w:color="auto" w:sz="4" w:space="0"/>
            </w:tcBorders>
            <w:shd w:val="clear" w:color="auto" w:fill="auto"/>
          </w:tcPr>
          <w:p>
            <w:pPr>
              <w:pStyle w:val="78"/>
            </w:pPr>
            <w:r>
              <w:t>2500 - 2570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VIII or</w:t>
            </w:r>
          </w:p>
        </w:tc>
        <w:tc>
          <w:tcPr>
            <w:tcW w:w="1559" w:type="dxa"/>
            <w:tcBorders>
              <w:left w:val="single" w:color="auto" w:sz="4" w:space="0"/>
            </w:tcBorders>
            <w:shd w:val="clear" w:color="auto" w:fill="auto"/>
          </w:tcPr>
          <w:p>
            <w:pPr>
              <w:pStyle w:val="78"/>
            </w:pPr>
            <w:r>
              <w:t>925 - 960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8</w:t>
            </w:r>
          </w:p>
          <w:p>
            <w:pPr>
              <w:pStyle w:val="78"/>
            </w:pPr>
            <w:r>
              <w:rPr>
                <w:lang w:val="sv-SE"/>
              </w:rPr>
              <w:t>or NR band n8</w:t>
            </w:r>
          </w:p>
        </w:tc>
        <w:tc>
          <w:tcPr>
            <w:tcW w:w="1559" w:type="dxa"/>
            <w:tcBorders>
              <w:left w:val="single" w:color="auto" w:sz="4" w:space="0"/>
            </w:tcBorders>
            <w:shd w:val="clear" w:color="auto" w:fill="auto"/>
          </w:tcPr>
          <w:p>
            <w:pPr>
              <w:pStyle w:val="78"/>
            </w:pPr>
            <w:r>
              <w:t>880 - 915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IX or</w:t>
            </w:r>
          </w:p>
        </w:tc>
        <w:tc>
          <w:tcPr>
            <w:tcW w:w="1559" w:type="dxa"/>
            <w:tcBorders>
              <w:left w:val="single" w:color="auto" w:sz="4" w:space="0"/>
            </w:tcBorders>
            <w:shd w:val="clear" w:color="auto" w:fill="auto"/>
          </w:tcPr>
          <w:p>
            <w:pPr>
              <w:pStyle w:val="78"/>
            </w:pPr>
            <w:r>
              <w:t>1844.9 - 1879.9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9</w:t>
            </w:r>
          </w:p>
        </w:tc>
        <w:tc>
          <w:tcPr>
            <w:tcW w:w="1559" w:type="dxa"/>
            <w:tcBorders>
              <w:left w:val="single" w:color="auto" w:sz="4" w:space="0"/>
            </w:tcBorders>
            <w:shd w:val="clear" w:color="auto" w:fill="auto"/>
          </w:tcPr>
          <w:p>
            <w:pPr>
              <w:pStyle w:val="78"/>
            </w:pPr>
            <w:r>
              <w:t>1749.9 - 1784.9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10</w:t>
            </w:r>
          </w:p>
        </w:tc>
        <w:tc>
          <w:tcPr>
            <w:tcW w:w="1559" w:type="dxa"/>
            <w:tcBorders>
              <w:left w:val="single" w:color="auto" w:sz="4" w:space="0"/>
            </w:tcBorders>
            <w:shd w:val="clear" w:color="auto" w:fill="auto"/>
          </w:tcPr>
          <w:p>
            <w:pPr>
              <w:pStyle w:val="78"/>
            </w:pPr>
            <w:r>
              <w:t>1710 - 1770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559" w:type="dxa"/>
            <w:tcBorders>
              <w:left w:val="single" w:color="auto" w:sz="4" w:space="0"/>
            </w:tcBorders>
            <w:shd w:val="clear" w:color="auto" w:fill="auto"/>
          </w:tcPr>
          <w:p>
            <w:pPr>
              <w:pStyle w:val="78"/>
            </w:pPr>
            <w:r>
              <w:t>1475.9 - 1510.9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t>E-UTRA Band 11 or 21</w:t>
            </w:r>
          </w:p>
        </w:tc>
        <w:tc>
          <w:tcPr>
            <w:tcW w:w="1559" w:type="dxa"/>
            <w:tcBorders>
              <w:left w:val="single" w:color="auto" w:sz="4" w:space="0"/>
            </w:tcBorders>
            <w:shd w:val="clear" w:color="auto" w:fill="auto"/>
          </w:tcPr>
          <w:p>
            <w:pPr>
              <w:pStyle w:val="78"/>
            </w:pPr>
            <w:r>
              <w:t>1427.9 - 1447.9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1447.9 - 1462.9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XII or</w:t>
            </w:r>
          </w:p>
        </w:tc>
        <w:tc>
          <w:tcPr>
            <w:tcW w:w="1559" w:type="dxa"/>
            <w:tcBorders>
              <w:left w:val="single" w:color="auto" w:sz="4" w:space="0"/>
            </w:tcBorders>
            <w:shd w:val="clear" w:color="auto" w:fill="auto"/>
          </w:tcPr>
          <w:p>
            <w:pPr>
              <w:pStyle w:val="78"/>
            </w:pPr>
            <w:r>
              <w:t>729 - 746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12</w:t>
            </w:r>
          </w:p>
          <w:p>
            <w:pPr>
              <w:pStyle w:val="78"/>
            </w:pPr>
            <w:r>
              <w:rPr>
                <w:lang w:val="sv-SE"/>
              </w:rPr>
              <w:t>or NR band n12</w:t>
            </w:r>
          </w:p>
        </w:tc>
        <w:tc>
          <w:tcPr>
            <w:tcW w:w="1559" w:type="dxa"/>
            <w:tcBorders>
              <w:left w:val="single" w:color="auto" w:sz="4" w:space="0"/>
            </w:tcBorders>
            <w:shd w:val="clear" w:color="auto" w:fill="auto"/>
          </w:tcPr>
          <w:p>
            <w:pPr>
              <w:pStyle w:val="78"/>
            </w:pPr>
            <w:r>
              <w:t>699 - 716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XIII or</w:t>
            </w:r>
          </w:p>
        </w:tc>
        <w:tc>
          <w:tcPr>
            <w:tcW w:w="1559" w:type="dxa"/>
            <w:tcBorders>
              <w:left w:val="single" w:color="auto" w:sz="4" w:space="0"/>
            </w:tcBorders>
            <w:shd w:val="clear" w:color="auto" w:fill="auto"/>
          </w:tcPr>
          <w:p>
            <w:pPr>
              <w:pStyle w:val="78"/>
            </w:pPr>
            <w:r>
              <w:t>746 - 756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13</w:t>
            </w:r>
          </w:p>
        </w:tc>
        <w:tc>
          <w:tcPr>
            <w:tcW w:w="1559" w:type="dxa"/>
            <w:tcBorders>
              <w:left w:val="single" w:color="auto" w:sz="4" w:space="0"/>
            </w:tcBorders>
            <w:shd w:val="clear" w:color="auto" w:fill="auto"/>
          </w:tcPr>
          <w:p>
            <w:pPr>
              <w:pStyle w:val="78"/>
            </w:pPr>
            <w:r>
              <w:t>777 - 787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XIV or</w:t>
            </w:r>
          </w:p>
          <w:p>
            <w:pPr>
              <w:pStyle w:val="78"/>
              <w:rPr>
                <w:lang w:val="sv-FI"/>
              </w:rPr>
            </w:pPr>
            <w:r>
              <w:rPr>
                <w:lang w:val="sv-FI"/>
              </w:rPr>
              <w:t>E-UTRA Band 14</w:t>
            </w:r>
          </w:p>
        </w:tc>
        <w:tc>
          <w:tcPr>
            <w:tcW w:w="1559" w:type="dxa"/>
            <w:tcBorders>
              <w:left w:val="single" w:color="auto" w:sz="4" w:space="0"/>
            </w:tcBorders>
            <w:shd w:val="clear" w:color="auto" w:fill="auto"/>
          </w:tcPr>
          <w:p>
            <w:pPr>
              <w:pStyle w:val="78"/>
            </w:pPr>
            <w:r>
              <w:t>758 - 768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788 - 798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right w:val="single" w:color="auto" w:sz="2" w:space="0"/>
            </w:tcBorders>
            <w:shd w:val="clear" w:color="auto" w:fill="auto"/>
          </w:tcPr>
          <w:p>
            <w:pPr>
              <w:pStyle w:val="78"/>
            </w:pPr>
            <w:r>
              <w:t>704 - 716 MHz</w:t>
            </w:r>
          </w:p>
        </w:tc>
        <w:tc>
          <w:tcPr>
            <w:tcW w:w="992" w:type="dxa"/>
            <w:tcBorders>
              <w:top w:val="single" w:color="auto" w:sz="2" w:space="0"/>
              <w:left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XX or</w:t>
            </w:r>
          </w:p>
        </w:tc>
        <w:tc>
          <w:tcPr>
            <w:tcW w:w="1559" w:type="dxa"/>
            <w:tcBorders>
              <w:left w:val="single" w:color="auto" w:sz="4" w:space="0"/>
              <w:right w:val="single" w:color="auto" w:sz="2" w:space="0"/>
            </w:tcBorders>
            <w:shd w:val="clear" w:color="auto" w:fill="auto"/>
          </w:tcPr>
          <w:p>
            <w:pPr>
              <w:pStyle w:val="78"/>
            </w:pPr>
            <w:r>
              <w:t>791 - 821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20</w:t>
            </w:r>
          </w:p>
          <w:p>
            <w:pPr>
              <w:pStyle w:val="78"/>
            </w:pPr>
            <w:r>
              <w:rPr>
                <w:lang w:val="sv-SE"/>
              </w:rPr>
              <w:t>or NR band n20</w:t>
            </w:r>
          </w:p>
        </w:tc>
        <w:tc>
          <w:tcPr>
            <w:tcW w:w="1559" w:type="dxa"/>
            <w:tcBorders>
              <w:left w:val="single" w:color="auto" w:sz="4" w:space="0"/>
              <w:right w:val="single" w:color="auto" w:sz="2" w:space="0"/>
            </w:tcBorders>
            <w:shd w:val="clear" w:color="auto" w:fill="auto"/>
          </w:tcPr>
          <w:p>
            <w:pPr>
              <w:pStyle w:val="78"/>
            </w:pPr>
            <w:r>
              <w:t>832 - 862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XXII or</w:t>
            </w:r>
          </w:p>
        </w:tc>
        <w:tc>
          <w:tcPr>
            <w:tcW w:w="1559" w:type="dxa"/>
            <w:tcBorders>
              <w:left w:val="single" w:color="auto" w:sz="4" w:space="0"/>
              <w:right w:val="single" w:color="auto" w:sz="2" w:space="0"/>
            </w:tcBorders>
            <w:shd w:val="clear" w:color="auto" w:fill="auto"/>
          </w:tcPr>
          <w:p>
            <w:pPr>
              <w:pStyle w:val="78"/>
            </w:pPr>
            <w:r>
              <w:t>3510 -3590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rPr>
                <w:lang w:val="sv-FI"/>
              </w:rPr>
              <w:t>E-UTRA Band 22</w:t>
            </w:r>
          </w:p>
        </w:tc>
        <w:tc>
          <w:tcPr>
            <w:tcW w:w="1559" w:type="dxa"/>
            <w:tcBorders>
              <w:left w:val="single" w:color="auto" w:sz="4" w:space="0"/>
              <w:right w:val="single" w:color="auto" w:sz="2" w:space="0"/>
            </w:tcBorders>
            <w:shd w:val="clear" w:color="auto" w:fill="auto"/>
          </w:tcPr>
          <w:p>
            <w:pPr>
              <w:pStyle w:val="78"/>
            </w:pPr>
            <w:r>
              <w:t>3410 -3490 MHz</w:t>
            </w:r>
          </w:p>
        </w:tc>
        <w:tc>
          <w:tcPr>
            <w:tcW w:w="992" w:type="dxa"/>
            <w:tcBorders>
              <w:left w:val="single" w:color="auto" w:sz="2" w:space="0"/>
              <w:right w:val="single" w:color="auto" w:sz="2" w:space="0"/>
            </w:tcBorders>
            <w:shd w:val="clear" w:color="auto" w:fill="auto"/>
          </w:tcPr>
          <w:p>
            <w:pPr>
              <w:pStyle w:val="78"/>
            </w:pPr>
            <w:r>
              <w:t>-40.0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2010 – 2020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559" w:type="dxa"/>
            <w:tcBorders>
              <w:left w:val="single" w:color="auto" w:sz="4" w:space="0"/>
              <w:right w:val="single" w:color="auto" w:sz="2" w:space="0"/>
            </w:tcBorders>
            <w:shd w:val="clear" w:color="auto" w:fill="auto"/>
          </w:tcPr>
          <w:p>
            <w:pPr>
              <w:pStyle w:val="78"/>
            </w:pPr>
            <w:r>
              <w:t>1525 – 1559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1626.5 – 1660.5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 xml:space="preserve">UTRA FDD Band </w:t>
            </w:r>
            <w:r>
              <w:rPr>
                <w:lang w:val="sv-FI" w:eastAsia="zh-CN"/>
              </w:rPr>
              <w:t>XXV</w:t>
            </w:r>
            <w:r>
              <w:rPr>
                <w:lang w:val="sv-FI"/>
              </w:rPr>
              <w:t xml:space="preserve"> or</w:t>
            </w:r>
          </w:p>
        </w:tc>
        <w:tc>
          <w:tcPr>
            <w:tcW w:w="1559" w:type="dxa"/>
            <w:tcBorders>
              <w:left w:val="single" w:color="auto" w:sz="4" w:space="0"/>
              <w:right w:val="single" w:color="auto" w:sz="2" w:space="0"/>
            </w:tcBorders>
            <w:shd w:val="clear" w:color="auto" w:fill="auto"/>
          </w:tcPr>
          <w:p>
            <w:pPr>
              <w:pStyle w:val="78"/>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eastAsia="zh-CN"/>
              </w:rPr>
            </w:pPr>
            <w:r>
              <w:rPr>
                <w:lang w:val="sv-FI"/>
              </w:rPr>
              <w:t>E-UTRA Band 2</w:t>
            </w:r>
            <w:r>
              <w:rPr>
                <w:lang w:val="sv-FI" w:eastAsia="zh-CN"/>
              </w:rPr>
              <w:t>5</w:t>
            </w:r>
          </w:p>
          <w:p>
            <w:pPr>
              <w:pStyle w:val="78"/>
            </w:pPr>
            <w:r>
              <w:rPr>
                <w:lang w:val="sv-SE"/>
              </w:rPr>
              <w:t>or NR band n25</w:t>
            </w:r>
          </w:p>
        </w:tc>
        <w:tc>
          <w:tcPr>
            <w:tcW w:w="1559" w:type="dxa"/>
            <w:tcBorders>
              <w:left w:val="single" w:color="auto" w:sz="4" w:space="0"/>
              <w:right w:val="single" w:color="auto" w:sz="2" w:space="0"/>
            </w:tcBorders>
            <w:shd w:val="clear" w:color="auto" w:fill="auto"/>
          </w:tcPr>
          <w:p>
            <w:pPr>
              <w:pStyle w:val="78"/>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XXVI or</w:t>
            </w:r>
          </w:p>
        </w:tc>
        <w:tc>
          <w:tcPr>
            <w:tcW w:w="1559" w:type="dxa"/>
            <w:tcBorders>
              <w:left w:val="single" w:color="auto" w:sz="4" w:space="0"/>
              <w:right w:val="single" w:color="auto" w:sz="2" w:space="0"/>
            </w:tcBorders>
            <w:shd w:val="clear" w:color="auto" w:fill="auto"/>
          </w:tcPr>
          <w:p>
            <w:pPr>
              <w:pStyle w:val="78"/>
            </w:pPr>
            <w:r>
              <w:t>859-894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26</w:t>
            </w:r>
          </w:p>
        </w:tc>
        <w:tc>
          <w:tcPr>
            <w:tcW w:w="1559" w:type="dxa"/>
            <w:tcBorders>
              <w:left w:val="single" w:color="auto" w:sz="4" w:space="0"/>
              <w:right w:val="single" w:color="auto" w:sz="2" w:space="0"/>
            </w:tcBorders>
            <w:shd w:val="clear" w:color="auto" w:fill="auto"/>
          </w:tcPr>
          <w:p>
            <w:pPr>
              <w:pStyle w:val="78"/>
            </w:pPr>
            <w:r>
              <w:t>814-849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559" w:type="dxa"/>
            <w:tcBorders>
              <w:left w:val="single" w:color="auto" w:sz="4" w:space="0"/>
              <w:right w:val="single" w:color="auto" w:sz="2" w:space="0"/>
            </w:tcBorders>
            <w:shd w:val="clear" w:color="auto" w:fill="auto"/>
          </w:tcPr>
          <w:p>
            <w:pPr>
              <w:pStyle w:val="78"/>
            </w:pPr>
            <w:r>
              <w:t>852 – 869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807 – 824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28</w:t>
            </w:r>
          </w:p>
        </w:tc>
        <w:tc>
          <w:tcPr>
            <w:tcW w:w="1559" w:type="dxa"/>
            <w:tcBorders>
              <w:left w:val="single" w:color="auto" w:sz="4" w:space="0"/>
              <w:right w:val="single" w:color="auto" w:sz="2" w:space="0"/>
            </w:tcBorders>
            <w:shd w:val="clear" w:color="auto" w:fill="auto"/>
          </w:tcPr>
          <w:p>
            <w:pPr>
              <w:pStyle w:val="78"/>
            </w:pPr>
            <w:r>
              <w:t>758 – 803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SE"/>
              </w:rPr>
              <w:t>or NR band n28</w:t>
            </w:r>
          </w:p>
        </w:tc>
        <w:tc>
          <w:tcPr>
            <w:tcW w:w="1559" w:type="dxa"/>
            <w:tcBorders>
              <w:left w:val="single" w:color="auto" w:sz="4" w:space="0"/>
              <w:right w:val="single" w:color="auto" w:sz="2" w:space="0"/>
            </w:tcBorders>
            <w:shd w:val="clear" w:color="auto" w:fill="auto"/>
          </w:tcPr>
          <w:p>
            <w:pPr>
              <w:pStyle w:val="78"/>
            </w:pPr>
            <w:r>
              <w:t>703 – 748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29</w:t>
            </w:r>
          </w:p>
        </w:tc>
        <w:tc>
          <w:tcPr>
            <w:tcW w:w="1559" w:type="dxa"/>
            <w:tcBorders>
              <w:left w:val="single" w:color="auto" w:sz="2" w:space="0"/>
              <w:right w:val="single" w:color="auto" w:sz="2" w:space="0"/>
            </w:tcBorders>
            <w:shd w:val="clear" w:color="auto" w:fill="auto"/>
          </w:tcPr>
          <w:p>
            <w:pPr>
              <w:pStyle w:val="78"/>
            </w:pPr>
            <w:r>
              <w:t>717 – 728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559" w:type="dxa"/>
            <w:tcBorders>
              <w:left w:val="single" w:color="auto" w:sz="4" w:space="0"/>
              <w:right w:val="single" w:color="auto" w:sz="2" w:space="0"/>
            </w:tcBorders>
            <w:shd w:val="clear" w:color="auto" w:fill="auto"/>
          </w:tcPr>
          <w:p>
            <w:pPr>
              <w:pStyle w:val="78"/>
            </w:pPr>
            <w:r>
              <w:t>2350 - 2360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2305 - 2315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559" w:type="dxa"/>
            <w:tcBorders>
              <w:left w:val="single" w:color="auto" w:sz="4" w:space="0"/>
              <w:right w:val="single" w:color="auto" w:sz="2" w:space="0"/>
            </w:tcBorders>
            <w:shd w:val="clear" w:color="auto" w:fill="auto"/>
          </w:tcPr>
          <w:p>
            <w:pPr>
              <w:pStyle w:val="78"/>
            </w:pPr>
            <w:r>
              <w:t>462.5 -467.5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452.5 -457.5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8"/>
              <w:rPr>
                <w:lang w:val="sv-FI"/>
              </w:rPr>
            </w:pPr>
            <w:r>
              <w:rPr>
                <w:lang w:val="sv-FI"/>
              </w:rPr>
              <w:t>UTRA FDD Band XXXII or E-UTRA Band 32</w:t>
            </w:r>
          </w:p>
        </w:tc>
        <w:tc>
          <w:tcPr>
            <w:tcW w:w="1559" w:type="dxa"/>
            <w:tcBorders>
              <w:left w:val="single" w:color="auto" w:sz="2" w:space="0"/>
              <w:right w:val="single" w:color="auto" w:sz="2" w:space="0"/>
            </w:tcBorders>
            <w:shd w:val="clear" w:color="auto" w:fill="auto"/>
          </w:tcPr>
          <w:p>
            <w:pPr>
              <w:pStyle w:val="78"/>
            </w:pPr>
            <w:r>
              <w:t>1452 – 1496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33</w:t>
            </w:r>
          </w:p>
        </w:tc>
        <w:tc>
          <w:tcPr>
            <w:tcW w:w="1559" w:type="dxa"/>
            <w:tcBorders>
              <w:left w:val="single" w:color="auto" w:sz="2" w:space="0"/>
              <w:right w:val="single" w:color="auto" w:sz="2" w:space="0"/>
            </w:tcBorders>
            <w:shd w:val="clear" w:color="auto" w:fill="auto"/>
          </w:tcPr>
          <w:p>
            <w:pPr>
              <w:pStyle w:val="78"/>
            </w:pPr>
            <w:r>
              <w:t>1900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34</w:t>
            </w:r>
          </w:p>
          <w:p>
            <w:pPr>
              <w:pStyle w:val="78"/>
            </w:pPr>
            <w:r>
              <w:rPr>
                <w:lang w:val="sv-SE"/>
              </w:rPr>
              <w:t>or NR band n34</w:t>
            </w:r>
          </w:p>
        </w:tc>
        <w:tc>
          <w:tcPr>
            <w:tcW w:w="1559" w:type="dxa"/>
            <w:tcBorders>
              <w:left w:val="single" w:color="auto" w:sz="2" w:space="0"/>
              <w:right w:val="single" w:color="auto" w:sz="2" w:space="0"/>
            </w:tcBorders>
            <w:shd w:val="clear" w:color="auto" w:fill="auto"/>
          </w:tcPr>
          <w:p>
            <w:pPr>
              <w:pStyle w:val="78"/>
            </w:pPr>
            <w:r>
              <w:t>2010 – 2025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35</w:t>
            </w:r>
          </w:p>
        </w:tc>
        <w:tc>
          <w:tcPr>
            <w:tcW w:w="1559" w:type="dxa"/>
            <w:tcBorders>
              <w:left w:val="single" w:color="auto" w:sz="2" w:space="0"/>
              <w:right w:val="single" w:color="auto" w:sz="2" w:space="0"/>
            </w:tcBorders>
            <w:shd w:val="clear" w:color="auto" w:fill="auto"/>
          </w:tcPr>
          <w:p>
            <w:pPr>
              <w:pStyle w:val="78"/>
            </w:pPr>
            <w:r>
              <w:rPr>
                <w:rFonts w:cs="Osaka"/>
              </w:rPr>
              <w:t>1850 – 1910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36</w:t>
            </w:r>
          </w:p>
        </w:tc>
        <w:tc>
          <w:tcPr>
            <w:tcW w:w="1559" w:type="dxa"/>
            <w:tcBorders>
              <w:left w:val="single" w:color="auto" w:sz="2" w:space="0"/>
              <w:right w:val="single" w:color="auto" w:sz="2" w:space="0"/>
            </w:tcBorders>
            <w:shd w:val="clear" w:color="auto" w:fill="auto"/>
          </w:tcPr>
          <w:p>
            <w:pPr>
              <w:pStyle w:val="78"/>
            </w:pPr>
            <w:r>
              <w:rPr>
                <w:rFonts w:cs="Osaka"/>
              </w:rPr>
              <w:t>1930 – 1990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c) or </w:t>
            </w:r>
            <w:r>
              <w:rPr>
                <w:rFonts w:cs="Osaka"/>
                <w:lang w:val="sv-FI"/>
              </w:rPr>
              <w:t>E-UTRA Band 37</w:t>
            </w:r>
          </w:p>
        </w:tc>
        <w:tc>
          <w:tcPr>
            <w:tcW w:w="1559" w:type="dxa"/>
            <w:tcBorders>
              <w:left w:val="single" w:color="auto" w:sz="2" w:space="0"/>
              <w:right w:val="single" w:color="auto" w:sz="2" w:space="0"/>
            </w:tcBorders>
            <w:shd w:val="clear" w:color="auto" w:fill="auto"/>
          </w:tcPr>
          <w:p>
            <w:pPr>
              <w:pStyle w:val="78"/>
            </w:pPr>
            <w:r>
              <w:rPr>
                <w:rFonts w:cs="Osaka"/>
              </w:rPr>
              <w:t>1910 – 1930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d) or E-UTRA Band 38</w:t>
            </w:r>
          </w:p>
          <w:p>
            <w:pPr>
              <w:pStyle w:val="78"/>
            </w:pPr>
            <w:r>
              <w:rPr>
                <w:lang w:val="sv-SE"/>
              </w:rPr>
              <w:t>or NR band n38</w:t>
            </w:r>
          </w:p>
        </w:tc>
        <w:tc>
          <w:tcPr>
            <w:tcW w:w="1559" w:type="dxa"/>
            <w:tcBorders>
              <w:left w:val="single" w:color="auto" w:sz="2" w:space="0"/>
              <w:right w:val="single" w:color="auto" w:sz="2" w:space="0"/>
            </w:tcBorders>
            <w:shd w:val="clear" w:color="auto" w:fill="auto"/>
          </w:tcPr>
          <w:p>
            <w:pPr>
              <w:pStyle w:val="78"/>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f) or E-UTRA Band 39</w:t>
            </w:r>
          </w:p>
          <w:p>
            <w:pPr>
              <w:pStyle w:val="78"/>
            </w:pPr>
            <w:r>
              <w:rPr>
                <w:lang w:val="sv-SE"/>
              </w:rPr>
              <w:t>or NR band n39</w:t>
            </w:r>
          </w:p>
        </w:tc>
        <w:tc>
          <w:tcPr>
            <w:tcW w:w="1559" w:type="dxa"/>
            <w:tcBorders>
              <w:left w:val="single" w:color="auto" w:sz="2" w:space="0"/>
              <w:right w:val="single" w:color="auto" w:sz="2" w:space="0"/>
            </w:tcBorders>
            <w:shd w:val="clear" w:color="auto" w:fill="auto"/>
          </w:tcPr>
          <w:p>
            <w:pPr>
              <w:pStyle w:val="78"/>
            </w:pPr>
            <w:r>
              <w:t>1880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in Band e) or E-UTRA Band 40</w:t>
            </w:r>
          </w:p>
          <w:p>
            <w:pPr>
              <w:pStyle w:val="78"/>
            </w:pPr>
            <w:r>
              <w:rPr>
                <w:lang w:val="sv-SE"/>
              </w:rPr>
              <w:t>or NR band n40</w:t>
            </w:r>
          </w:p>
        </w:tc>
        <w:tc>
          <w:tcPr>
            <w:tcW w:w="1559" w:type="dxa"/>
            <w:tcBorders>
              <w:left w:val="single" w:color="auto" w:sz="2" w:space="0"/>
              <w:right w:val="single" w:color="auto" w:sz="2" w:space="0"/>
            </w:tcBorders>
            <w:shd w:val="clear" w:color="auto" w:fill="auto"/>
          </w:tcPr>
          <w:p>
            <w:pPr>
              <w:pStyle w:val="78"/>
            </w:pPr>
            <w:r>
              <w:t>2300 – 2400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41</w:t>
            </w:r>
          </w:p>
          <w:p>
            <w:pPr>
              <w:pStyle w:val="78"/>
            </w:pPr>
            <w:r>
              <w:rPr>
                <w:lang w:val="sv-SE"/>
              </w:rPr>
              <w:t>or NR band n41</w:t>
            </w:r>
          </w:p>
        </w:tc>
        <w:tc>
          <w:tcPr>
            <w:tcW w:w="1559" w:type="dxa"/>
            <w:tcBorders>
              <w:left w:val="single" w:color="auto" w:sz="2" w:space="0"/>
              <w:right w:val="single" w:color="auto" w:sz="2" w:space="0"/>
            </w:tcBorders>
            <w:shd w:val="clear" w:color="auto" w:fill="auto"/>
          </w:tcPr>
          <w:p>
            <w:pPr>
              <w:pStyle w:val="78"/>
            </w:pPr>
            <w:r>
              <w:t>2496 - 2690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8"/>
            </w:pPr>
            <w:r>
              <w:t>3400 – 3600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8"/>
            </w:pPr>
            <w:r>
              <w:t>3600 – 3800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8"/>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8"/>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8"/>
              <w:rPr>
                <w:szCs w:val="18"/>
              </w:rPr>
            </w:pPr>
            <w:r>
              <w:rPr>
                <w:szCs w:val="18"/>
              </w:rPr>
              <w:t>-43.4 dBm</w:t>
            </w:r>
          </w:p>
        </w:tc>
        <w:tc>
          <w:tcPr>
            <w:tcW w:w="1276" w:type="dxa"/>
            <w:tcBorders>
              <w:left w:val="single" w:color="auto" w:sz="2" w:space="0"/>
              <w:right w:val="single" w:color="auto" w:sz="2" w:space="0"/>
            </w:tcBorders>
            <w:shd w:val="clear" w:color="auto" w:fill="auto"/>
          </w:tcPr>
          <w:p>
            <w:pPr>
              <w:pStyle w:val="78"/>
              <w:rPr>
                <w:szCs w:val="18"/>
              </w:rPr>
            </w:pPr>
            <w:r>
              <w:rPr>
                <w:szCs w:val="18"/>
              </w:rPr>
              <w:t>1 MHz</w:t>
            </w:r>
          </w:p>
        </w:tc>
        <w:tc>
          <w:tcPr>
            <w:tcW w:w="4422" w:type="dxa"/>
            <w:tcBorders>
              <w:left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46</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pPr>
            <w:r>
              <w:t>-42.5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eastAsia="ko-KR"/>
              </w:rPr>
            </w:pPr>
            <w:r>
              <w:rPr>
                <w:lang w:eastAsia="ko-KR"/>
              </w:rPr>
              <w:t xml:space="preserve">E-UTRA Band </w:t>
            </w:r>
            <w:r>
              <w:rPr>
                <w:lang w:eastAsia="zh-CN"/>
              </w:rPr>
              <w:t>4</w:t>
            </w:r>
            <w:r>
              <w:rPr>
                <w:rFonts w:hint="eastAsia"/>
                <w:lang w:eastAsia="zh-CN"/>
              </w:rPr>
              <w:t>7</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w:t>
            </w:r>
            <w:r>
              <w:rPr>
                <w:rFonts w:hint="eastAsia"/>
                <w:lang w:eastAsia="zh-CN"/>
              </w:rPr>
              <w:t>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8"/>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48</w:t>
            </w:r>
          </w:p>
        </w:tc>
        <w:tc>
          <w:tcPr>
            <w:tcW w:w="1559" w:type="dxa"/>
            <w:tcBorders>
              <w:left w:val="single" w:color="auto" w:sz="2" w:space="0"/>
              <w:right w:val="single" w:color="auto" w:sz="2" w:space="0"/>
            </w:tcBorders>
            <w:shd w:val="clear" w:color="auto" w:fill="auto"/>
          </w:tcPr>
          <w:p>
            <w:pPr>
              <w:pStyle w:val="78"/>
              <w:rPr>
                <w:lang w:eastAsia="zh-CN"/>
              </w:rPr>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8"/>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50 or NR Band n50</w:t>
            </w:r>
          </w:p>
        </w:tc>
        <w:tc>
          <w:tcPr>
            <w:tcW w:w="1559" w:type="dxa"/>
            <w:tcBorders>
              <w:left w:val="single" w:color="auto" w:sz="2" w:space="0"/>
              <w:right w:val="single" w:color="auto" w:sz="2" w:space="0"/>
            </w:tcBorders>
            <w:shd w:val="clear" w:color="auto" w:fill="auto"/>
          </w:tcPr>
          <w:p>
            <w:pPr>
              <w:pStyle w:val="78"/>
            </w:pPr>
            <w:r>
              <w:t>1432 - 1517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51 or NR Band n51</w:t>
            </w:r>
          </w:p>
        </w:tc>
        <w:tc>
          <w:tcPr>
            <w:tcW w:w="1559" w:type="dxa"/>
            <w:tcBorders>
              <w:left w:val="single" w:color="auto" w:sz="2" w:space="0"/>
              <w:right w:val="single" w:color="auto" w:sz="2" w:space="0"/>
            </w:tcBorders>
            <w:shd w:val="clear" w:color="auto" w:fill="auto"/>
          </w:tcPr>
          <w:p>
            <w:pPr>
              <w:pStyle w:val="78"/>
            </w:pPr>
            <w:r>
              <w:t>1427 - 1432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8"/>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8"/>
            </w:pPr>
            <w:r>
              <w:t>3300 – 3400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1920 - 2010 MHz</w:t>
            </w:r>
          </w:p>
          <w:p>
            <w:pPr>
              <w:pStyle w:val="78"/>
              <w:rPr>
                <w:lang w:eastAsia="zh-CN"/>
              </w:rPr>
            </w:pP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1710 - 1780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67</w:t>
            </w:r>
          </w:p>
        </w:tc>
        <w:tc>
          <w:tcPr>
            <w:tcW w:w="1559" w:type="dxa"/>
            <w:tcBorders>
              <w:left w:val="single" w:color="auto" w:sz="2" w:space="0"/>
              <w:right w:val="single" w:color="auto" w:sz="2" w:space="0"/>
            </w:tcBorders>
            <w:shd w:val="clear" w:color="auto" w:fill="auto"/>
          </w:tcPr>
          <w:p>
            <w:pPr>
              <w:pStyle w:val="78"/>
              <w:rPr>
                <w:lang w:eastAsia="zh-CN"/>
              </w:rPr>
            </w:pPr>
            <w:r>
              <w:t>738 - 758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w:t>
            </w:r>
            <w:r>
              <w:rPr>
                <w:lang w:val="en-US"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8"/>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clause 6.7.1). Emission limits for this excluded frequency range may be covered by local or regional requirements.</w:t>
            </w:r>
          </w:p>
          <w:p>
            <w:pPr>
              <w:pStyle w:val="98"/>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91"/>
      </w:pPr>
      <w:r>
        <w:t>Table 6.7.6.4.5.2-2: AAS BS OTA Spurious emissions limits for BS in geographic coverage area of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 xml:space="preserve">1884.5 </w:t>
            </w:r>
            <w:r>
              <w:rPr>
                <w:rFonts w:cs="v5.0.0"/>
              </w:rPr>
              <w:noBreakHyphen/>
            </w:r>
            <w:r>
              <w:rPr>
                <w:rFonts w:cs="v5.0.0"/>
              </w:rPr>
              <w:t xml:space="preserve"> 1915.7 MHz</w:t>
            </w:r>
          </w:p>
        </w:tc>
        <w:tc>
          <w:tcPr>
            <w:tcW w:w="1276" w:type="dxa"/>
          </w:tcPr>
          <w:p>
            <w:pPr>
              <w:pStyle w:val="17"/>
              <w:keepNext/>
              <w:widowControl/>
              <w:tabs>
                <w:tab w:val="clear" w:pos="9639"/>
              </w:tabs>
              <w:ind w:left="0" w:right="0" w:firstLine="0"/>
              <w:jc w:val="center"/>
              <w:rPr>
                <w:rFonts w:cs="v5.0.0"/>
              </w:rPr>
            </w:pPr>
            <w:r>
              <w:rPr>
                <w:rFonts w:cs="v5.0.0"/>
              </w:rPr>
              <w:t>-35 dBm</w:t>
            </w:r>
          </w:p>
        </w:tc>
        <w:tc>
          <w:tcPr>
            <w:tcW w:w="1418" w:type="dxa"/>
          </w:tcPr>
          <w:p>
            <w:pPr>
              <w:pStyle w:val="78"/>
              <w:rPr>
                <w:rFonts w:cs="v5.0.0"/>
              </w:rPr>
            </w:pPr>
            <w:r>
              <w:rPr>
                <w:rFonts w:cs="v5.0.0"/>
              </w:rPr>
              <w:t>300 kHz</w:t>
            </w:r>
          </w:p>
        </w:tc>
        <w:tc>
          <w:tcPr>
            <w:tcW w:w="1956" w:type="dxa"/>
          </w:tcPr>
          <w:p>
            <w:pPr>
              <w:pStyle w:val="78"/>
              <w:rPr>
                <w:rFonts w:cs="v5.0.0"/>
              </w:rPr>
            </w:pPr>
          </w:p>
        </w:tc>
      </w:tr>
    </w:tbl>
    <w:p>
      <w:pPr>
        <w:rPr>
          <w:rFonts w:cs="v5.0.0"/>
        </w:rPr>
      </w:pPr>
    </w:p>
    <w:p>
      <w:pPr>
        <w:pStyle w:val="91"/>
      </w:pPr>
      <w:r>
        <w:t>Table 6.7.6.4.5.2-3: Void</w:t>
      </w:r>
    </w:p>
    <w:p>
      <w:pPr>
        <w:pStyle w:val="7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6.7.6.4.5.2-4: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763 - 775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793 - 805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769 - 775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799 - 805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6.7.6.4.5.2-5: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pPr>
            <w:r>
              <w:t>XXVI</w:t>
            </w:r>
          </w:p>
        </w:tc>
        <w:tc>
          <w:tcPr>
            <w:tcW w:w="2376" w:type="dxa"/>
          </w:tcPr>
          <w:p>
            <w:pPr>
              <w:pStyle w:val="78"/>
            </w:pPr>
            <w:r>
              <w:t>851 - 859 MHz</w:t>
            </w:r>
          </w:p>
        </w:tc>
        <w:tc>
          <w:tcPr>
            <w:tcW w:w="1276" w:type="dxa"/>
          </w:tcPr>
          <w:p>
            <w:pPr>
              <w:pStyle w:val="78"/>
            </w:pPr>
            <w:r>
              <w:t>-</w:t>
            </w:r>
            <w:r>
              <w:rPr>
                <w:rFonts w:hint="eastAsia"/>
              </w:rPr>
              <w:t>4.4</w:t>
            </w:r>
            <w:r>
              <w:t xml:space="preserve"> dBm</w:t>
            </w:r>
          </w:p>
        </w:tc>
        <w:tc>
          <w:tcPr>
            <w:tcW w:w="1418" w:type="dxa"/>
          </w:tcPr>
          <w:p>
            <w:pPr>
              <w:pStyle w:val="78"/>
            </w:pPr>
            <w:r>
              <w:t>100 kHz</w:t>
            </w:r>
          </w:p>
        </w:tc>
        <w:tc>
          <w:tcPr>
            <w:tcW w:w="1956" w:type="dxa"/>
          </w:tcPr>
          <w:p>
            <w:pPr>
              <w:pStyle w:val="78"/>
            </w:pPr>
            <w:r>
              <w:t>Applicable for offsets &gt; 37.5 kHz from the channel edge</w:t>
            </w:r>
          </w:p>
        </w:tc>
      </w:tr>
    </w:tbl>
    <w:p/>
    <w:p>
      <w:pPr>
        <w:pStyle w:val="8"/>
      </w:pPr>
      <w:bookmarkStart w:id="19" w:name="_Toc53181458"/>
      <w:bookmarkStart w:id="20" w:name="_Toc45907354"/>
      <w:bookmarkStart w:id="21" w:name="_Toc21123161"/>
      <w:r>
        <w:t>6.7.6.4.5.3</w:t>
      </w:r>
      <w:r>
        <w:tab/>
      </w:r>
      <w:r>
        <w:t>Single RAT E-UTRA operation</w:t>
      </w:r>
      <w:bookmarkEnd w:id="19"/>
      <w:bookmarkEnd w:id="20"/>
      <w:bookmarkEnd w:id="21"/>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1"/>
      </w:pPr>
      <w:r>
        <w:t>Table 6.7.6.4.5.3-1: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bottom w:val="single" w:color="auto" w:sz="4" w:space="0"/>
            </w:tcBorders>
            <w:shd w:val="clear" w:color="auto" w:fill="auto"/>
          </w:tcPr>
          <w:p>
            <w:pPr>
              <w:pStyle w:val="77"/>
              <w:rPr>
                <w:rFonts w:cs="Arial"/>
              </w:rPr>
            </w:pPr>
            <w:r>
              <w:rPr>
                <w:rFonts w:cs="Arial"/>
              </w:rPr>
              <w:t>System type to co-exist with</w:t>
            </w:r>
          </w:p>
        </w:tc>
        <w:tc>
          <w:tcPr>
            <w:tcW w:w="1701" w:type="dxa"/>
            <w:gridSpan w:val="2"/>
            <w:shd w:val="clear" w:color="auto" w:fill="auto"/>
          </w:tcPr>
          <w:p>
            <w:pPr>
              <w:pStyle w:val="77"/>
              <w:rPr>
                <w:rFonts w:cs="Arial"/>
              </w:rPr>
            </w:pPr>
            <w:r>
              <w:rPr>
                <w:rFonts w:cs="Arial"/>
              </w:rPr>
              <w:t>Frequency range for co-existence requirement</w:t>
            </w:r>
          </w:p>
        </w:tc>
        <w:tc>
          <w:tcPr>
            <w:tcW w:w="1275" w:type="dxa"/>
            <w:gridSpan w:val="2"/>
            <w:shd w:val="clear" w:color="auto" w:fill="auto"/>
          </w:tcPr>
          <w:p>
            <w:pPr>
              <w:pStyle w:val="77"/>
              <w:rPr>
                <w:rFonts w:cs="Arial"/>
              </w:rPr>
            </w:pPr>
            <w:r>
              <w:rPr>
                <w:rFonts w:cs="Arial"/>
              </w:rPr>
              <w:t>Maximum Level</w:t>
            </w:r>
          </w:p>
        </w:tc>
        <w:tc>
          <w:tcPr>
            <w:tcW w:w="1418" w:type="dxa"/>
            <w:gridSpan w:val="2"/>
            <w:shd w:val="clear" w:color="auto" w:fill="auto"/>
          </w:tcPr>
          <w:p>
            <w:pPr>
              <w:pStyle w:val="77"/>
              <w:rPr>
                <w:rFonts w:cs="Arial"/>
              </w:rPr>
            </w:pPr>
            <w:r>
              <w:rPr>
                <w:rFonts w:cs="Arial"/>
              </w:rPr>
              <w:t>Measurement Bandwidth</w:t>
            </w:r>
          </w:p>
        </w:tc>
        <w:tc>
          <w:tcPr>
            <w:tcW w:w="3642" w:type="dxa"/>
            <w:gridSpan w:val="2"/>
            <w:shd w:val="clear" w:color="auto" w:fill="auto"/>
          </w:tcPr>
          <w:p>
            <w:pPr>
              <w:pStyle w:val="77"/>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gridSpan w:val="2"/>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t>876 - 915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t>100 kHz</w:t>
            </w:r>
          </w:p>
        </w:tc>
        <w:tc>
          <w:tcPr>
            <w:tcW w:w="3642" w:type="dxa"/>
            <w:gridSpan w:val="2"/>
            <w:shd w:val="clear" w:color="auto" w:fill="auto"/>
          </w:tcPr>
          <w:p>
            <w:pPr>
              <w:pStyle w:val="7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gridSpan w:val="2"/>
            <w:tcBorders>
              <w:left w:val="single" w:color="auto" w:sz="4" w:space="0"/>
            </w:tcBorders>
            <w:shd w:val="clear" w:color="auto" w:fill="auto"/>
          </w:tcPr>
          <w:p>
            <w:pPr>
              <w:pStyle w:val="78"/>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78"/>
              <w:rPr>
                <w:rFonts w:cs="v5.0.0"/>
              </w:rPr>
            </w:pPr>
            <w:r>
              <w:rPr>
                <w:rFonts w:cs="v5.0.0"/>
              </w:rP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t>100 kHz</w:t>
            </w:r>
          </w:p>
        </w:tc>
        <w:tc>
          <w:tcPr>
            <w:tcW w:w="3642" w:type="dxa"/>
            <w:gridSpan w:val="2"/>
            <w:shd w:val="clear" w:color="auto" w:fill="auto"/>
          </w:tcPr>
          <w:p>
            <w:pPr>
              <w:pStyle w:val="7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gridSpan w:val="2"/>
            <w:tcBorders>
              <w:left w:val="single" w:color="auto" w:sz="4" w:space="0"/>
            </w:tcBorders>
            <w:shd w:val="clear" w:color="auto" w:fill="auto"/>
          </w:tcPr>
          <w:p>
            <w:pPr>
              <w:pStyle w:val="78"/>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78"/>
            </w:pPr>
            <w: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gridSpan w:val="2"/>
            <w:tcBorders>
              <w:left w:val="single" w:color="auto" w:sz="4" w:space="0"/>
            </w:tcBorders>
            <w:shd w:val="clear" w:color="auto" w:fill="auto"/>
          </w:tcPr>
          <w:p>
            <w:pPr>
              <w:pStyle w:val="78"/>
            </w:pPr>
            <w:r>
              <w:rPr>
                <w:rFonts w:cs="v5.0.0"/>
              </w:rPr>
              <w:t>869 - 894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rPr>
                <w:rFonts w:cs="v5.0.0"/>
              </w:rPr>
              <w:t>100 kHz</w:t>
            </w:r>
          </w:p>
        </w:tc>
        <w:tc>
          <w:tcPr>
            <w:tcW w:w="3642" w:type="dxa"/>
            <w:gridSpan w:val="2"/>
            <w:shd w:val="clear" w:color="auto" w:fill="auto"/>
          </w:tcPr>
          <w:p>
            <w:pPr>
              <w:pStyle w:val="7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UTRA FDD Band I or </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 or NR band n1</w:t>
            </w:r>
          </w:p>
        </w:tc>
        <w:tc>
          <w:tcPr>
            <w:tcW w:w="1701" w:type="dxa"/>
            <w:gridSpan w:val="2"/>
            <w:tcBorders>
              <w:left w:val="single" w:color="auto" w:sz="4" w:space="0"/>
            </w:tcBorders>
            <w:shd w:val="clear" w:color="auto" w:fill="auto"/>
          </w:tcPr>
          <w:p>
            <w:pPr>
              <w:pStyle w:val="78"/>
              <w:rPr>
                <w:lang w:eastAsia="zh-CN"/>
              </w:rPr>
            </w:pPr>
            <w:r>
              <w:t>1920 - 1980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II or</w:t>
            </w:r>
          </w:p>
        </w:tc>
        <w:tc>
          <w:tcPr>
            <w:tcW w:w="1701" w:type="dxa"/>
            <w:gridSpan w:val="2"/>
            <w:tcBorders>
              <w:left w:val="single" w:color="auto" w:sz="4" w:space="0"/>
            </w:tcBorders>
            <w:shd w:val="clear" w:color="auto" w:fill="auto"/>
          </w:tcPr>
          <w:p>
            <w:pPr>
              <w:pStyle w:val="78"/>
              <w:rPr>
                <w:lang w:eastAsia="zh-CN"/>
              </w:rPr>
            </w:pPr>
            <w:r>
              <w:t>1930 - 1990 MHz</w:t>
            </w:r>
          </w:p>
          <w:p>
            <w:pPr>
              <w:pStyle w:val="78"/>
              <w:rPr>
                <w:lang w:eastAsia="zh-CN"/>
              </w:rPr>
            </w:pP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 or NR band n2</w:t>
            </w:r>
          </w:p>
        </w:tc>
        <w:tc>
          <w:tcPr>
            <w:tcW w:w="1701" w:type="dxa"/>
            <w:gridSpan w:val="2"/>
            <w:tcBorders>
              <w:left w:val="single" w:color="auto" w:sz="4" w:space="0"/>
            </w:tcBorders>
            <w:shd w:val="clear" w:color="auto" w:fill="auto"/>
          </w:tcPr>
          <w:p>
            <w:pPr>
              <w:pStyle w:val="78"/>
              <w:rPr>
                <w:lang w:eastAsia="zh-CN"/>
              </w:rPr>
            </w:pPr>
            <w:r>
              <w:t>1850 - 1910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III or</w:t>
            </w:r>
          </w:p>
        </w:tc>
        <w:tc>
          <w:tcPr>
            <w:tcW w:w="1701" w:type="dxa"/>
            <w:gridSpan w:val="2"/>
            <w:tcBorders>
              <w:left w:val="single" w:color="auto" w:sz="4" w:space="0"/>
            </w:tcBorders>
            <w:shd w:val="clear" w:color="auto" w:fill="auto"/>
          </w:tcPr>
          <w:p>
            <w:pPr>
              <w:pStyle w:val="78"/>
              <w:rPr>
                <w:lang w:eastAsia="zh-CN"/>
              </w:rPr>
            </w:pPr>
            <w:r>
              <w:t>1805 - 1880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t>E-UTRA Band 3</w:t>
            </w:r>
            <w:r>
              <w:rPr>
                <w:lang w:val="sv-SE"/>
              </w:rPr>
              <w:t xml:space="preserve"> or NR band n3</w:t>
            </w:r>
            <w:r>
              <w:t xml:space="preserve"> </w:t>
            </w:r>
            <w:r>
              <w:br w:type="textWrapping"/>
            </w:r>
            <w:r>
              <w:t>(NOTE 3)</w:t>
            </w: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 xml:space="preserve">This requirement does not apply to BS operating in band 3, </w:t>
            </w:r>
            <w:r>
              <w:rPr>
                <w:rFonts w:cs="v5.0.0"/>
              </w:rPr>
              <w:t>since it is already covered by the requirement in clause 6.7.6.5.3.3.</w:t>
            </w:r>
          </w:p>
          <w:p>
            <w:pPr>
              <w:pStyle w:val="7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gridSpan w:val="2"/>
            <w:tcBorders>
              <w:left w:val="single" w:color="auto" w:sz="4" w:space="0"/>
            </w:tcBorders>
            <w:shd w:val="clear" w:color="auto" w:fill="auto"/>
          </w:tcPr>
          <w:p>
            <w:pPr>
              <w:pStyle w:val="78"/>
            </w:pPr>
            <w:r>
              <w:t>2110 - 2155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1710 - 1755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 or</w:t>
            </w:r>
          </w:p>
          <w:p>
            <w:pPr>
              <w:pStyle w:val="78"/>
              <w:rPr>
                <w:lang w:val="sv-SE"/>
              </w:rPr>
            </w:pPr>
            <w:r>
              <w:rPr>
                <w:lang w:val="sv-SE"/>
              </w:rPr>
              <w:t>E-UTRA Band 5 or NR band n5</w:t>
            </w:r>
          </w:p>
        </w:tc>
        <w:tc>
          <w:tcPr>
            <w:tcW w:w="1701" w:type="dxa"/>
            <w:gridSpan w:val="2"/>
            <w:tcBorders>
              <w:left w:val="single" w:color="auto" w:sz="4" w:space="0"/>
            </w:tcBorders>
            <w:shd w:val="clear" w:color="auto" w:fill="auto"/>
          </w:tcPr>
          <w:p>
            <w:pPr>
              <w:pStyle w:val="78"/>
            </w:pPr>
            <w:r>
              <w:t>869 - 894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824 - 849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UTRA FDD Band VI, XIX or</w:t>
            </w:r>
          </w:p>
        </w:tc>
        <w:tc>
          <w:tcPr>
            <w:tcW w:w="1701" w:type="dxa"/>
            <w:gridSpan w:val="2"/>
            <w:tcBorders>
              <w:left w:val="single" w:color="auto" w:sz="4" w:space="0"/>
            </w:tcBorders>
            <w:shd w:val="clear" w:color="auto" w:fill="auto"/>
          </w:tcPr>
          <w:p>
            <w:pPr>
              <w:pStyle w:val="78"/>
            </w:pPr>
            <w:r>
              <w:t>860 - 890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6, 18, 19</w:t>
            </w:r>
          </w:p>
        </w:tc>
        <w:tc>
          <w:tcPr>
            <w:tcW w:w="1701" w:type="dxa"/>
            <w:gridSpan w:val="2"/>
            <w:tcBorders>
              <w:left w:val="single" w:color="auto" w:sz="4" w:space="0"/>
            </w:tcBorders>
            <w:shd w:val="clear" w:color="auto" w:fill="auto"/>
          </w:tcPr>
          <w:p>
            <w:pPr>
              <w:pStyle w:val="78"/>
            </w:pPr>
            <w:r>
              <w:t>815 - 830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830 - 845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 or</w:t>
            </w:r>
          </w:p>
          <w:p>
            <w:pPr>
              <w:pStyle w:val="78"/>
              <w:rPr>
                <w:lang w:val="sv-SE"/>
              </w:rPr>
            </w:pPr>
            <w:r>
              <w:rPr>
                <w:lang w:val="sv-SE"/>
              </w:rPr>
              <w:t>E-UTRA Band 7 or NR band n7</w:t>
            </w:r>
          </w:p>
        </w:tc>
        <w:tc>
          <w:tcPr>
            <w:tcW w:w="1701" w:type="dxa"/>
            <w:gridSpan w:val="2"/>
            <w:tcBorders>
              <w:left w:val="single" w:color="auto" w:sz="4" w:space="0"/>
            </w:tcBorders>
            <w:shd w:val="clear" w:color="auto" w:fill="auto"/>
          </w:tcPr>
          <w:p>
            <w:pPr>
              <w:pStyle w:val="78"/>
            </w:pPr>
            <w:r>
              <w:t>2620 - 2690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2500 - 2570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VIII or</w:t>
            </w:r>
          </w:p>
        </w:tc>
        <w:tc>
          <w:tcPr>
            <w:tcW w:w="1701" w:type="dxa"/>
            <w:gridSpan w:val="2"/>
            <w:tcBorders>
              <w:left w:val="single" w:color="auto" w:sz="4" w:space="0"/>
            </w:tcBorders>
            <w:shd w:val="clear" w:color="auto" w:fill="auto"/>
          </w:tcPr>
          <w:p>
            <w:pPr>
              <w:pStyle w:val="78"/>
            </w:pPr>
            <w:r>
              <w:t>925 - 960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8 or NR band n8</w:t>
            </w:r>
          </w:p>
        </w:tc>
        <w:tc>
          <w:tcPr>
            <w:tcW w:w="1701" w:type="dxa"/>
            <w:gridSpan w:val="2"/>
            <w:tcBorders>
              <w:left w:val="single" w:color="auto" w:sz="4" w:space="0"/>
            </w:tcBorders>
            <w:shd w:val="clear" w:color="auto" w:fill="auto"/>
          </w:tcPr>
          <w:p>
            <w:pPr>
              <w:pStyle w:val="78"/>
            </w:pPr>
            <w:r>
              <w:t>880 - 915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tc>
        <w:tc>
          <w:tcPr>
            <w:tcW w:w="1701" w:type="dxa"/>
            <w:gridSpan w:val="2"/>
            <w:tcBorders>
              <w:left w:val="single" w:color="auto" w:sz="4" w:space="0"/>
            </w:tcBorders>
            <w:shd w:val="clear" w:color="auto" w:fill="auto"/>
          </w:tcPr>
          <w:p>
            <w:pPr>
              <w:pStyle w:val="78"/>
              <w:rPr>
                <w:lang w:eastAsia="zh-CN"/>
              </w:rPr>
            </w:pPr>
            <w:r>
              <w:t>1844.9 - 1879.9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9</w:t>
            </w:r>
          </w:p>
        </w:tc>
        <w:tc>
          <w:tcPr>
            <w:tcW w:w="1701" w:type="dxa"/>
            <w:gridSpan w:val="2"/>
            <w:tcBorders>
              <w:left w:val="single" w:color="auto" w:sz="4" w:space="0"/>
            </w:tcBorders>
            <w:shd w:val="clear" w:color="auto" w:fill="auto"/>
          </w:tcPr>
          <w:p>
            <w:pPr>
              <w:pStyle w:val="78"/>
            </w:pPr>
            <w:r>
              <w:t>1749.9 - 1784.9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10</w:t>
            </w:r>
          </w:p>
        </w:tc>
        <w:tc>
          <w:tcPr>
            <w:tcW w:w="1701" w:type="dxa"/>
            <w:gridSpan w:val="2"/>
            <w:tcBorders>
              <w:left w:val="single" w:color="auto" w:sz="4" w:space="0"/>
            </w:tcBorders>
            <w:shd w:val="clear" w:color="auto" w:fill="auto"/>
          </w:tcPr>
          <w:p>
            <w:pPr>
              <w:pStyle w:val="78"/>
            </w:pPr>
            <w:r>
              <w:t>1710 - 1770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701" w:type="dxa"/>
            <w:gridSpan w:val="2"/>
            <w:tcBorders>
              <w:left w:val="single" w:color="auto" w:sz="4" w:space="0"/>
            </w:tcBorders>
            <w:shd w:val="clear" w:color="auto" w:fill="auto"/>
          </w:tcPr>
          <w:p>
            <w:pPr>
              <w:pStyle w:val="78"/>
            </w:pPr>
            <w:r>
              <w:t>1475.9 - 1510.9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11 or 21</w:t>
            </w:r>
          </w:p>
        </w:tc>
        <w:tc>
          <w:tcPr>
            <w:tcW w:w="1701" w:type="dxa"/>
            <w:gridSpan w:val="2"/>
            <w:tcBorders>
              <w:left w:val="single" w:color="auto" w:sz="4" w:space="0"/>
            </w:tcBorders>
            <w:shd w:val="clear" w:color="auto" w:fill="auto"/>
          </w:tcPr>
          <w:p>
            <w:pPr>
              <w:pStyle w:val="78"/>
            </w:pPr>
            <w:r>
              <w:t>1427.9 - 1447.9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1447.9 – 1462.9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 or</w:t>
            </w:r>
          </w:p>
        </w:tc>
        <w:tc>
          <w:tcPr>
            <w:tcW w:w="1701" w:type="dxa"/>
            <w:gridSpan w:val="2"/>
            <w:tcBorders>
              <w:left w:val="single" w:color="auto" w:sz="4" w:space="0"/>
            </w:tcBorders>
            <w:shd w:val="clear" w:color="auto" w:fill="auto"/>
          </w:tcPr>
          <w:p>
            <w:pPr>
              <w:pStyle w:val="78"/>
            </w:pPr>
            <w:r>
              <w:t>729 - 746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12 or NR band n12</w:t>
            </w:r>
          </w:p>
        </w:tc>
        <w:tc>
          <w:tcPr>
            <w:tcW w:w="1701" w:type="dxa"/>
            <w:gridSpan w:val="2"/>
            <w:tcBorders>
              <w:left w:val="single" w:color="auto" w:sz="4" w:space="0"/>
            </w:tcBorders>
            <w:shd w:val="clear" w:color="auto" w:fill="auto"/>
          </w:tcPr>
          <w:p>
            <w:pPr>
              <w:pStyle w:val="78"/>
            </w:pPr>
            <w:r>
              <w:t>699 - 716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gridSpan w:val="2"/>
            <w:tcBorders>
              <w:left w:val="single" w:color="auto" w:sz="4" w:space="0"/>
            </w:tcBorders>
            <w:shd w:val="clear" w:color="auto" w:fill="auto"/>
          </w:tcPr>
          <w:p>
            <w:pPr>
              <w:pStyle w:val="78"/>
            </w:pPr>
            <w:r>
              <w:t>746 - 756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777 - 787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tc>
        <w:tc>
          <w:tcPr>
            <w:tcW w:w="1701" w:type="dxa"/>
            <w:gridSpan w:val="2"/>
            <w:tcBorders>
              <w:left w:val="single" w:color="auto" w:sz="4" w:space="0"/>
            </w:tcBorders>
            <w:shd w:val="clear" w:color="auto" w:fill="auto"/>
          </w:tcPr>
          <w:p>
            <w:pPr>
              <w:pStyle w:val="78"/>
            </w:pPr>
            <w:r>
              <w:t>758 - 768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14</w:t>
            </w:r>
          </w:p>
        </w:tc>
        <w:tc>
          <w:tcPr>
            <w:tcW w:w="1701" w:type="dxa"/>
            <w:gridSpan w:val="2"/>
            <w:tcBorders>
              <w:left w:val="single" w:color="auto" w:sz="4" w:space="0"/>
            </w:tcBorders>
            <w:shd w:val="clear" w:color="auto" w:fill="auto"/>
          </w:tcPr>
          <w:p>
            <w:pPr>
              <w:pStyle w:val="78"/>
            </w:pPr>
            <w:r>
              <w:t>788 - 798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gridSpan w:val="2"/>
            <w:tcBorders>
              <w:left w:val="single" w:color="auto" w:sz="4" w:space="0"/>
            </w:tcBorders>
            <w:shd w:val="clear" w:color="auto" w:fill="auto"/>
          </w:tcPr>
          <w:p>
            <w:pPr>
              <w:pStyle w:val="78"/>
            </w:pPr>
            <w:r>
              <w:t>734 - 746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704 - 716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 or</w:t>
            </w:r>
          </w:p>
        </w:tc>
        <w:tc>
          <w:tcPr>
            <w:tcW w:w="1701" w:type="dxa"/>
            <w:gridSpan w:val="2"/>
            <w:tcBorders>
              <w:left w:val="single" w:color="auto" w:sz="4" w:space="0"/>
            </w:tcBorders>
            <w:shd w:val="clear" w:color="auto" w:fill="auto"/>
          </w:tcPr>
          <w:p>
            <w:pPr>
              <w:pStyle w:val="78"/>
            </w:pPr>
            <w:r>
              <w:t>791 - 821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20 or NR band n20</w:t>
            </w:r>
          </w:p>
        </w:tc>
        <w:tc>
          <w:tcPr>
            <w:tcW w:w="1701" w:type="dxa"/>
            <w:gridSpan w:val="2"/>
            <w:tcBorders>
              <w:left w:val="single" w:color="auto" w:sz="4" w:space="0"/>
            </w:tcBorders>
            <w:shd w:val="clear" w:color="auto" w:fill="auto"/>
          </w:tcPr>
          <w:p>
            <w:pPr>
              <w:pStyle w:val="78"/>
            </w:pPr>
            <w:r>
              <w:t>832 - 862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tc>
        <w:tc>
          <w:tcPr>
            <w:tcW w:w="1701" w:type="dxa"/>
            <w:gridSpan w:val="2"/>
            <w:tcBorders>
              <w:left w:val="single" w:color="auto" w:sz="4" w:space="0"/>
            </w:tcBorders>
            <w:shd w:val="clear" w:color="auto" w:fill="auto"/>
          </w:tcPr>
          <w:p>
            <w:pPr>
              <w:pStyle w:val="78"/>
            </w:pPr>
            <w:r>
              <w:rPr>
                <w:rFonts w:cs="v5.0.0"/>
              </w:rPr>
              <w:t>3510 – 3590 MHz</w:t>
            </w:r>
          </w:p>
        </w:tc>
        <w:tc>
          <w:tcPr>
            <w:tcW w:w="1275" w:type="dxa"/>
            <w:gridSpan w:val="2"/>
            <w:shd w:val="clear" w:color="auto" w:fill="auto"/>
          </w:tcPr>
          <w:p>
            <w:pPr>
              <w:pStyle w:val="78"/>
              <w:rPr>
                <w:rFonts w:cs="v5.0.0"/>
              </w:rPr>
            </w:pPr>
            <w:r>
              <w:rPr>
                <w:rFonts w:cs="v5.0.0"/>
              </w:rPr>
              <w:t>-40.0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ins w:id="9" w:author="ZTE,Fei Xue" w:date="2021-11-09T11:21:34Z">
              <w:r>
                <w:rPr/>
                <w:t>22, 42, 48, n77 or n78.</w:t>
              </w:r>
            </w:ins>
            <w:del w:id="10" w:author="ZTE,Fei Xue" w:date="2021-11-09T11:21:34Z">
              <w:r>
                <w:rPr/>
                <w:delText>22 or 42, 48</w:delText>
              </w:r>
            </w:del>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22</w:t>
            </w:r>
          </w:p>
        </w:tc>
        <w:tc>
          <w:tcPr>
            <w:tcW w:w="1701" w:type="dxa"/>
            <w:gridSpan w:val="2"/>
            <w:tcBorders>
              <w:left w:val="single" w:color="auto" w:sz="4" w:space="0"/>
            </w:tcBorders>
            <w:shd w:val="clear" w:color="auto" w:fill="auto"/>
          </w:tcPr>
          <w:p>
            <w:pPr>
              <w:pStyle w:val="78"/>
            </w:pPr>
            <w:r>
              <w:rPr>
                <w:rFonts w:cs="v5.0.0"/>
              </w:rPr>
              <w:t>3410 – 3490 MHz</w:t>
            </w:r>
          </w:p>
        </w:tc>
        <w:tc>
          <w:tcPr>
            <w:tcW w:w="1275" w:type="dxa"/>
            <w:gridSpan w:val="2"/>
            <w:shd w:val="clear" w:color="auto" w:fill="auto"/>
          </w:tcPr>
          <w:p>
            <w:pPr>
              <w:pStyle w:val="78"/>
              <w:rPr>
                <w:rFonts w:cs="v5.0.0"/>
              </w:rPr>
            </w:pPr>
            <w:r>
              <w:rPr>
                <w:rFonts w:cs="v5.0.0"/>
              </w:rPr>
              <w:t>-37.0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22,</w:t>
            </w:r>
            <w:r>
              <w:rPr>
                <w:rFonts w:cs="v5.0.0"/>
              </w:rPr>
              <w:t xml:space="preserve"> since it is already covered by the requirement in clause 9.7.3.3. This requirement does not apply to Band 42</w:t>
            </w:r>
            <w:ins w:id="11" w:author="ZTE,Fei Xue" w:date="2021-11-09T11:17:24Z">
              <w:r>
                <w:rPr>
                  <w:rFonts w:hint="eastAsia" w:eastAsia="宋体" w:cs="v5.0.0"/>
                  <w:lang w:val="en-US" w:eastAsia="zh-CN"/>
                </w:rPr>
                <w:t>,</w:t>
              </w:r>
            </w:ins>
            <w:ins w:id="12" w:author="ZTE,Fei Xue" w:date="2021-11-09T11:17:34Z">
              <w:r>
                <w:rPr>
                  <w:rFonts w:hint="eastAsia" w:eastAsia="宋体" w:cs="v5.0.0"/>
                  <w:lang w:val="en-US" w:eastAsia="zh-CN"/>
                </w:rPr>
                <w:t xml:space="preserve"> </w:t>
              </w:r>
            </w:ins>
            <w:ins w:id="13" w:author="ZTE,Fei Xue" w:date="2021-11-09T11:17:25Z">
              <w:r>
                <w:rPr>
                  <w:rFonts w:hint="eastAsia" w:eastAsia="宋体" w:cs="v5.0.0"/>
                  <w:lang w:val="en-US" w:eastAsia="zh-CN"/>
                </w:rPr>
                <w:t>77</w:t>
              </w:r>
            </w:ins>
            <w:ins w:id="14" w:author="ZTE,Fei Xue" w:date="2021-11-09T11:17:26Z">
              <w:r>
                <w:rPr>
                  <w:rFonts w:hint="eastAsia" w:eastAsia="宋体" w:cs="v5.0.0"/>
                  <w:lang w:val="en-US" w:eastAsia="zh-CN"/>
                </w:rPr>
                <w:t xml:space="preserve"> o</w:t>
              </w:r>
            </w:ins>
            <w:ins w:id="15" w:author="ZTE,Fei Xue" w:date="2021-11-09T11:17:27Z">
              <w:r>
                <w:rPr>
                  <w:rFonts w:hint="eastAsia" w:eastAsia="宋体" w:cs="v5.0.0"/>
                  <w:lang w:val="en-US" w:eastAsia="zh-CN"/>
                </w:rPr>
                <w:t xml:space="preserve">r </w:t>
              </w:r>
            </w:ins>
            <w:ins w:id="16" w:author="ZTE,Fei Xue" w:date="2021-11-09T11:17:29Z">
              <w:r>
                <w:rPr>
                  <w:rFonts w:hint="eastAsia" w:eastAsia="宋体" w:cs="v5.0.0"/>
                  <w:lang w:val="en-US" w:eastAsia="zh-CN"/>
                </w:rPr>
                <w:t>78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gridSpan w:val="2"/>
            <w:tcBorders>
              <w:left w:val="single" w:color="auto" w:sz="4" w:space="0"/>
            </w:tcBorders>
            <w:shd w:val="clear" w:color="auto" w:fill="auto"/>
          </w:tcPr>
          <w:p>
            <w:pPr>
              <w:pStyle w:val="78"/>
            </w:pPr>
            <w:r>
              <w:t>1525 – 1559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1626.5 – 1660.5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w:t>
            </w:r>
            <w:r>
              <w:rPr>
                <w:lang w:val="sv-SE"/>
              </w:rPr>
              <w:t xml:space="preserve"> or</w:t>
            </w:r>
          </w:p>
        </w:tc>
        <w:tc>
          <w:tcPr>
            <w:tcW w:w="1701" w:type="dxa"/>
            <w:gridSpan w:val="2"/>
            <w:tcBorders>
              <w:left w:val="single" w:color="auto" w:sz="4" w:space="0"/>
            </w:tcBorders>
            <w:shd w:val="clear" w:color="auto" w:fill="auto"/>
          </w:tcPr>
          <w:p>
            <w:pPr>
              <w:pStyle w:val="78"/>
            </w:pPr>
            <w:r>
              <w:t>1930 - 199</w:t>
            </w:r>
            <w:r>
              <w:rPr>
                <w:lang w:eastAsia="zh-CN"/>
              </w:rPr>
              <w:t>5</w:t>
            </w:r>
            <w: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w:t>
            </w:r>
            <w:r>
              <w:rPr>
                <w:lang w:val="sv-SE" w:eastAsia="zh-CN"/>
              </w:rPr>
              <w:t>5</w:t>
            </w:r>
            <w:r>
              <w:rPr>
                <w:lang w:val="sv-SE"/>
              </w:rPr>
              <w:t xml:space="preserve"> or NR band n25</w:t>
            </w:r>
          </w:p>
        </w:tc>
        <w:tc>
          <w:tcPr>
            <w:tcW w:w="1701" w:type="dxa"/>
            <w:gridSpan w:val="2"/>
            <w:tcBorders>
              <w:left w:val="single" w:color="auto" w:sz="4" w:space="0"/>
            </w:tcBorders>
            <w:shd w:val="clear" w:color="auto" w:fill="auto"/>
          </w:tcPr>
          <w:p>
            <w:pPr>
              <w:pStyle w:val="78"/>
            </w:pPr>
            <w:r>
              <w:t>1850 - 191</w:t>
            </w:r>
            <w:r>
              <w:rPr>
                <w:lang w:eastAsia="zh-CN"/>
              </w:rPr>
              <w:t>5</w:t>
            </w:r>
            <w: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color="auto" w:sz="4" w:space="0"/>
            </w:tcBorders>
            <w:shd w:val="clear" w:color="auto" w:fill="auto"/>
          </w:tcPr>
          <w:p>
            <w:pPr>
              <w:pStyle w:val="78"/>
            </w:pPr>
            <w:r>
              <w:t>859 - 894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814 - 849 MHz</w:t>
            </w:r>
          </w:p>
        </w:tc>
        <w:tc>
          <w:tcPr>
            <w:tcW w:w="1275" w:type="dxa"/>
            <w:gridSpan w:val="2"/>
            <w:shd w:val="clear" w:color="auto" w:fill="auto"/>
          </w:tcPr>
          <w:p>
            <w:pPr>
              <w:pStyle w:val="78"/>
            </w:pPr>
            <w: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gridSpan w:val="2"/>
            <w:tcBorders>
              <w:left w:val="single" w:color="auto" w:sz="4" w:space="0"/>
            </w:tcBorders>
            <w:shd w:val="clear" w:color="auto" w:fill="auto"/>
          </w:tcPr>
          <w:p>
            <w:pPr>
              <w:pStyle w:val="78"/>
            </w:pPr>
            <w:r>
              <w:t>852 – 869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807 – 824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color="auto" w:sz="4" w:space="0"/>
            </w:tcBorders>
            <w:shd w:val="clear" w:color="auto" w:fill="auto"/>
          </w:tcPr>
          <w:p>
            <w:pPr>
              <w:pStyle w:val="78"/>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29</w:t>
            </w:r>
          </w:p>
        </w:tc>
        <w:tc>
          <w:tcPr>
            <w:tcW w:w="1701" w:type="dxa"/>
            <w:gridSpan w:val="2"/>
            <w:tcBorders>
              <w:top w:val="single" w:color="auto" w:sz="2" w:space="0"/>
              <w:left w:val="single" w:color="auto" w:sz="4" w:space="0"/>
              <w:right w:val="single" w:color="auto" w:sz="2" w:space="0"/>
            </w:tcBorders>
            <w:shd w:val="clear" w:color="auto" w:fill="auto"/>
          </w:tcPr>
          <w:p>
            <w:pPr>
              <w:pStyle w:val="78"/>
            </w:pPr>
            <w:r>
              <w:rPr>
                <w:lang w:eastAsia="zh-CN"/>
              </w:rPr>
              <w:t>717 – 728 MHz</w:t>
            </w:r>
          </w:p>
        </w:tc>
        <w:tc>
          <w:tcPr>
            <w:tcW w:w="1275" w:type="dxa"/>
            <w:gridSpan w:val="2"/>
            <w:tcBorders>
              <w:top w:val="single" w:color="auto" w:sz="2" w:space="0"/>
              <w:left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right w:val="single" w:color="auto" w:sz="2" w:space="0"/>
            </w:tcBorders>
            <w:shd w:val="clear" w:color="auto" w:fill="auto"/>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FI"/>
              </w:rPr>
            </w:pPr>
            <w:r>
              <w:rPr>
                <w:lang w:val="sv-SE"/>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rFonts w:hint="eastAsia"/>
              </w:rP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rPr>
                <w:rFonts w:hint="eastAsia"/>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1900 - 1920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34</w:t>
            </w:r>
            <w:r>
              <w:rPr>
                <w:lang w:val="sv-SE"/>
              </w:rPr>
              <w:t xml:space="preserve">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1850 – 1910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41</w:t>
            </w:r>
            <w:r>
              <w:rPr>
                <w:lang w:val="sv-SE"/>
              </w:rP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rFonts w:hint="eastAsia"/>
                <w:lang w:eastAsia="zh-CN"/>
              </w:rPr>
              <w:t xml:space="preserve">22, </w:t>
            </w:r>
            <w:r>
              <w:rPr>
                <w:lang w:eastAsia="zh-CN"/>
              </w:rPr>
              <w:t>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lang w:eastAsia="zh-CN"/>
              </w:rPr>
            </w:pPr>
            <w:r>
              <w:rPr>
                <w:szCs w:val="18"/>
              </w:rPr>
              <w:t>E-UTRA Band 4</w:t>
            </w:r>
            <w:r>
              <w:rPr>
                <w:rFonts w:hint="eastAsia"/>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lang w:eastAsia="zh-CN"/>
              </w:rPr>
            </w:pPr>
            <w:r>
              <w:rPr>
                <w:szCs w:val="18"/>
              </w:rPr>
              <w:t xml:space="preserve">This is not applicable to BS operating in Band </w:t>
            </w:r>
            <w:r>
              <w:rPr>
                <w:rFonts w:hint="eastAsia"/>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rPr>
                <w:szCs w:val="18"/>
              </w:rPr>
              <w:t>E-UTRA Band 4</w:t>
            </w:r>
            <w:r>
              <w:rPr>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w:t>
            </w:r>
            <w:r>
              <w:rPr>
                <w:rFonts w:hint="eastAsia"/>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rFonts w:hint="eastAsia"/>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w:t>
            </w:r>
            <w:r>
              <w:rPr>
                <w:rFonts w:hint="eastAsia"/>
              </w:rPr>
              <w:t>20</w:t>
            </w:r>
            <w:r>
              <w:t>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w:t>
            </w:r>
            <w:r>
              <w:rPr>
                <w:rFonts w:hint="eastAsia"/>
              </w:rPr>
              <w:t xml:space="preserve"> or 65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 xml:space="preserve">1920 - </w:t>
            </w:r>
            <w:r>
              <w:rPr>
                <w:rFonts w:hint="eastAsia"/>
              </w:rPr>
              <w:t>2010</w:t>
            </w:r>
            <w: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pPr>
              <w:pStyle w:val="7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E-UTRA Band 66</w:t>
            </w:r>
            <w:r>
              <w:t xml:space="preserve">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w:t>
            </w:r>
            <w:r>
              <w:rPr>
                <w:rFonts w:hint="eastAsia"/>
              </w:rPr>
              <w:t xml:space="preserve"> </w:t>
            </w:r>
            <w:r>
              <w:t xml:space="preserve">BS operating in band </w:t>
            </w:r>
            <w:r>
              <w:rPr>
                <w:rFonts w:hint="eastAsia"/>
              </w:rPr>
              <w:t xml:space="preserve">28 or </w:t>
            </w:r>
            <w:r>
              <w:t>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rPr>
                <w:lang w:val="sv-SE"/>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78"/>
            </w:pPr>
            <w:r>
              <w:rPr>
                <w:lang w:val="sv-SE"/>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617 - 652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663 – 698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w:t>
            </w:r>
            <w:r>
              <w:rPr>
                <w:lang w:val="en-US" w:eastAsia="zh-CN"/>
              </w:rPr>
              <w:t>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1475 – 1518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1470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n77</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4200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n78</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3800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n79</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4400 – 5000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del w:id="17" w:author="ZTE,Fei Xue" w:date="2021-11-09T11:16:30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n80</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880 - 915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832 - 862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703 - 748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4" w:space="0"/>
              <w:right w:val="single" w:color="auto" w:sz="4" w:space="0"/>
            </w:tcBorders>
          </w:tcPr>
          <w:p>
            <w:pPr>
              <w:pStyle w:val="78"/>
            </w:pPr>
            <w: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1920 - 1980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728 - 746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698 - 716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7207"/>
    <w:rsid w:val="00040095"/>
    <w:rsid w:val="00044ACF"/>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502"/>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8A1"/>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8764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56A2"/>
    <w:rsid w:val="004036E2"/>
    <w:rsid w:val="004052EB"/>
    <w:rsid w:val="00405350"/>
    <w:rsid w:val="00406D34"/>
    <w:rsid w:val="00407DCF"/>
    <w:rsid w:val="004100A8"/>
    <w:rsid w:val="00411662"/>
    <w:rsid w:val="004139BF"/>
    <w:rsid w:val="00415C7A"/>
    <w:rsid w:val="004162FB"/>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BCE"/>
    <w:rsid w:val="00584C94"/>
    <w:rsid w:val="00586A00"/>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1602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13D"/>
    <w:rsid w:val="00671333"/>
    <w:rsid w:val="00672814"/>
    <w:rsid w:val="00672E74"/>
    <w:rsid w:val="00673E8E"/>
    <w:rsid w:val="0067542E"/>
    <w:rsid w:val="00675E57"/>
    <w:rsid w:val="006775E8"/>
    <w:rsid w:val="006825C6"/>
    <w:rsid w:val="00682FA0"/>
    <w:rsid w:val="00687497"/>
    <w:rsid w:val="006904C7"/>
    <w:rsid w:val="006944DA"/>
    <w:rsid w:val="006A2BF1"/>
    <w:rsid w:val="006A6F50"/>
    <w:rsid w:val="006B085F"/>
    <w:rsid w:val="006B1B4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34CA"/>
    <w:rsid w:val="006F4F7A"/>
    <w:rsid w:val="006F7428"/>
    <w:rsid w:val="00705F3D"/>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5F24"/>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1E63"/>
    <w:rsid w:val="0085466D"/>
    <w:rsid w:val="00854736"/>
    <w:rsid w:val="008601A2"/>
    <w:rsid w:val="00860A98"/>
    <w:rsid w:val="0086203E"/>
    <w:rsid w:val="00862200"/>
    <w:rsid w:val="00863E41"/>
    <w:rsid w:val="00870956"/>
    <w:rsid w:val="008718C0"/>
    <w:rsid w:val="00873569"/>
    <w:rsid w:val="00874A6B"/>
    <w:rsid w:val="008756D0"/>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1F28"/>
    <w:rsid w:val="00913C29"/>
    <w:rsid w:val="00913DC2"/>
    <w:rsid w:val="0091543E"/>
    <w:rsid w:val="009222EC"/>
    <w:rsid w:val="009255F7"/>
    <w:rsid w:val="00926271"/>
    <w:rsid w:val="009268D4"/>
    <w:rsid w:val="00926A5E"/>
    <w:rsid w:val="00926DC6"/>
    <w:rsid w:val="00933753"/>
    <w:rsid w:val="00933A5F"/>
    <w:rsid w:val="00934DD7"/>
    <w:rsid w:val="00934F2D"/>
    <w:rsid w:val="0093593E"/>
    <w:rsid w:val="00936584"/>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3F9"/>
    <w:rsid w:val="009B689A"/>
    <w:rsid w:val="009B7FDC"/>
    <w:rsid w:val="009C0F51"/>
    <w:rsid w:val="009C2AFD"/>
    <w:rsid w:val="009C34E1"/>
    <w:rsid w:val="009C62FE"/>
    <w:rsid w:val="009C72D4"/>
    <w:rsid w:val="009D098B"/>
    <w:rsid w:val="009D0DC7"/>
    <w:rsid w:val="009D1CDA"/>
    <w:rsid w:val="009D36B0"/>
    <w:rsid w:val="009D6222"/>
    <w:rsid w:val="009E28AA"/>
    <w:rsid w:val="009E521A"/>
    <w:rsid w:val="009F5684"/>
    <w:rsid w:val="009F62CF"/>
    <w:rsid w:val="009F643E"/>
    <w:rsid w:val="009F77F8"/>
    <w:rsid w:val="00A00A22"/>
    <w:rsid w:val="00A01CCE"/>
    <w:rsid w:val="00A10F02"/>
    <w:rsid w:val="00A1157C"/>
    <w:rsid w:val="00A13028"/>
    <w:rsid w:val="00A14524"/>
    <w:rsid w:val="00A15D40"/>
    <w:rsid w:val="00A16034"/>
    <w:rsid w:val="00A21FC0"/>
    <w:rsid w:val="00A22911"/>
    <w:rsid w:val="00A2727A"/>
    <w:rsid w:val="00A31DEF"/>
    <w:rsid w:val="00A33949"/>
    <w:rsid w:val="00A42D2D"/>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17C2"/>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3F19"/>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4883"/>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3894"/>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0C88"/>
    <w:rsid w:val="00E315E8"/>
    <w:rsid w:val="00E350A3"/>
    <w:rsid w:val="00E41234"/>
    <w:rsid w:val="00E43982"/>
    <w:rsid w:val="00E43E65"/>
    <w:rsid w:val="00E44BF2"/>
    <w:rsid w:val="00E468E8"/>
    <w:rsid w:val="00E50063"/>
    <w:rsid w:val="00E522FB"/>
    <w:rsid w:val="00E603E9"/>
    <w:rsid w:val="00E61A30"/>
    <w:rsid w:val="00E63D87"/>
    <w:rsid w:val="00E65230"/>
    <w:rsid w:val="00E70C38"/>
    <w:rsid w:val="00E77645"/>
    <w:rsid w:val="00E90EB0"/>
    <w:rsid w:val="00E96789"/>
    <w:rsid w:val="00E97BA0"/>
    <w:rsid w:val="00EA5437"/>
    <w:rsid w:val="00EA5F76"/>
    <w:rsid w:val="00EA7724"/>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37E4"/>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3EC5"/>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19A"/>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E6AEE"/>
    <w:rsid w:val="00FF4AF8"/>
    <w:rsid w:val="00FF7079"/>
    <w:rsid w:val="076D2B2F"/>
    <w:rsid w:val="0A1016C4"/>
    <w:rsid w:val="0E1B4AA7"/>
    <w:rsid w:val="11A55E24"/>
    <w:rsid w:val="12132A66"/>
    <w:rsid w:val="13DE54CE"/>
    <w:rsid w:val="1D466923"/>
    <w:rsid w:val="1F9E330F"/>
    <w:rsid w:val="214362CB"/>
    <w:rsid w:val="2A010ACD"/>
    <w:rsid w:val="341315DD"/>
    <w:rsid w:val="3CF3166E"/>
    <w:rsid w:val="3EC7233F"/>
    <w:rsid w:val="426F6F11"/>
    <w:rsid w:val="436D57D8"/>
    <w:rsid w:val="46BB37DF"/>
    <w:rsid w:val="493D6EDD"/>
    <w:rsid w:val="4BDF2EB4"/>
    <w:rsid w:val="4D1D1EEA"/>
    <w:rsid w:val="4D604456"/>
    <w:rsid w:val="516A7129"/>
    <w:rsid w:val="534D2DD2"/>
    <w:rsid w:val="570E1424"/>
    <w:rsid w:val="58381C5A"/>
    <w:rsid w:val="613E0166"/>
    <w:rsid w:val="655A6E79"/>
    <w:rsid w:val="659237D6"/>
    <w:rsid w:val="6B3A38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0" w:name="footnote text"/>
    <w:lsdException w:uiPriority="99"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qFormat="1" w:unhideWhenUsed="0" w:uiPriority="0" w:name="table of figures"/>
    <w:lsdException w:uiPriority="0" w:name="envelope address"/>
    <w:lsdException w:uiPriority="0" w:name="envelope return"/>
    <w:lsdException w:qFormat="1" w:uiPriority="0" w:name="footnote reference"/>
    <w:lsdException w:qFormat="1" w:uiPriority="0" w:name="annotation reference"/>
    <w:lsdException w:uiPriority="0" w:name="line number"/>
    <w:lsdException w:qFormat="1" w:uiPriority="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iPriority="0" w:name="List Bullet 2"/>
    <w:lsdException w:qFormat="1" w:uiPriority="0" w:name="List Bullet 3"/>
    <w:lsdException w:qFormat="1" w:uiPriority="0" w:name="List Bullet 4"/>
    <w:lsdException w:qFormat="1" w:unhideWhenUsed="0" w:uiPriority="99" w:semiHidden="0" w:name="List Bullet 5"/>
    <w:lsdException w:uiPriority="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7"/>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Note Heading"/>
    <w:basedOn w:val="1"/>
    <w:next w:val="1"/>
    <w:link w:val="129"/>
    <w:qFormat/>
    <w:uiPriority w:val="99"/>
    <w:rPr>
      <w:rFonts w:eastAsia="MS Mincho"/>
    </w:rPr>
  </w:style>
  <w:style w:type="paragraph" w:styleId="23">
    <w:name w:val="List Number"/>
    <w:basedOn w:val="14"/>
    <w:qFormat/>
    <w:uiPriority w:val="99"/>
  </w:style>
  <w:style w:type="paragraph" w:styleId="24">
    <w:name w:val="List Bullet"/>
    <w:basedOn w:val="14"/>
    <w:qFormat/>
    <w:uiPriority w:val="99"/>
  </w:style>
  <w:style w:type="paragraph" w:styleId="25">
    <w:name w:val="Document Map"/>
    <w:basedOn w:val="1"/>
    <w:link w:val="116"/>
    <w:qFormat/>
    <w:uiPriority w:val="99"/>
    <w:rPr>
      <w:rFonts w:ascii="宋体" w:eastAsia="宋体"/>
      <w:sz w:val="18"/>
      <w:szCs w:val="18"/>
    </w:rPr>
  </w:style>
  <w:style w:type="paragraph" w:styleId="26">
    <w:name w:val="List Number 3"/>
    <w:basedOn w:val="1"/>
    <w:qFormat/>
    <w:uiPriority w:val="99"/>
    <w:pPr>
      <w:tabs>
        <w:tab w:val="left" w:pos="926"/>
      </w:tabs>
      <w:ind w:left="926" w:hanging="283"/>
    </w:pPr>
    <w:rPr>
      <w:rFonts w:eastAsia="MS Mincho"/>
    </w:rPr>
  </w:style>
  <w:style w:type="paragraph" w:styleId="27">
    <w:name w:val="Plain Text"/>
    <w:basedOn w:val="1"/>
    <w:link w:val="122"/>
    <w:qFormat/>
    <w:uiPriority w:val="99"/>
    <w:rPr>
      <w:rFonts w:ascii="Courier New" w:hAnsi="Courier New"/>
      <w:lang w:val="nb-NO"/>
    </w:rPr>
  </w:style>
  <w:style w:type="paragraph" w:styleId="28">
    <w:name w:val="List Bullet 5"/>
    <w:basedOn w:val="1"/>
    <w:qFormat/>
    <w:uiPriority w:val="99"/>
    <w:pPr>
      <w:ind w:left="1702" w:hanging="284"/>
    </w:pPr>
  </w:style>
  <w:style w:type="paragraph" w:styleId="29">
    <w:name w:val="List Number 4"/>
    <w:basedOn w:val="1"/>
    <w:qFormat/>
    <w:uiPriority w:val="99"/>
    <w:pPr>
      <w:tabs>
        <w:tab w:val="left" w:pos="1209"/>
      </w:tabs>
      <w:ind w:left="1209" w:hanging="283"/>
    </w:pPr>
    <w:rPr>
      <w:rFonts w:eastAsia="MS Mincho"/>
    </w:rPr>
  </w:style>
  <w:style w:type="paragraph" w:styleId="30">
    <w:name w:val="toc 8"/>
    <w:basedOn w:val="21"/>
    <w:next w:val="1"/>
    <w:qFormat/>
    <w:uiPriority w:val="39"/>
    <w:pPr>
      <w:spacing w:before="180"/>
      <w:ind w:left="2693" w:hanging="2693"/>
    </w:pPr>
    <w:rPr>
      <w:b/>
    </w:rPr>
  </w:style>
  <w:style w:type="paragraph" w:styleId="31">
    <w:name w:val="endnote text"/>
    <w:basedOn w:val="1"/>
    <w:link w:val="127"/>
    <w:qFormat/>
    <w:uiPriority w:val="99"/>
    <w:pPr>
      <w:overflowPunct/>
      <w:autoSpaceDE/>
      <w:autoSpaceDN/>
      <w:adjustRightInd/>
      <w:snapToGrid w:val="0"/>
      <w:textAlignment w:val="auto"/>
    </w:pPr>
  </w:style>
  <w:style w:type="paragraph" w:styleId="32">
    <w:name w:val="Balloon Text"/>
    <w:basedOn w:val="1"/>
    <w:link w:val="117"/>
    <w:qFormat/>
    <w:uiPriority w:val="99"/>
    <w:pPr>
      <w:spacing w:after="0"/>
    </w:pPr>
    <w:rPr>
      <w:rFonts w:ascii="Tahoma" w:hAnsi="Tahoma" w:eastAsia="宋体"/>
      <w:sz w:val="16"/>
      <w:szCs w:val="16"/>
    </w:rPr>
  </w:style>
  <w:style w:type="paragraph" w:styleId="33">
    <w:name w:val="footer"/>
    <w:basedOn w:val="34"/>
    <w:link w:val="67"/>
    <w:qFormat/>
    <w:uiPriority w:val="0"/>
    <w:pPr>
      <w:jc w:val="center"/>
    </w:pPr>
    <w:rPr>
      <w:i/>
    </w:rPr>
  </w:style>
  <w:style w:type="paragraph" w:styleId="34">
    <w:name w:val="header"/>
    <w:link w:val="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index heading"/>
    <w:basedOn w:val="1"/>
    <w:next w:val="1"/>
    <w:qFormat/>
    <w:uiPriority w:val="99"/>
    <w:pPr>
      <w:pBdr>
        <w:top w:val="single" w:color="auto" w:sz="12" w:space="0"/>
      </w:pBdr>
      <w:spacing w:before="360" w:after="240"/>
    </w:pPr>
    <w:rPr>
      <w:b/>
      <w:i/>
      <w:sz w:val="26"/>
    </w:rPr>
  </w:style>
  <w:style w:type="paragraph" w:styleId="36">
    <w:name w:val="List Number 5"/>
    <w:basedOn w:val="1"/>
    <w:qFormat/>
    <w:uiPriority w:val="99"/>
    <w:pPr>
      <w:tabs>
        <w:tab w:val="left" w:pos="851"/>
        <w:tab w:val="left" w:pos="1800"/>
      </w:tabs>
      <w:ind w:left="1800" w:hanging="851"/>
    </w:pPr>
    <w:rPr>
      <w:rFonts w:eastAsia="MS Mincho"/>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able of figures"/>
    <w:basedOn w:val="1"/>
    <w:next w:val="1"/>
    <w:semiHidden/>
    <w:qFormat/>
    <w:uiPriority w:val="0"/>
    <w:pPr>
      <w:spacing w:after="120"/>
      <w:ind w:left="1418" w:hanging="1418"/>
    </w:pPr>
    <w:rPr>
      <w:rFonts w:ascii="Arial" w:hAnsi="Arial"/>
      <w:b/>
      <w:lang w:eastAsia="zh-CN"/>
    </w:rPr>
  </w:style>
  <w:style w:type="paragraph" w:styleId="40">
    <w:name w:val="toc 9"/>
    <w:basedOn w:val="30"/>
    <w:next w:val="1"/>
    <w:qFormat/>
    <w:uiPriority w:val="39"/>
    <w:pPr>
      <w:ind w:left="1418" w:hanging="1418"/>
    </w:pPr>
  </w:style>
  <w:style w:type="paragraph" w:styleId="41">
    <w:name w:val="HTML Preformatted"/>
    <w:basedOn w:val="1"/>
    <w:link w:val="130"/>
    <w:qFormat/>
    <w:uiPriority w:val="0"/>
    <w:rPr>
      <w:rFonts w:ascii="Courier New" w:hAnsi="Courier New" w:eastAsia="MS Mincho"/>
    </w:rPr>
  </w:style>
  <w:style w:type="paragraph" w:styleId="42">
    <w:name w:val="index 1"/>
    <w:basedOn w:val="1"/>
    <w:next w:val="1"/>
    <w:qFormat/>
    <w:uiPriority w:val="99"/>
    <w:pPr>
      <w:keepLines/>
    </w:pPr>
  </w:style>
  <w:style w:type="paragraph" w:styleId="43">
    <w:name w:val="index 2"/>
    <w:basedOn w:val="42"/>
    <w:next w:val="1"/>
    <w:qFormat/>
    <w:uiPriority w:val="99"/>
    <w:pPr>
      <w:ind w:left="284"/>
    </w:pPr>
  </w:style>
  <w:style w:type="table" w:styleId="45">
    <w:name w:val="Table Grid"/>
    <w:basedOn w:val="44"/>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TML Typewriter"/>
    <w:qFormat/>
    <w:uiPriority w:val="0"/>
    <w:rPr>
      <w:rFonts w:ascii="Courier New" w:hAnsi="Courier New" w:eastAsia="Times New Roman" w:cs="Courier New"/>
      <w:sz w:val="20"/>
      <w:szCs w:val="20"/>
    </w:rPr>
  </w:style>
  <w:style w:type="character" w:styleId="51">
    <w:name w:val="Hyperlink"/>
    <w:basedOn w:val="46"/>
    <w:qFormat/>
    <w:uiPriority w:val="0"/>
    <w:rPr>
      <w:color w:val="0000FF"/>
      <w:u w:val="single"/>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6 Char"/>
    <w:link w:val="8"/>
    <w:qFormat/>
    <w:uiPriority w:val="0"/>
    <w:rPr>
      <w:rFonts w:ascii="Arial" w:hAnsi="Arial" w:eastAsia="Times New Roman"/>
      <w:lang w:val="en-GB" w:eastAsia="ja-JP"/>
    </w:rPr>
  </w:style>
  <w:style w:type="character" w:customStyle="1" w:styleId="58">
    <w:name w:val="Heading 6 Char"/>
    <w:link w:val="7"/>
    <w:qFormat/>
    <w:uiPriority w:val="0"/>
    <w:rPr>
      <w:rFonts w:ascii="Arial" w:hAnsi="Arial" w:eastAsia="Times New Roman"/>
      <w:lang w:eastAsia="en-US"/>
    </w:rPr>
  </w:style>
  <w:style w:type="character" w:customStyle="1" w:styleId="59">
    <w:name w:val="Heading 7 Char"/>
    <w:link w:val="9"/>
    <w:qFormat/>
    <w:uiPriority w:val="0"/>
    <w:rPr>
      <w:rFonts w:ascii="Arial" w:hAnsi="Arial" w:eastAsia="Times New Roman"/>
      <w:lang w:eastAsia="en-US"/>
    </w:rPr>
  </w:style>
  <w:style w:type="character" w:customStyle="1" w:styleId="60">
    <w:name w:val="Heading 8 Char"/>
    <w:link w:val="10"/>
    <w:qFormat/>
    <w:uiPriority w:val="0"/>
    <w:rPr>
      <w:rFonts w:ascii="Arial" w:hAnsi="Arial" w:eastAsia="Times New Roman"/>
      <w:sz w:val="36"/>
      <w:lang w:val="en-GB" w:eastAsia="ja-JP"/>
    </w:rPr>
  </w:style>
  <w:style w:type="character" w:customStyle="1" w:styleId="61">
    <w:name w:val="Heading 9 Char"/>
    <w:link w:val="11"/>
    <w:qFormat/>
    <w:uiPriority w:val="0"/>
    <w:rPr>
      <w:rFonts w:ascii="Arial" w:hAnsi="Arial" w:eastAsia="Times New Roman"/>
      <w:sz w:val="36"/>
      <w:lang w:val="en-GB" w:eastAsia="ja-JP"/>
    </w:rPr>
  </w:style>
  <w:style w:type="paragraph" w:customStyle="1" w:styleId="62">
    <w:name w:val="EQ"/>
    <w:basedOn w:val="1"/>
    <w:next w:val="1"/>
    <w:link w:val="63"/>
    <w:qFormat/>
    <w:uiPriority w:val="0"/>
    <w:pPr>
      <w:keepLines/>
      <w:tabs>
        <w:tab w:val="center" w:pos="4536"/>
        <w:tab w:val="right" w:pos="9072"/>
      </w:tabs>
    </w:pPr>
  </w:style>
  <w:style w:type="character" w:customStyle="1" w:styleId="63">
    <w:name w:val="EQ Char"/>
    <w:link w:val="62"/>
    <w:qFormat/>
    <w:uiPriority w:val="0"/>
    <w:rPr>
      <w:rFonts w:eastAsia="Times New Roman"/>
      <w:color w:val="000000"/>
      <w:lang w:val="en-GB" w:eastAsia="ja-JP"/>
    </w:rPr>
  </w:style>
  <w:style w:type="character" w:customStyle="1" w:styleId="64">
    <w:name w:val="ZGSM"/>
    <w:qFormat/>
    <w:uiPriority w:val="0"/>
  </w:style>
  <w:style w:type="character" w:customStyle="1" w:styleId="65">
    <w:name w:val="Header Char"/>
    <w:link w:val="34"/>
    <w:qFormat/>
    <w:locked/>
    <w:uiPriority w:val="0"/>
    <w:rPr>
      <w:rFonts w:ascii="Arial" w:hAnsi="Arial" w:eastAsia="Times New Roman"/>
      <w:b/>
      <w:sz w:val="18"/>
      <w:lang w:val="en-GB" w:eastAsia="ja-JP"/>
    </w:rPr>
  </w:style>
  <w:style w:type="paragraph" w:customStyle="1" w:styleId="6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7">
    <w:name w:val="Footer Char"/>
    <w:link w:val="33"/>
    <w:qFormat/>
    <w:uiPriority w:val="0"/>
    <w:rPr>
      <w:rFonts w:ascii="Arial" w:hAnsi="Arial" w:eastAsia="Times New Roman"/>
      <w:b/>
      <w:i/>
      <w:sz w:val="18"/>
      <w:lang w:val="en-GB" w:eastAsia="ja-JP"/>
    </w:rPr>
  </w:style>
  <w:style w:type="paragraph" w:customStyle="1" w:styleId="68">
    <w:name w:val="TT"/>
    <w:basedOn w:val="2"/>
    <w:next w:val="1"/>
    <w:qFormat/>
    <w:uiPriority w:val="0"/>
    <w:pPr>
      <w:outlineLvl w:val="9"/>
    </w:p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link w:val="71"/>
    <w:qFormat/>
    <w:uiPriority w:val="0"/>
    <w:pPr>
      <w:keepLines/>
      <w:ind w:left="1135" w:hanging="851"/>
    </w:pPr>
  </w:style>
  <w:style w:type="character" w:customStyle="1" w:styleId="71">
    <w:name w:val="NO Char"/>
    <w:link w:val="70"/>
    <w:qFormat/>
    <w:uiPriority w:val="0"/>
    <w:rPr>
      <w:rFonts w:eastAsia="Times New Roman"/>
      <w:color w:val="000000"/>
      <w:lang w:val="en-GB" w:eastAsia="ja-JP"/>
    </w:rPr>
  </w:style>
  <w:style w:type="paragraph" w:customStyle="1" w:styleId="72">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3">
    <w:name w:val="PL Char"/>
    <w:link w:val="72"/>
    <w:qFormat/>
    <w:uiPriority w:val="0"/>
    <w:rPr>
      <w:rFonts w:ascii="Courier New" w:hAnsi="Courier New" w:eastAsia="Times New Roman"/>
      <w:sz w:val="16"/>
      <w:lang w:val="en-GB" w:eastAsia="ja-JP"/>
    </w:rPr>
  </w:style>
  <w:style w:type="paragraph" w:customStyle="1" w:styleId="74">
    <w:name w:val="TAR"/>
    <w:basedOn w:val="75"/>
    <w:qFormat/>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eastAsia="Times New Roman"/>
      <w:color w:val="000000"/>
      <w:sz w:val="18"/>
      <w:lang w:val="en-GB" w:eastAsia="ja-JP"/>
    </w:rPr>
  </w:style>
  <w:style w:type="paragraph" w:customStyle="1" w:styleId="77">
    <w:name w:val="TAH"/>
    <w:basedOn w:val="78"/>
    <w:link w:val="80"/>
    <w:qFormat/>
    <w:uiPriority w:val="0"/>
    <w:rPr>
      <w:b/>
    </w:rPr>
  </w:style>
  <w:style w:type="paragraph" w:customStyle="1" w:styleId="78">
    <w:name w:val="TAC"/>
    <w:basedOn w:val="75"/>
    <w:link w:val="79"/>
    <w:qFormat/>
    <w:uiPriority w:val="0"/>
    <w:pPr>
      <w:jc w:val="center"/>
    </w:pPr>
  </w:style>
  <w:style w:type="character" w:customStyle="1" w:styleId="79">
    <w:name w:val="TAC Char"/>
    <w:link w:val="78"/>
    <w:qFormat/>
    <w:uiPriority w:val="0"/>
    <w:rPr>
      <w:rFonts w:ascii="Arial" w:hAnsi="Arial" w:eastAsia="Times New Roman"/>
      <w:color w:val="000000"/>
      <w:sz w:val="18"/>
      <w:lang w:val="en-GB" w:eastAsia="ja-JP"/>
    </w:rPr>
  </w:style>
  <w:style w:type="character" w:customStyle="1" w:styleId="80">
    <w:name w:val="TAH Car"/>
    <w:link w:val="77"/>
    <w:qFormat/>
    <w:uiPriority w:val="0"/>
    <w:rPr>
      <w:rFonts w:ascii="Arial" w:hAnsi="Arial" w:eastAsia="Times New Roman"/>
      <w:b/>
      <w:color w:val="000000"/>
      <w:sz w:val="18"/>
      <w:lang w:val="en-GB" w:eastAsia="ja-JP"/>
    </w:r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2">
    <w:name w:val="EX"/>
    <w:basedOn w:val="1"/>
    <w:link w:val="83"/>
    <w:qFormat/>
    <w:uiPriority w:val="0"/>
    <w:pPr>
      <w:keepLines/>
      <w:ind w:left="1702" w:hanging="1418"/>
    </w:pPr>
  </w:style>
  <w:style w:type="character" w:customStyle="1" w:styleId="83">
    <w:name w:val="EX Char"/>
    <w:link w:val="82"/>
    <w:qFormat/>
    <w:uiPriority w:val="0"/>
    <w:rPr>
      <w:rFonts w:eastAsia="Times New Roman"/>
      <w:color w:val="000000"/>
      <w:lang w:val="en-GB" w:eastAsia="ja-JP"/>
    </w:rPr>
  </w:style>
  <w:style w:type="paragraph" w:customStyle="1" w:styleId="84">
    <w:name w:val="FP"/>
    <w:basedOn w:val="1"/>
    <w:qFormat/>
    <w:uiPriority w:val="0"/>
    <w:pPr>
      <w:spacing w:after="0"/>
    </w:pPr>
  </w:style>
  <w:style w:type="paragraph" w:customStyle="1" w:styleId="85">
    <w:name w:val="NW"/>
    <w:basedOn w:val="70"/>
    <w:qFormat/>
    <w:uiPriority w:val="0"/>
    <w:pPr>
      <w:spacing w:after="0"/>
    </w:pPr>
  </w:style>
  <w:style w:type="paragraph" w:customStyle="1" w:styleId="86">
    <w:name w:val="EW"/>
    <w:basedOn w:val="82"/>
    <w:link w:val="135"/>
    <w:qFormat/>
    <w:uiPriority w:val="0"/>
    <w:pPr>
      <w:spacing w:after="0"/>
    </w:pPr>
  </w:style>
  <w:style w:type="paragraph" w:customStyle="1" w:styleId="87">
    <w:name w:val="B1"/>
    <w:basedOn w:val="14"/>
    <w:link w:val="88"/>
    <w:qFormat/>
    <w:uiPriority w:val="0"/>
  </w:style>
  <w:style w:type="character" w:customStyle="1" w:styleId="88">
    <w:name w:val="B1 Char"/>
    <w:link w:val="87"/>
    <w:qFormat/>
    <w:uiPriority w:val="0"/>
    <w:rPr>
      <w:rFonts w:eastAsia="Times New Roman"/>
      <w:color w:val="000000"/>
      <w:lang w:val="en-GB" w:eastAsia="ja-JP"/>
    </w:rPr>
  </w:style>
  <w:style w:type="paragraph" w:customStyle="1" w:styleId="89">
    <w:name w:val="Editor's Note"/>
    <w:basedOn w:val="70"/>
    <w:link w:val="90"/>
    <w:qFormat/>
    <w:uiPriority w:val="0"/>
    <w:rPr>
      <w:color w:val="FF0000"/>
    </w:rPr>
  </w:style>
  <w:style w:type="character" w:customStyle="1" w:styleId="90">
    <w:name w:val="Editor's Note Car Car"/>
    <w:link w:val="89"/>
    <w:qFormat/>
    <w:uiPriority w:val="0"/>
    <w:rPr>
      <w:rFonts w:eastAsia="Times New Roman"/>
      <w:color w:val="FF0000"/>
      <w:lang w:val="en-GB" w:eastAsia="ja-JP"/>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color w:val="000000"/>
      <w:lang w:val="en-GB" w:eastAsia="ja-JP"/>
    </w:rPr>
  </w:style>
  <w:style w:type="paragraph" w:customStyle="1" w:styleId="93">
    <w:name w:val="ZA"/>
    <w:link w:val="94"/>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4">
    <w:name w:val="ZA Char"/>
    <w:basedOn w:val="46"/>
    <w:link w:val="93"/>
    <w:qFormat/>
    <w:uiPriority w:val="0"/>
    <w:rPr>
      <w:rFonts w:ascii="Arial" w:hAnsi="Arial" w:eastAsia="Times New Roman"/>
      <w:sz w:val="40"/>
      <w:lang w:val="en-GB" w:eastAsia="ja-JP"/>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8">
    <w:name w:val="TAN"/>
    <w:basedOn w:val="75"/>
    <w:link w:val="99"/>
    <w:qFormat/>
    <w:uiPriority w:val="0"/>
    <w:pPr>
      <w:ind w:left="851" w:hanging="851"/>
    </w:pPr>
  </w:style>
  <w:style w:type="character" w:customStyle="1" w:styleId="99">
    <w:name w:val="TAN Char"/>
    <w:link w:val="98"/>
    <w:qFormat/>
    <w:uiPriority w:val="0"/>
    <w:rPr>
      <w:rFonts w:ascii="Arial" w:hAnsi="Arial" w:eastAsia="Times New Roman"/>
      <w:color w:val="000000"/>
      <w:sz w:val="18"/>
      <w:lang w:val="en-GB" w:eastAsia="ja-JP"/>
    </w:r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1">
    <w:name w:val="TF"/>
    <w:basedOn w:val="91"/>
    <w:link w:val="102"/>
    <w:qFormat/>
    <w:uiPriority w:val="0"/>
    <w:pPr>
      <w:keepNext w:val="0"/>
      <w:spacing w:before="0" w:after="240"/>
    </w:pPr>
  </w:style>
  <w:style w:type="character" w:customStyle="1" w:styleId="102">
    <w:name w:val="TF Char"/>
    <w:link w:val="101"/>
    <w:qFormat/>
    <w:uiPriority w:val="0"/>
    <w:rPr>
      <w:rFonts w:ascii="Arial" w:hAnsi="Arial" w:eastAsia="Times New Roman"/>
      <w:b/>
      <w:color w:val="000000"/>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style>
  <w:style w:type="character" w:customStyle="1" w:styleId="105">
    <w:name w:val="B2 Char"/>
    <w:link w:val="104"/>
    <w:qFormat/>
    <w:uiPriority w:val="0"/>
    <w:rPr>
      <w:rFonts w:eastAsia="Times New Roman"/>
      <w:color w:val="000000"/>
      <w:lang w:val="en-GB" w:eastAsia="ja-JP"/>
    </w:rPr>
  </w:style>
  <w:style w:type="paragraph" w:customStyle="1" w:styleId="106">
    <w:name w:val="B3"/>
    <w:basedOn w:val="12"/>
    <w:link w:val="107"/>
    <w:qFormat/>
    <w:uiPriority w:val="0"/>
  </w:style>
  <w:style w:type="character" w:customStyle="1" w:styleId="107">
    <w:name w:val="B3 Char2"/>
    <w:link w:val="106"/>
    <w:qFormat/>
    <w:uiPriority w:val="0"/>
    <w:rPr>
      <w:rFonts w:eastAsia="Times New Roman"/>
      <w:color w:val="000000"/>
      <w:lang w:val="en-GB" w:eastAsia="ja-JP"/>
    </w:rPr>
  </w:style>
  <w:style w:type="paragraph" w:customStyle="1" w:styleId="108">
    <w:name w:val="B4"/>
    <w:basedOn w:val="38"/>
    <w:link w:val="109"/>
    <w:qFormat/>
    <w:uiPriority w:val="0"/>
  </w:style>
  <w:style w:type="character" w:customStyle="1" w:styleId="109">
    <w:name w:val="B4 Char"/>
    <w:link w:val="108"/>
    <w:qFormat/>
    <w:uiPriority w:val="0"/>
    <w:rPr>
      <w:rFonts w:eastAsia="Times New Roman"/>
      <w:color w:val="000000"/>
      <w:lang w:val="en-GB" w:eastAsia="ja-JP"/>
    </w:rPr>
  </w:style>
  <w:style w:type="paragraph" w:customStyle="1" w:styleId="110">
    <w:name w:val="B5"/>
    <w:basedOn w:val="37"/>
    <w:link w:val="111"/>
    <w:qFormat/>
    <w:uiPriority w:val="0"/>
  </w:style>
  <w:style w:type="character" w:customStyle="1" w:styleId="111">
    <w:name w:val="B5 Char"/>
    <w:link w:val="110"/>
    <w:qFormat/>
    <w:uiPriority w:val="0"/>
    <w:rPr>
      <w:rFonts w:eastAsia="Times New Roman"/>
      <w:color w:val="000000"/>
      <w:lang w:val="en-GB" w:eastAsia="ja-JP"/>
    </w:rPr>
  </w:style>
  <w:style w:type="paragraph" w:customStyle="1" w:styleId="112">
    <w:name w:val="ZTD"/>
    <w:basedOn w:val="95"/>
    <w:qFormat/>
    <w:uiPriority w:val="0"/>
    <w:pPr>
      <w:framePr w:hRule="auto" w:y="852"/>
    </w:pPr>
    <w:rPr>
      <w:i w:val="0"/>
      <w:sz w:val="40"/>
    </w:rPr>
  </w:style>
  <w:style w:type="paragraph" w:customStyle="1" w:styleId="113">
    <w:name w:val="ZV"/>
    <w:basedOn w:val="97"/>
    <w:qFormat/>
    <w:uiPriority w:val="0"/>
    <w:pPr>
      <w:framePr w:y="16161"/>
    </w:pPr>
  </w:style>
  <w:style w:type="paragraph" w:customStyle="1" w:styleId="114">
    <w:name w:val="Guidance"/>
    <w:basedOn w:val="1"/>
    <w:link w:val="115"/>
    <w:qFormat/>
    <w:uiPriority w:val="0"/>
    <w:pPr>
      <w:overflowPunct/>
      <w:autoSpaceDE/>
      <w:autoSpaceDN/>
      <w:adjustRightInd/>
      <w:textAlignment w:val="auto"/>
    </w:pPr>
    <w:rPr>
      <w:i/>
      <w:color w:val="0000FF"/>
    </w:rPr>
  </w:style>
  <w:style w:type="character" w:customStyle="1" w:styleId="115">
    <w:name w:val="Guidance Char"/>
    <w:link w:val="114"/>
    <w:qFormat/>
    <w:uiPriority w:val="0"/>
    <w:rPr>
      <w:rFonts w:eastAsia="Times New Roman"/>
      <w:i/>
      <w:color w:val="0000FF"/>
      <w:lang w:val="en-GB" w:eastAsia="en-US"/>
    </w:rPr>
  </w:style>
  <w:style w:type="character" w:customStyle="1" w:styleId="116">
    <w:name w:val="Document Map Char"/>
    <w:link w:val="25"/>
    <w:qFormat/>
    <w:uiPriority w:val="99"/>
    <w:rPr>
      <w:rFonts w:ascii="宋体" w:eastAsia="宋体"/>
      <w:sz w:val="18"/>
      <w:szCs w:val="18"/>
      <w:lang w:val="en-GB" w:eastAsia="en-US"/>
    </w:rPr>
  </w:style>
  <w:style w:type="character" w:customStyle="1" w:styleId="117">
    <w:name w:val="Balloon Text Char"/>
    <w:link w:val="32"/>
    <w:qFormat/>
    <w:uiPriority w:val="99"/>
    <w:rPr>
      <w:rFonts w:ascii="Tahoma" w:hAnsi="Tahoma" w:cs="Tahoma"/>
      <w:sz w:val="16"/>
      <w:szCs w:val="16"/>
      <w:lang w:val="en-GB" w:eastAsia="en-US"/>
    </w:rPr>
  </w:style>
  <w:style w:type="paragraph" w:customStyle="1" w:styleId="118">
    <w:name w:val="Revision"/>
    <w:hidden/>
    <w:semiHidden/>
    <w:qFormat/>
    <w:uiPriority w:val="99"/>
    <w:rPr>
      <w:rFonts w:ascii="Times New Roman" w:hAnsi="Times New Roman" w:eastAsia="宋体" w:cs="Times New Roman"/>
      <w:lang w:val="en-GB" w:eastAsia="en-US" w:bidi="ar-SA"/>
    </w:rPr>
  </w:style>
  <w:style w:type="paragraph" w:styleId="119">
    <w:name w:val="List Paragraph"/>
    <w:basedOn w:val="1"/>
    <w:link w:val="120"/>
    <w:qFormat/>
    <w:uiPriority w:val="34"/>
    <w:pPr>
      <w:ind w:firstLine="420" w:firstLineChars="200"/>
    </w:pPr>
  </w:style>
  <w:style w:type="character" w:customStyle="1" w:styleId="120">
    <w:name w:val="List Paragraph Char"/>
    <w:link w:val="119"/>
    <w:qFormat/>
    <w:locked/>
    <w:uiPriority w:val="34"/>
    <w:rPr>
      <w:rFonts w:eastAsia="Times New Roman"/>
      <w:lang w:val="en-GB" w:eastAsia="en-US"/>
    </w:rPr>
  </w:style>
  <w:style w:type="character" w:customStyle="1" w:styleId="121">
    <w:name w:val="Intense Emphasis"/>
    <w:qFormat/>
    <w:uiPriority w:val="21"/>
    <w:rPr>
      <w:b/>
      <w:bCs/>
      <w:i/>
      <w:iCs/>
      <w:color w:val="4F81BD"/>
    </w:rPr>
  </w:style>
  <w:style w:type="character" w:customStyle="1" w:styleId="122">
    <w:name w:val="Plain Text Char"/>
    <w:link w:val="27"/>
    <w:qFormat/>
    <w:uiPriority w:val="99"/>
    <w:rPr>
      <w:rFonts w:ascii="Courier New" w:hAnsi="Courier New" w:eastAsia="Times New Roman"/>
      <w:lang w:val="nb-NO" w:eastAsia="en-US"/>
    </w:rPr>
  </w:style>
  <w:style w:type="paragraph" w:customStyle="1" w:styleId="12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24">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25">
    <w:name w:val="수정"/>
    <w:hidden/>
    <w:semiHidden/>
    <w:qFormat/>
    <w:uiPriority w:val="99"/>
    <w:rPr>
      <w:rFonts w:ascii="Times New Roman" w:hAnsi="Times New Roman" w:eastAsia="Batang" w:cs="Times New Roman"/>
      <w:lang w:val="en-GB" w:eastAsia="en-US" w:bidi="ar-SA"/>
    </w:rPr>
  </w:style>
  <w:style w:type="paragraph" w:customStyle="1" w:styleId="126">
    <w:name w:val="修订1"/>
    <w:hidden/>
    <w:semiHidden/>
    <w:qFormat/>
    <w:uiPriority w:val="99"/>
    <w:rPr>
      <w:rFonts w:ascii="Times New Roman" w:hAnsi="Times New Roman" w:eastAsia="Batang" w:cs="Times New Roman"/>
      <w:lang w:val="en-GB" w:eastAsia="en-US" w:bidi="ar-SA"/>
    </w:rPr>
  </w:style>
  <w:style w:type="character" w:customStyle="1" w:styleId="127">
    <w:name w:val="Endnote Text Char"/>
    <w:basedOn w:val="46"/>
    <w:link w:val="31"/>
    <w:qFormat/>
    <w:uiPriority w:val="99"/>
    <w:rPr>
      <w:rFonts w:eastAsia="Times New Roman"/>
    </w:rPr>
  </w:style>
  <w:style w:type="paragraph" w:customStyle="1" w:styleId="128">
    <w:name w:val="変更箇所"/>
    <w:hidden/>
    <w:semiHidden/>
    <w:qFormat/>
    <w:uiPriority w:val="99"/>
    <w:rPr>
      <w:rFonts w:ascii="Times New Roman" w:hAnsi="Times New Roman" w:eastAsia="MS Mincho" w:cs="Times New Roman"/>
      <w:lang w:val="en-GB" w:eastAsia="en-US" w:bidi="ar-SA"/>
    </w:rPr>
  </w:style>
  <w:style w:type="character" w:customStyle="1" w:styleId="129">
    <w:name w:val="Note Heading Char"/>
    <w:basedOn w:val="46"/>
    <w:link w:val="22"/>
    <w:qFormat/>
    <w:uiPriority w:val="99"/>
    <w:rPr>
      <w:rFonts w:eastAsia="MS Mincho"/>
    </w:rPr>
  </w:style>
  <w:style w:type="character" w:customStyle="1" w:styleId="130">
    <w:name w:val="HTML Preformatted Char"/>
    <w:basedOn w:val="46"/>
    <w:link w:val="41"/>
    <w:qFormat/>
    <w:uiPriority w:val="0"/>
    <w:rPr>
      <w:rFonts w:ascii="Courier New" w:hAnsi="Courier New" w:eastAsia="MS Mincho"/>
    </w:rPr>
  </w:style>
  <w:style w:type="paragraph" w:customStyle="1" w:styleId="131">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132">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character" w:styleId="133">
    <w:name w:val="Placeholder Text"/>
    <w:basedOn w:val="46"/>
    <w:semiHidden/>
    <w:qFormat/>
    <w:uiPriority w:val="99"/>
    <w:rPr>
      <w:color w:val="808080"/>
    </w:rPr>
  </w:style>
  <w:style w:type="paragraph" w:customStyle="1" w:styleId="13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5">
    <w:name w:val="EW Char"/>
    <w:basedOn w:val="83"/>
    <w:link w:val="86"/>
    <w:qFormat/>
    <w:uiPriority w:val="0"/>
    <w:rPr>
      <w:rFonts w:eastAsia="Times New Roman"/>
      <w:color w:val="000000"/>
      <w:lang w:val="en-GB" w:eastAsia="ja-JP"/>
    </w:rPr>
  </w:style>
  <w:style w:type="paragraph" w:customStyle="1" w:styleId="136">
    <w:name w:val="CR Cover Page"/>
    <w:link w:val="137"/>
    <w:qFormat/>
    <w:uiPriority w:val="0"/>
    <w:pPr>
      <w:spacing w:after="120"/>
    </w:pPr>
    <w:rPr>
      <w:rFonts w:ascii="Arial" w:hAnsi="Arial" w:eastAsia="Malgun Gothic" w:cs="Times New Roman"/>
      <w:lang w:val="en-GB" w:eastAsia="en-US" w:bidi="ar-SA"/>
    </w:rPr>
  </w:style>
  <w:style w:type="character" w:customStyle="1" w:styleId="137">
    <w:name w:val="CR Cover Page Char"/>
    <w:link w:val="136"/>
    <w:qFormat/>
    <w:uiPriority w:val="0"/>
    <w:rPr>
      <w:rFonts w:ascii="Arial" w:hAnsi="Arial" w:eastAsia="Malgun Gothic"/>
      <w:lang w:val="en-GB" w:eastAsia="en-US"/>
    </w:rPr>
  </w:style>
  <w:style w:type="character" w:customStyle="1" w:styleId="138">
    <w:name w:val="TAL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032FA-BD25-4DF1-8B9F-8944DE96ADAC}">
  <ds:schemaRefs/>
</ds:datastoreItem>
</file>

<file path=docProps/app.xml><?xml version="1.0" encoding="utf-8"?>
<Properties xmlns="http://schemas.openxmlformats.org/officeDocument/2006/extended-properties" xmlns:vt="http://schemas.openxmlformats.org/officeDocument/2006/docPropsVTypes">
  <Template>3gpp_70.dot</Template>
  <Pages>3</Pages>
  <Words>134051</Words>
  <Characters>764096</Characters>
  <Lines>6367</Lines>
  <Paragraphs>1792</Paragraphs>
  <TotalTime>1</TotalTime>
  <ScaleCrop>false</ScaleCrop>
  <LinksUpToDate>false</LinksUpToDate>
  <CharactersWithSpaces>896355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2021-09-30T17:00:00Z</dcterms:created>
  <dc:creator>MCC Support</dc:creator>
  <cp:lastModifiedBy>ZTE,Fei Xue</cp:lastModifiedBy>
  <cp:lastPrinted>2016-09-07T13:03:00Z</cp:lastPrinted>
  <dcterms:modified xsi:type="dcterms:W3CDTF">2021-11-11T09:26:12Z</dcterms:modified>
  <dc:subject>Active Antenna System (AAS) Base Station (BS) conformance testing; Part 2: radiated conformance testing (Release 15)</dc:subject>
  <dc:title>3GPP TS 37.145-2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2052-11.8.2.8875</vt:lpwstr>
  </property>
</Properties>
</file>