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722E181"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E40F6A">
        <w:rPr>
          <w:b/>
          <w:noProof/>
          <w:sz w:val="24"/>
        </w:rPr>
        <w:t>1</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8C2FE2">
        <w:rPr>
          <w:b/>
          <w:noProof/>
          <w:sz w:val="24"/>
        </w:rPr>
        <w:t>9420</w:t>
      </w:r>
    </w:p>
    <w:p w14:paraId="5379D604" w14:textId="29F9B025"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E40F6A">
        <w:rPr>
          <w:rFonts w:ascii="Arial" w:hAnsi="Arial" w:cs="Arial"/>
          <w:b/>
          <w:sz w:val="24"/>
        </w:rPr>
        <w:t>Nov.</w:t>
      </w:r>
      <w:r w:rsidR="008F67FD">
        <w:rPr>
          <w:rFonts w:ascii="Arial" w:hAnsi="Arial" w:cs="Arial"/>
          <w:b/>
          <w:sz w:val="24"/>
        </w:rPr>
        <w:t xml:space="preserve"> 202</w:t>
      </w:r>
      <w:r w:rsidR="00AD2220">
        <w:rPr>
          <w:rFonts w:ascii="Arial" w:hAnsi="Arial" w:cs="Arial"/>
          <w:b/>
          <w:sz w:val="24"/>
        </w:rPr>
        <w:t>1</w:t>
      </w:r>
    </w:p>
    <w:p w14:paraId="04143185" w14:textId="31DDDF44" w:rsidR="001512D7" w:rsidRPr="0010618D" w:rsidRDefault="001512D7" w:rsidP="00DC5180">
      <w:pPr>
        <w:spacing w:after="60"/>
        <w:ind w:left="1985" w:hanging="1985"/>
        <w:rPr>
          <w:rFonts w:ascii="Arial" w:hAnsi="Arial" w:cs="Arial"/>
          <w:bCs/>
        </w:rPr>
      </w:pPr>
    </w:p>
    <w:p w14:paraId="15BC7B88" w14:textId="4FF6A6A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85792221"/>
      <w:r w:rsidR="00AE693A">
        <w:rPr>
          <w:rFonts w:ascii="Arial" w:hAnsi="Arial" w:cs="Arial"/>
          <w:b/>
        </w:rPr>
        <w:t>On</w:t>
      </w:r>
      <w:r w:rsidR="00F8080A" w:rsidRPr="00F8080A">
        <w:rPr>
          <w:rFonts w:ascii="Arial" w:hAnsi="Arial" w:cs="Arial"/>
          <w:b/>
        </w:rPr>
        <w:t xml:space="preserve"> FR2 </w:t>
      </w:r>
      <w:r w:rsidR="00DC66DD">
        <w:rPr>
          <w:rFonts w:ascii="Arial" w:hAnsi="Arial" w:cs="Arial"/>
          <w:b/>
        </w:rPr>
        <w:t xml:space="preserve">requirement applicability over ETC </w:t>
      </w:r>
      <w:bookmarkEnd w:id="2"/>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6DC17F0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24B33">
        <w:rPr>
          <w:rFonts w:ascii="Arial" w:hAnsi="Arial" w:cs="Arial"/>
          <w:b/>
        </w:rPr>
        <w:t>1</w:t>
      </w:r>
      <w:r w:rsidR="00E40F6A">
        <w:rPr>
          <w:rFonts w:ascii="Arial" w:hAnsi="Arial" w:cs="Arial"/>
          <w:b/>
        </w:rPr>
        <w:t>1.</w:t>
      </w:r>
      <w:r w:rsidR="00024B33">
        <w:rPr>
          <w:rFonts w:ascii="Arial" w:hAnsi="Arial" w:cs="Arial"/>
          <w:b/>
        </w:rPr>
        <w:t>2.</w:t>
      </w:r>
      <w:r w:rsidR="00AE693A">
        <w:rPr>
          <w:rFonts w:ascii="Arial" w:hAnsi="Arial" w:cs="Arial"/>
          <w:b/>
        </w:rPr>
        <w:t>2</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37763356" w:rsidR="0045428D" w:rsidRDefault="000A567D" w:rsidP="002A1C01">
      <w:pPr>
        <w:pStyle w:val="Heading1"/>
      </w:pPr>
      <w:r>
        <w:t>1.</w:t>
      </w:r>
      <w:r>
        <w:tab/>
      </w:r>
      <w:r w:rsidR="002A1C01">
        <w:t>Introduction</w:t>
      </w:r>
    </w:p>
    <w:p w14:paraId="6F64D7D3" w14:textId="7C34D15C" w:rsidR="002B2323" w:rsidRPr="002E2724" w:rsidRDefault="00D202C9" w:rsidP="002B2323">
      <w:pPr>
        <w:rPr>
          <w:rFonts w:ascii="Calibri" w:hAnsi="Calibri" w:cs="Calibri"/>
        </w:rPr>
      </w:pPr>
      <w:r>
        <w:rPr>
          <w:rFonts w:ascii="Calibri" w:hAnsi="Calibri" w:cs="Calibri"/>
        </w:rPr>
        <w:t xml:space="preserve">We discuss </w:t>
      </w:r>
      <w:r w:rsidR="001A5601">
        <w:rPr>
          <w:rFonts w:ascii="Calibri" w:hAnsi="Calibri" w:cs="Calibri"/>
        </w:rPr>
        <w:t xml:space="preserve">ETC applicability of core requirements to </w:t>
      </w:r>
      <w:r>
        <w:rPr>
          <w:rFonts w:ascii="Calibri" w:hAnsi="Calibri" w:cs="Calibri"/>
        </w:rPr>
        <w:t xml:space="preserve">FR2 UE </w:t>
      </w:r>
      <w:r w:rsidR="001A5601">
        <w:rPr>
          <w:rFonts w:ascii="Calibri" w:hAnsi="Calibri" w:cs="Calibri"/>
        </w:rPr>
        <w:t xml:space="preserve">per </w:t>
      </w:r>
      <w:r w:rsidR="00B247DC">
        <w:rPr>
          <w:rFonts w:ascii="Calibri" w:hAnsi="Calibri" w:cs="Calibri"/>
        </w:rPr>
        <w:t xml:space="preserve">TS38.101-2 </w:t>
      </w:r>
      <w:r w:rsidR="001A5601">
        <w:rPr>
          <w:rFonts w:ascii="Calibri" w:hAnsi="Calibri" w:cs="Calibri"/>
        </w:rPr>
        <w:t>V15.14</w:t>
      </w:r>
      <w:r w:rsidR="004B7658">
        <w:rPr>
          <w:rFonts w:ascii="Calibri" w:hAnsi="Calibri" w:cs="Calibri"/>
        </w:rPr>
        <w:t xml:space="preserve"> towards responding to the LS from RAN5 on the same subject [1].</w:t>
      </w:r>
    </w:p>
    <w:p w14:paraId="0AB8A81A" w14:textId="57C4ED7A" w:rsidR="004E0CD1" w:rsidRDefault="000A567D" w:rsidP="004E0CD1">
      <w:pPr>
        <w:pStyle w:val="Heading1"/>
      </w:pPr>
      <w:r>
        <w:t xml:space="preserve">2. </w:t>
      </w:r>
      <w:r>
        <w:tab/>
      </w:r>
      <w:r w:rsidR="002A1C01">
        <w:t>Discussion</w:t>
      </w:r>
    </w:p>
    <w:p w14:paraId="5993E405" w14:textId="078A884E" w:rsidR="006A5D79" w:rsidRDefault="006A5D79" w:rsidP="00FC72AF">
      <w:pPr>
        <w:spacing w:after="120"/>
        <w:rPr>
          <w:rFonts w:asciiTheme="minorHAnsi" w:hAnsiTheme="minorHAnsi" w:cstheme="minorHAnsi"/>
        </w:rPr>
      </w:pPr>
      <w:bookmarkStart w:id="3" w:name="_Hlk78640772"/>
      <w:r>
        <w:rPr>
          <w:rFonts w:asciiTheme="minorHAnsi" w:hAnsiTheme="minorHAnsi" w:cstheme="minorHAnsi"/>
        </w:rPr>
        <w:t>The LS from RAN5 on ETC [1] contains a list of core requirements that are applicable only over NTC</w:t>
      </w:r>
      <w:r w:rsidR="005A2A8F">
        <w:rPr>
          <w:rFonts w:asciiTheme="minorHAnsi" w:hAnsiTheme="minorHAnsi" w:cstheme="minorHAnsi"/>
        </w:rPr>
        <w:t xml:space="preserve">, as </w:t>
      </w:r>
      <w:r w:rsidR="00436908">
        <w:rPr>
          <w:rFonts w:asciiTheme="minorHAnsi" w:hAnsiTheme="minorHAnsi" w:cstheme="minorHAnsi"/>
        </w:rPr>
        <w:t>RAN5 understands it</w:t>
      </w:r>
      <w:r>
        <w:rPr>
          <w:rFonts w:asciiTheme="minorHAnsi" w:hAnsiTheme="minorHAnsi" w:cstheme="minorHAnsi"/>
        </w:rPr>
        <w:t>:</w:t>
      </w:r>
    </w:p>
    <w:p w14:paraId="094616FF" w14:textId="20F66E94" w:rsidR="006A5D79" w:rsidRDefault="005A2A8F" w:rsidP="00FC72AF">
      <w:pPr>
        <w:spacing w:after="120"/>
        <w:rPr>
          <w:rFonts w:asciiTheme="minorHAnsi" w:hAnsiTheme="minorHAnsi" w:cstheme="minorHAnsi"/>
        </w:rPr>
      </w:pPr>
      <w:r>
        <w:rPr>
          <w:noProof/>
        </w:rPr>
        <w:drawing>
          <wp:inline distT="0" distB="0" distL="0" distR="0" wp14:anchorId="6356942D" wp14:editId="2634260B">
            <wp:extent cx="4348667" cy="1245186"/>
            <wp:effectExtent l="152400" t="152400" r="356870" b="3556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3226" cy="1257945"/>
                    </a:xfrm>
                    <a:prstGeom prst="rect">
                      <a:avLst/>
                    </a:prstGeom>
                    <a:ln>
                      <a:noFill/>
                    </a:ln>
                    <a:effectLst>
                      <a:outerShdw blurRad="292100" dist="139700" dir="2700000" algn="tl" rotWithShape="0">
                        <a:srgbClr val="333333">
                          <a:alpha val="65000"/>
                        </a:srgbClr>
                      </a:outerShdw>
                    </a:effectLst>
                  </pic:spPr>
                </pic:pic>
              </a:graphicData>
            </a:graphic>
          </wp:inline>
        </w:drawing>
      </w:r>
    </w:p>
    <w:p w14:paraId="4EBC45FE" w14:textId="3D1AC483" w:rsidR="001A5601" w:rsidRDefault="001F5956" w:rsidP="00FC72AF">
      <w:pPr>
        <w:spacing w:after="120"/>
        <w:rPr>
          <w:rFonts w:asciiTheme="minorHAnsi" w:hAnsiTheme="minorHAnsi" w:cstheme="minorHAnsi"/>
        </w:rPr>
      </w:pPr>
      <w:r>
        <w:rPr>
          <w:rFonts w:asciiTheme="minorHAnsi" w:hAnsiTheme="minorHAnsi" w:cstheme="minorHAnsi"/>
        </w:rPr>
        <w:t>In [2] we highlighted how</w:t>
      </w:r>
      <w:r w:rsidR="00DC602D">
        <w:rPr>
          <w:rFonts w:asciiTheme="minorHAnsi" w:hAnsiTheme="minorHAnsi" w:cstheme="minorHAnsi"/>
        </w:rPr>
        <w:t xml:space="preserve"> t</w:t>
      </w:r>
      <w:r w:rsidR="001A5601">
        <w:rPr>
          <w:rFonts w:asciiTheme="minorHAnsi" w:hAnsiTheme="minorHAnsi" w:cstheme="minorHAnsi"/>
        </w:rPr>
        <w:t xml:space="preserve">he core requirement </w:t>
      </w:r>
      <w:r w:rsidR="006117BD">
        <w:rPr>
          <w:rFonts w:asciiTheme="minorHAnsi" w:hAnsiTheme="minorHAnsi" w:cstheme="minorHAnsi"/>
        </w:rPr>
        <w:t>(TS 38.101-2) co</w:t>
      </w:r>
      <w:r w:rsidR="00B247DC">
        <w:rPr>
          <w:rFonts w:asciiTheme="minorHAnsi" w:hAnsiTheme="minorHAnsi" w:cstheme="minorHAnsi"/>
        </w:rPr>
        <w:t>ntains 2 types of exemptions relat</w:t>
      </w:r>
      <w:r w:rsidR="00D2140A">
        <w:rPr>
          <w:rFonts w:asciiTheme="minorHAnsi" w:hAnsiTheme="minorHAnsi" w:cstheme="minorHAnsi"/>
        </w:rPr>
        <w:t>ed</w:t>
      </w:r>
      <w:r w:rsidR="00B247DC">
        <w:rPr>
          <w:rFonts w:asciiTheme="minorHAnsi" w:hAnsiTheme="minorHAnsi" w:cstheme="minorHAnsi"/>
        </w:rPr>
        <w:t xml:space="preserve"> to ETC </w:t>
      </w:r>
      <w:r w:rsidR="00DC602D">
        <w:rPr>
          <w:rFonts w:asciiTheme="minorHAnsi" w:hAnsiTheme="minorHAnsi" w:cstheme="minorHAnsi"/>
        </w:rPr>
        <w:t>testing</w:t>
      </w:r>
      <w:r w:rsidR="00B247DC">
        <w:rPr>
          <w:rFonts w:asciiTheme="minorHAnsi" w:hAnsiTheme="minorHAnsi" w:cstheme="minorHAnsi"/>
        </w:rPr>
        <w:t>:</w:t>
      </w:r>
    </w:p>
    <w:p w14:paraId="6970566E" w14:textId="49032A4B" w:rsidR="00B247DC" w:rsidRPr="00B247DC" w:rsidRDefault="00B247DC" w:rsidP="00B247DC">
      <w:pPr>
        <w:pStyle w:val="ListParagraph"/>
        <w:numPr>
          <w:ilvl w:val="0"/>
          <w:numId w:val="12"/>
        </w:numPr>
        <w:spacing w:after="0"/>
        <w:contextualSpacing w:val="0"/>
        <w:rPr>
          <w:rFonts w:asciiTheme="minorHAnsi" w:hAnsiTheme="minorHAnsi" w:cstheme="minorHAnsi"/>
          <w:lang w:val="en-US" w:eastAsia="en-US"/>
        </w:rPr>
      </w:pPr>
      <w:r w:rsidRPr="00B247DC">
        <w:rPr>
          <w:rFonts w:asciiTheme="minorHAnsi" w:hAnsiTheme="minorHAnsi" w:cstheme="minorHAnsi"/>
          <w:lang w:eastAsia="en-US"/>
        </w:rPr>
        <w:t>Core requirements applicability limited to NTC</w:t>
      </w:r>
      <w:r w:rsidR="006117BD">
        <w:rPr>
          <w:rFonts w:asciiTheme="minorHAnsi" w:hAnsiTheme="minorHAnsi" w:cstheme="minorHAnsi"/>
          <w:lang w:eastAsia="en-US"/>
        </w:rPr>
        <w:t>, which</w:t>
      </w:r>
      <w:r w:rsidRPr="00B247DC">
        <w:rPr>
          <w:rFonts w:asciiTheme="minorHAnsi" w:hAnsiTheme="minorHAnsi" w:cstheme="minorHAnsi"/>
          <w:lang w:eastAsia="en-US"/>
        </w:rPr>
        <w:t xml:space="preserve"> has wording of the form: (</w:t>
      </w:r>
      <w:r w:rsidR="006A5D79">
        <w:rPr>
          <w:rFonts w:asciiTheme="minorHAnsi" w:hAnsiTheme="minorHAnsi" w:cstheme="minorHAnsi"/>
          <w:lang w:eastAsia="en-US"/>
        </w:rPr>
        <w:t xml:space="preserve">example: </w:t>
      </w:r>
      <w:r w:rsidRPr="00B247DC">
        <w:rPr>
          <w:rFonts w:asciiTheme="minorHAnsi" w:hAnsiTheme="minorHAnsi" w:cstheme="minorHAnsi"/>
          <w:lang w:eastAsia="en-US"/>
        </w:rPr>
        <w:t>6.3.4.1) ‘</w:t>
      </w:r>
      <w:r w:rsidRPr="00B247DC">
        <w:rPr>
          <w:rFonts w:asciiTheme="minorHAnsi" w:hAnsiTheme="minorHAnsi" w:cstheme="minorHAnsi"/>
        </w:rPr>
        <w:t xml:space="preserve">The </w:t>
      </w:r>
      <w:r w:rsidRPr="00AA610D">
        <w:rPr>
          <w:rFonts w:asciiTheme="minorHAnsi" w:hAnsiTheme="minorHAnsi" w:cstheme="minorHAnsi"/>
          <w:highlight w:val="cyan"/>
        </w:rPr>
        <w:t>requirements …. apply</w:t>
      </w:r>
      <w:r w:rsidRPr="00B247DC">
        <w:rPr>
          <w:rFonts w:asciiTheme="minorHAnsi" w:hAnsiTheme="minorHAnsi" w:cstheme="minorHAnsi"/>
        </w:rPr>
        <w:t xml:space="preserve"> under normal conditions' – we take the sentence to mean ‘</w:t>
      </w:r>
      <w:r>
        <w:rPr>
          <w:rFonts w:asciiTheme="minorHAnsi" w:hAnsiTheme="minorHAnsi" w:cstheme="minorHAnsi"/>
        </w:rPr>
        <w:t>under normal conditions</w:t>
      </w:r>
      <w:r w:rsidRPr="00B247DC">
        <w:rPr>
          <w:rFonts w:asciiTheme="minorHAnsi" w:hAnsiTheme="minorHAnsi" w:cstheme="minorHAnsi"/>
        </w:rPr>
        <w:t xml:space="preserve"> </w:t>
      </w:r>
      <w:r w:rsidRPr="00B247DC">
        <w:rPr>
          <w:rFonts w:asciiTheme="minorHAnsi" w:hAnsiTheme="minorHAnsi" w:cstheme="minorHAnsi"/>
          <w:i/>
          <w:iCs/>
        </w:rPr>
        <w:t>only</w:t>
      </w:r>
      <w:r w:rsidRPr="00B247DC">
        <w:rPr>
          <w:rFonts w:asciiTheme="minorHAnsi" w:hAnsiTheme="minorHAnsi" w:cstheme="minorHAnsi"/>
        </w:rPr>
        <w:t>’ although it is not included in the wording.</w:t>
      </w:r>
    </w:p>
    <w:p w14:paraId="15B09C32" w14:textId="364E8B9E" w:rsidR="00B247DC" w:rsidRPr="00B247DC" w:rsidRDefault="00B247DC" w:rsidP="00B247DC">
      <w:pPr>
        <w:pStyle w:val="ListParagraph"/>
        <w:numPr>
          <w:ilvl w:val="0"/>
          <w:numId w:val="12"/>
        </w:numPr>
        <w:spacing w:after="0"/>
        <w:contextualSpacing w:val="0"/>
        <w:rPr>
          <w:rFonts w:asciiTheme="minorHAnsi" w:hAnsiTheme="minorHAnsi" w:cstheme="minorHAnsi"/>
          <w:lang w:eastAsia="en-US"/>
        </w:rPr>
      </w:pPr>
      <w:r w:rsidRPr="00B247DC">
        <w:rPr>
          <w:rFonts w:asciiTheme="minorHAnsi" w:hAnsiTheme="minorHAnsi" w:cstheme="minorHAnsi"/>
        </w:rPr>
        <w:t>Verification testing limitations (directive to RAN5) to NTC</w:t>
      </w:r>
      <w:r w:rsidR="006117BD">
        <w:rPr>
          <w:rFonts w:asciiTheme="minorHAnsi" w:hAnsiTheme="minorHAnsi" w:cstheme="minorHAnsi"/>
        </w:rPr>
        <w:t>, which</w:t>
      </w:r>
      <w:r w:rsidRPr="00B247DC">
        <w:rPr>
          <w:rFonts w:asciiTheme="minorHAnsi" w:hAnsiTheme="minorHAnsi" w:cstheme="minorHAnsi"/>
        </w:rPr>
        <w:t xml:space="preserve"> has wording of the form: (Tables 6.2.1.x-3) ‘The </w:t>
      </w:r>
      <w:r w:rsidRPr="00B247DC">
        <w:rPr>
          <w:rFonts w:asciiTheme="minorHAnsi" w:hAnsiTheme="minorHAnsi" w:cstheme="minorHAnsi"/>
          <w:highlight w:val="yellow"/>
        </w:rPr>
        <w:t>requirements … are verified</w:t>
      </w:r>
      <w:r w:rsidRPr="00B247DC">
        <w:rPr>
          <w:rFonts w:asciiTheme="minorHAnsi" w:hAnsiTheme="minorHAnsi" w:cstheme="minorHAnsi"/>
        </w:rPr>
        <w:t xml:space="preserve"> only under normal temperature conditions’</w:t>
      </w:r>
    </w:p>
    <w:p w14:paraId="537CB94A" w14:textId="4C907013" w:rsidR="008D414D" w:rsidRDefault="008D414D" w:rsidP="00FC72AF">
      <w:pPr>
        <w:spacing w:after="120"/>
        <w:rPr>
          <w:rFonts w:asciiTheme="minorHAnsi" w:hAnsiTheme="minorHAnsi" w:cstheme="minorHAnsi"/>
        </w:rPr>
      </w:pPr>
    </w:p>
    <w:p w14:paraId="3E841912" w14:textId="0B249708" w:rsidR="00110470" w:rsidRDefault="00B247DC" w:rsidP="00800FD7">
      <w:pPr>
        <w:spacing w:after="120"/>
        <w:rPr>
          <w:rFonts w:asciiTheme="minorHAnsi" w:hAnsiTheme="minorHAnsi" w:cstheme="minorHAnsi"/>
        </w:rPr>
      </w:pPr>
      <w:r>
        <w:rPr>
          <w:rFonts w:asciiTheme="minorHAnsi" w:hAnsiTheme="minorHAnsi" w:cstheme="minorHAnsi"/>
        </w:rPr>
        <w:t xml:space="preserve">The second category is </w:t>
      </w:r>
      <w:r w:rsidR="00DC602D">
        <w:rPr>
          <w:rFonts w:asciiTheme="minorHAnsi" w:hAnsiTheme="minorHAnsi" w:cstheme="minorHAnsi"/>
        </w:rPr>
        <w:t>a directive</w:t>
      </w:r>
      <w:r>
        <w:rPr>
          <w:rFonts w:asciiTheme="minorHAnsi" w:hAnsiTheme="minorHAnsi" w:cstheme="minorHAnsi"/>
        </w:rPr>
        <w:t xml:space="preserve"> to </w:t>
      </w:r>
      <w:r w:rsidR="00BB1CF4">
        <w:rPr>
          <w:rFonts w:asciiTheme="minorHAnsi" w:hAnsiTheme="minorHAnsi" w:cstheme="minorHAnsi"/>
        </w:rPr>
        <w:t xml:space="preserve">RAN5 </w:t>
      </w:r>
      <w:r w:rsidR="00663B9A">
        <w:rPr>
          <w:rFonts w:asciiTheme="minorHAnsi" w:hAnsiTheme="minorHAnsi" w:cstheme="minorHAnsi"/>
        </w:rPr>
        <w:t>that</w:t>
      </w:r>
      <w:r>
        <w:rPr>
          <w:rFonts w:asciiTheme="minorHAnsi" w:hAnsiTheme="minorHAnsi" w:cstheme="minorHAnsi"/>
        </w:rPr>
        <w:t xml:space="preserve"> was put in place </w:t>
      </w:r>
      <w:r w:rsidR="00436908">
        <w:rPr>
          <w:rFonts w:asciiTheme="minorHAnsi" w:hAnsiTheme="minorHAnsi" w:cstheme="minorHAnsi"/>
        </w:rPr>
        <w:t xml:space="preserve">primarily </w:t>
      </w:r>
      <w:r w:rsidR="009D0CBE">
        <w:rPr>
          <w:rFonts w:asciiTheme="minorHAnsi" w:hAnsiTheme="minorHAnsi" w:cstheme="minorHAnsi"/>
        </w:rPr>
        <w:t>due to</w:t>
      </w:r>
      <w:r>
        <w:rPr>
          <w:rFonts w:asciiTheme="minorHAnsi" w:hAnsiTheme="minorHAnsi" w:cstheme="minorHAnsi"/>
        </w:rPr>
        <w:t xml:space="preserve"> earlier </w:t>
      </w:r>
      <w:r w:rsidR="009D0CBE">
        <w:rPr>
          <w:rFonts w:asciiTheme="minorHAnsi" w:hAnsiTheme="minorHAnsi" w:cstheme="minorHAnsi"/>
        </w:rPr>
        <w:t>lack of confidence</w:t>
      </w:r>
      <w:r w:rsidR="00110470">
        <w:rPr>
          <w:rFonts w:asciiTheme="minorHAnsi" w:hAnsiTheme="minorHAnsi" w:cstheme="minorHAnsi"/>
        </w:rPr>
        <w:t xml:space="preserve"> in </w:t>
      </w:r>
      <w:r>
        <w:rPr>
          <w:rFonts w:asciiTheme="minorHAnsi" w:hAnsiTheme="minorHAnsi" w:cstheme="minorHAnsi"/>
        </w:rPr>
        <w:t>testability</w:t>
      </w:r>
      <w:r w:rsidR="009D0CBE">
        <w:rPr>
          <w:rFonts w:asciiTheme="minorHAnsi" w:hAnsiTheme="minorHAnsi" w:cstheme="minorHAnsi"/>
        </w:rPr>
        <w:t xml:space="preserve"> </w:t>
      </w:r>
      <w:r w:rsidR="00436908">
        <w:rPr>
          <w:rFonts w:asciiTheme="minorHAnsi" w:hAnsiTheme="minorHAnsi" w:cstheme="minorHAnsi"/>
        </w:rPr>
        <w:t xml:space="preserve">solutions </w:t>
      </w:r>
      <w:r w:rsidR="009D0CBE">
        <w:rPr>
          <w:rFonts w:asciiTheme="minorHAnsi" w:hAnsiTheme="minorHAnsi" w:cstheme="minorHAnsi"/>
        </w:rPr>
        <w:t>over ETC</w:t>
      </w:r>
      <w:r w:rsidR="00110470">
        <w:rPr>
          <w:rFonts w:asciiTheme="minorHAnsi" w:hAnsiTheme="minorHAnsi" w:cstheme="minorHAnsi"/>
        </w:rPr>
        <w:t xml:space="preserve"> </w:t>
      </w:r>
      <w:r w:rsidR="002411A5">
        <w:rPr>
          <w:rFonts w:asciiTheme="minorHAnsi" w:hAnsiTheme="minorHAnsi" w:cstheme="minorHAnsi"/>
        </w:rPr>
        <w:t>for spherical coverage requirements</w:t>
      </w:r>
      <w:r w:rsidR="00434AD5">
        <w:rPr>
          <w:rFonts w:asciiTheme="minorHAnsi" w:hAnsiTheme="minorHAnsi" w:cstheme="minorHAnsi"/>
        </w:rPr>
        <w:t xml:space="preserve">. </w:t>
      </w:r>
      <w:r w:rsidR="00800FD7">
        <w:rPr>
          <w:rFonts w:asciiTheme="minorHAnsi" w:hAnsiTheme="minorHAnsi" w:cstheme="minorHAnsi"/>
        </w:rPr>
        <w:t>We delve into the history of agreements to confirm the following [</w:t>
      </w:r>
      <w:r w:rsidR="00434AD5">
        <w:rPr>
          <w:rFonts w:asciiTheme="minorHAnsi" w:hAnsiTheme="minorHAnsi" w:cstheme="minorHAnsi"/>
        </w:rPr>
        <w:t>3</w:t>
      </w:r>
      <w:r w:rsidR="00800FD7">
        <w:rPr>
          <w:rFonts w:asciiTheme="minorHAnsi" w:hAnsiTheme="minorHAnsi" w:cstheme="minorHAnsi"/>
        </w:rPr>
        <w:t>]:</w:t>
      </w:r>
    </w:p>
    <w:p w14:paraId="6C6458E9" w14:textId="1A43B9C4" w:rsidR="00744B81" w:rsidRPr="002411A5" w:rsidRDefault="00436908" w:rsidP="00FC72AF">
      <w:pPr>
        <w:spacing w:after="120"/>
        <w:rPr>
          <w:rFonts w:asciiTheme="minorHAnsi" w:hAnsiTheme="minorHAnsi" w:cstheme="minorHAnsi"/>
          <w:b/>
          <w:bCs/>
        </w:rPr>
      </w:pPr>
      <w:r w:rsidRPr="002411A5">
        <w:rPr>
          <w:rFonts w:asciiTheme="minorHAnsi" w:hAnsiTheme="minorHAnsi" w:cstheme="minorHAnsi"/>
          <w:b/>
          <w:bCs/>
        </w:rPr>
        <w:t xml:space="preserve">Observation : RAN4 agreed to limit </w:t>
      </w:r>
      <w:r w:rsidRPr="002411A5">
        <w:rPr>
          <w:rFonts w:asciiTheme="minorHAnsi" w:hAnsiTheme="minorHAnsi" w:cstheme="minorHAnsi"/>
          <w:b/>
          <w:bCs/>
          <w:i/>
          <w:iCs/>
        </w:rPr>
        <w:t>verification</w:t>
      </w:r>
      <w:r w:rsidRPr="002411A5">
        <w:rPr>
          <w:rFonts w:asciiTheme="minorHAnsi" w:hAnsiTheme="minorHAnsi" w:cstheme="minorHAnsi"/>
          <w:b/>
          <w:bCs/>
        </w:rPr>
        <w:t xml:space="preserve"> of </w:t>
      </w:r>
      <w:r w:rsidR="002411A5" w:rsidRPr="002411A5">
        <w:rPr>
          <w:rFonts w:asciiTheme="minorHAnsi" w:hAnsiTheme="minorHAnsi" w:cstheme="minorHAnsi"/>
          <w:b/>
          <w:bCs/>
        </w:rPr>
        <w:t>spherical coverage</w:t>
      </w:r>
      <w:r w:rsidRPr="002411A5">
        <w:rPr>
          <w:rFonts w:asciiTheme="minorHAnsi" w:hAnsiTheme="minorHAnsi" w:cstheme="minorHAnsi"/>
          <w:b/>
          <w:bCs/>
        </w:rPr>
        <w:t xml:space="preserve"> requirements to NTC, </w:t>
      </w:r>
      <w:r w:rsidR="002411A5" w:rsidRPr="002411A5">
        <w:rPr>
          <w:rFonts w:asciiTheme="minorHAnsi" w:hAnsiTheme="minorHAnsi" w:cstheme="minorHAnsi"/>
          <w:b/>
          <w:bCs/>
        </w:rPr>
        <w:t>originally motivated by testability limitations</w:t>
      </w:r>
      <w:r w:rsidRPr="002411A5">
        <w:rPr>
          <w:rFonts w:asciiTheme="minorHAnsi" w:hAnsiTheme="minorHAnsi" w:cstheme="minorHAnsi"/>
          <w:b/>
          <w:bCs/>
        </w:rPr>
        <w:t>.</w:t>
      </w:r>
    </w:p>
    <w:bookmarkEnd w:id="3"/>
    <w:p w14:paraId="641D3ECF" w14:textId="706D2508" w:rsidR="006117BD" w:rsidRPr="00890720" w:rsidRDefault="00744B81" w:rsidP="00FC72AF">
      <w:pPr>
        <w:spacing w:after="120"/>
        <w:rPr>
          <w:rFonts w:asciiTheme="minorHAnsi" w:hAnsiTheme="minorHAnsi" w:cstheme="minorHAnsi"/>
        </w:rPr>
      </w:pPr>
      <w:r>
        <w:rPr>
          <w:rFonts w:asciiTheme="minorHAnsi" w:hAnsiTheme="minorHAnsi" w:cstheme="minorHAnsi"/>
        </w:rPr>
        <w:t>It is evident that RAN5 has a</w:t>
      </w:r>
      <w:r w:rsidR="007C1079">
        <w:rPr>
          <w:rFonts w:asciiTheme="minorHAnsi" w:hAnsiTheme="minorHAnsi" w:cstheme="minorHAnsi"/>
        </w:rPr>
        <w:t xml:space="preserve">n incorrect interpretation of the core requirement as it pertains to ETC exemptions. </w:t>
      </w:r>
      <w:r w:rsidR="00800FD7">
        <w:rPr>
          <w:rFonts w:asciiTheme="minorHAnsi" w:hAnsiTheme="minorHAnsi" w:cstheme="minorHAnsi"/>
        </w:rPr>
        <w:t xml:space="preserve">We believe that the core requirement is </w:t>
      </w:r>
      <w:r w:rsidR="007C1079">
        <w:rPr>
          <w:rFonts w:asciiTheme="minorHAnsi" w:hAnsiTheme="minorHAnsi" w:cstheme="minorHAnsi"/>
        </w:rPr>
        <w:t xml:space="preserve">also </w:t>
      </w:r>
      <w:r w:rsidR="00800FD7">
        <w:rPr>
          <w:rFonts w:asciiTheme="minorHAnsi" w:hAnsiTheme="minorHAnsi" w:cstheme="minorHAnsi"/>
        </w:rPr>
        <w:t xml:space="preserve">ready for an update to reflect </w:t>
      </w:r>
      <w:r w:rsidR="001F5956">
        <w:rPr>
          <w:rFonts w:asciiTheme="minorHAnsi" w:hAnsiTheme="minorHAnsi" w:cstheme="minorHAnsi"/>
        </w:rPr>
        <w:t xml:space="preserve">current </w:t>
      </w:r>
      <w:r w:rsidR="00800FD7">
        <w:rPr>
          <w:rFonts w:asciiTheme="minorHAnsi" w:hAnsiTheme="minorHAnsi" w:cstheme="minorHAnsi"/>
        </w:rPr>
        <w:t>state of the art</w:t>
      </w:r>
      <w:r w:rsidR="001F5956">
        <w:rPr>
          <w:rFonts w:asciiTheme="minorHAnsi" w:hAnsiTheme="minorHAnsi" w:cstheme="minorHAnsi"/>
        </w:rPr>
        <w:t xml:space="preserve"> in</w:t>
      </w:r>
      <w:r w:rsidR="00800FD7">
        <w:rPr>
          <w:rFonts w:asciiTheme="minorHAnsi" w:hAnsiTheme="minorHAnsi" w:cstheme="minorHAnsi"/>
        </w:rPr>
        <w:t xml:space="preserve"> testability </w:t>
      </w:r>
      <w:r w:rsidR="00EE2CDF">
        <w:rPr>
          <w:rFonts w:asciiTheme="minorHAnsi" w:hAnsiTheme="minorHAnsi" w:cstheme="minorHAnsi"/>
        </w:rPr>
        <w:t>as well as alignment with core requirement principles in general, which we detail in [</w:t>
      </w:r>
      <w:r w:rsidR="006A1DDA">
        <w:rPr>
          <w:rFonts w:asciiTheme="minorHAnsi" w:hAnsiTheme="minorHAnsi" w:cstheme="minorHAnsi"/>
        </w:rPr>
        <w:t>3</w:t>
      </w:r>
      <w:r w:rsidR="00EE2CDF">
        <w:rPr>
          <w:rFonts w:asciiTheme="minorHAnsi" w:hAnsiTheme="minorHAnsi" w:cstheme="minorHAnsi"/>
        </w:rPr>
        <w:t>].</w:t>
      </w:r>
      <w:r w:rsidR="006A1DDA">
        <w:rPr>
          <w:rFonts w:asciiTheme="minorHAnsi" w:hAnsiTheme="minorHAnsi" w:cstheme="minorHAnsi"/>
        </w:rPr>
        <w:t xml:space="preserve"> This discussion would be helpful in sending a balanced and thorough reply to RAN5.</w:t>
      </w:r>
    </w:p>
    <w:p w14:paraId="6B752882" w14:textId="6994AD90" w:rsidR="00890ECC" w:rsidRDefault="00D2140A" w:rsidP="002D653A">
      <w:pPr>
        <w:spacing w:after="120"/>
        <w:rPr>
          <w:rFonts w:asciiTheme="minorHAnsi" w:hAnsiTheme="minorHAnsi" w:cstheme="minorHAnsi"/>
        </w:rPr>
      </w:pPr>
      <w:r>
        <w:rPr>
          <w:rFonts w:asciiTheme="minorHAnsi" w:hAnsiTheme="minorHAnsi" w:cstheme="minorHAnsi"/>
        </w:rPr>
        <w:t>Any reply to</w:t>
      </w:r>
      <w:r w:rsidR="00890ECC">
        <w:rPr>
          <w:rFonts w:asciiTheme="minorHAnsi" w:hAnsiTheme="minorHAnsi" w:cstheme="minorHAnsi"/>
        </w:rPr>
        <w:t xml:space="preserve"> the</w:t>
      </w:r>
      <w:r>
        <w:rPr>
          <w:rFonts w:asciiTheme="minorHAnsi" w:hAnsiTheme="minorHAnsi" w:cstheme="minorHAnsi"/>
        </w:rPr>
        <w:t xml:space="preserve"> LS must also clarify </w:t>
      </w:r>
      <w:r w:rsidR="00890ECC">
        <w:rPr>
          <w:rFonts w:asciiTheme="minorHAnsi" w:hAnsiTheme="minorHAnsi" w:cstheme="minorHAnsi"/>
        </w:rPr>
        <w:t>the difference between the ETC verification exemption for spherical coverage requirements and the ETC exemption of requirements themselves (power control, EVM).</w:t>
      </w:r>
      <w:r w:rsidR="007F06E2">
        <w:rPr>
          <w:rFonts w:asciiTheme="minorHAnsi" w:hAnsiTheme="minorHAnsi" w:cstheme="minorHAnsi"/>
        </w:rPr>
        <w:t xml:space="preserve"> Section 4 has an example of wording that includes this clarification in a reply LS.</w:t>
      </w:r>
    </w:p>
    <w:p w14:paraId="07D34B93" w14:textId="21A5B6CE" w:rsidR="00CF2856" w:rsidRPr="00DB3D2A" w:rsidRDefault="00CF2856" w:rsidP="002D653A">
      <w:pPr>
        <w:spacing w:after="120"/>
        <w:rPr>
          <w:rFonts w:asciiTheme="minorHAnsi" w:hAnsiTheme="minorHAnsi" w:cstheme="minorHAnsi"/>
          <w:b/>
          <w:bCs/>
        </w:rPr>
      </w:pPr>
      <w:r w:rsidRPr="00DB3D2A">
        <w:rPr>
          <w:rFonts w:asciiTheme="minorHAnsi" w:hAnsiTheme="minorHAnsi" w:cstheme="minorHAnsi"/>
          <w:b/>
          <w:bCs/>
        </w:rPr>
        <w:lastRenderedPageBreak/>
        <w:t>Proposal: (see draft LS</w:t>
      </w:r>
      <w:r w:rsidR="00DB3D2A" w:rsidRPr="00DB3D2A">
        <w:rPr>
          <w:rFonts w:asciiTheme="minorHAnsi" w:hAnsiTheme="minorHAnsi" w:cstheme="minorHAnsi"/>
          <w:b/>
          <w:bCs/>
        </w:rPr>
        <w:t>)</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7312D661"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11171</w:t>
      </w:r>
      <w:r w:rsidR="001A5601">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1A5601" w:rsidRPr="001A5601">
        <w:rPr>
          <w:rFonts w:ascii="Arial" w:eastAsia="SimSun" w:hAnsi="Arial" w:cs="Arial"/>
          <w:bCs/>
          <w:sz w:val="18"/>
          <w:szCs w:val="18"/>
          <w:lang w:val="en-US" w:eastAsia="en-GB"/>
        </w:rPr>
        <w:t>LS on FR2 Extreme temperature conditions clarifications</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D202C9">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2021</w:t>
      </w:r>
    </w:p>
    <w:p w14:paraId="0CC9BD55" w14:textId="47C344D8" w:rsidR="00DA0AAB" w:rsidRDefault="00DA0AAB" w:rsidP="00800FD7">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w:t>
      </w:r>
      <w:r>
        <w:rPr>
          <w:rFonts w:ascii="Arial" w:eastAsia="SimSun" w:hAnsi="Arial" w:cs="Arial"/>
          <w:bCs/>
          <w:sz w:val="18"/>
          <w:szCs w:val="18"/>
          <w:lang w:val="en-US" w:eastAsia="en-GB"/>
        </w:rPr>
        <w:t>2111910</w:t>
      </w:r>
      <w:r w:rsidRPr="00110470">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Pr="00800FD7">
        <w:rPr>
          <w:rFonts w:ascii="Arial" w:eastAsia="SimSun" w:hAnsi="Arial" w:cs="Arial"/>
          <w:bCs/>
          <w:sz w:val="18"/>
          <w:szCs w:val="18"/>
          <w:lang w:val="en-US" w:eastAsia="en-GB"/>
        </w:rPr>
        <w:t>On FR2 requirement applicability over ETC</w:t>
      </w:r>
      <w:r>
        <w:rPr>
          <w:rFonts w:ascii="Arial" w:eastAsia="SimSun" w:hAnsi="Arial" w:cs="Arial"/>
          <w:bCs/>
          <w:sz w:val="18"/>
          <w:szCs w:val="18"/>
          <w:lang w:val="en-US" w:eastAsia="en-GB"/>
        </w:rPr>
        <w:t xml:space="preserve">’, Qualcomm, </w:t>
      </w:r>
      <w:r w:rsidRPr="00190FD2">
        <w:rPr>
          <w:rFonts w:ascii="Arial" w:eastAsia="SimSun" w:hAnsi="Arial" w:cs="Arial"/>
          <w:bCs/>
          <w:sz w:val="18"/>
          <w:szCs w:val="18"/>
          <w:lang w:val="en-US" w:eastAsia="en-GB"/>
        </w:rPr>
        <w:t>RAN4#</w:t>
      </w:r>
      <w:r>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2021</w:t>
      </w:r>
    </w:p>
    <w:p w14:paraId="030DB326" w14:textId="065BDA13" w:rsidR="00800FD7" w:rsidRPr="00800FD7" w:rsidRDefault="00800FD7" w:rsidP="00800FD7">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w:t>
      </w:r>
      <w:r>
        <w:rPr>
          <w:rFonts w:ascii="Arial" w:eastAsia="SimSun" w:hAnsi="Arial" w:cs="Arial"/>
          <w:bCs/>
          <w:sz w:val="18"/>
          <w:szCs w:val="18"/>
          <w:lang w:val="en-US" w:eastAsia="en-GB"/>
        </w:rPr>
        <w:t>2117635</w:t>
      </w:r>
      <w:r w:rsidRPr="00110470">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Pr="00800FD7">
        <w:rPr>
          <w:rFonts w:ascii="Arial" w:eastAsia="SimSun" w:hAnsi="Arial" w:cs="Arial"/>
          <w:bCs/>
          <w:sz w:val="18"/>
          <w:szCs w:val="18"/>
          <w:lang w:val="en-US" w:eastAsia="en-GB"/>
        </w:rPr>
        <w:t>On FR2 requirement applicability over ETC</w:t>
      </w:r>
      <w:r>
        <w:rPr>
          <w:rFonts w:ascii="Arial" w:eastAsia="SimSun" w:hAnsi="Arial" w:cs="Arial"/>
          <w:bCs/>
          <w:sz w:val="18"/>
          <w:szCs w:val="18"/>
          <w:lang w:val="en-US" w:eastAsia="en-GB"/>
        </w:rPr>
        <w:t>’, Qualcomm, RAN4#101-e, Nov. 2021</w:t>
      </w:r>
    </w:p>
    <w:p w14:paraId="3614C75E" w14:textId="57376A42" w:rsidR="00F20622" w:rsidRDefault="00F20622" w:rsidP="00F20622">
      <w:pPr>
        <w:pStyle w:val="Heading1"/>
        <w:rPr>
          <w:b/>
          <w:sz w:val="24"/>
        </w:rPr>
      </w:pPr>
      <w:r>
        <w:t xml:space="preserve">4. </w:t>
      </w:r>
      <w:r>
        <w:tab/>
        <w:t>Draft LS</w:t>
      </w:r>
      <w:r w:rsidR="00AE693A">
        <w:t xml:space="preserve"> wording</w:t>
      </w:r>
    </w:p>
    <w:p w14:paraId="3622F076" w14:textId="46F7C507" w:rsidR="00F20622" w:rsidRDefault="00F20622">
      <w:pPr>
        <w:spacing w:after="0"/>
        <w:rPr>
          <w:rFonts w:ascii="Arial" w:eastAsia="SimSun" w:hAnsi="Arial" w:cs="Arial"/>
          <w:bCs/>
          <w:sz w:val="18"/>
          <w:szCs w:val="18"/>
          <w:lang w:val="en-US" w:eastAsia="en-GB"/>
        </w:rPr>
      </w:pPr>
    </w:p>
    <w:p w14:paraId="3E32382C" w14:textId="77777777" w:rsidR="007F06E2" w:rsidRDefault="007F06E2">
      <w:pPr>
        <w:spacing w:after="0"/>
        <w:rPr>
          <w:rFonts w:ascii="Arial" w:eastAsia="SimSun" w:hAnsi="Arial" w:cs="Arial"/>
          <w:b/>
          <w:sz w:val="24"/>
          <w:szCs w:val="24"/>
          <w:lang w:val="en-US"/>
        </w:rPr>
      </w:pPr>
      <w:r>
        <w:rPr>
          <w:rFonts w:eastAsia="SimSun" w:cs="Arial"/>
          <w:sz w:val="24"/>
          <w:szCs w:val="24"/>
        </w:rPr>
        <w:br w:type="page"/>
      </w:r>
    </w:p>
    <w:p w14:paraId="21FBCBD2" w14:textId="7D1588E8" w:rsidR="00715FEF" w:rsidRPr="00F90084" w:rsidRDefault="00715FEF" w:rsidP="00715FEF">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Pr>
          <w:rFonts w:eastAsia="SimSun" w:cs="Arial"/>
          <w:noProof w:val="0"/>
          <w:sz w:val="24"/>
          <w:szCs w:val="24"/>
        </w:rPr>
        <w:t>100-</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1</w:t>
      </w:r>
      <w:r>
        <w:rPr>
          <w:rFonts w:eastAsia="SimSun" w:cs="Arial"/>
          <w:noProof w:val="0"/>
          <w:sz w:val="24"/>
          <w:szCs w:val="24"/>
          <w:lang w:eastAsia="zh-CN"/>
        </w:rPr>
        <w:t>xxxxx</w:t>
      </w:r>
    </w:p>
    <w:p w14:paraId="53C6EEE3" w14:textId="6E01E295" w:rsidR="00715FEF" w:rsidRDefault="00715FEF" w:rsidP="00715FEF">
      <w:pPr>
        <w:tabs>
          <w:tab w:val="left" w:pos="1985"/>
        </w:tabs>
        <w:jc w:val="both"/>
        <w:rPr>
          <w:rFonts w:ascii="Arial" w:hAnsi="Arial" w:cs="Arial"/>
          <w:b/>
          <w:sz w:val="22"/>
        </w:rPr>
      </w:pPr>
      <w:r>
        <w:rPr>
          <w:rFonts w:ascii="Arial" w:eastAsia="SimSun" w:hAnsi="Arial" w:cs="Arial"/>
          <w:b/>
          <w:sz w:val="24"/>
          <w:szCs w:val="24"/>
        </w:rPr>
        <w:t>Online</w:t>
      </w:r>
      <w:r w:rsidRPr="006505F4">
        <w:rPr>
          <w:rFonts w:ascii="Arial" w:eastAsia="SimSun" w:hAnsi="Arial" w:cs="Arial"/>
          <w:b/>
          <w:sz w:val="24"/>
          <w:szCs w:val="24"/>
        </w:rPr>
        <w:t xml:space="preserve"> Meeting, </w:t>
      </w:r>
      <w:r>
        <w:rPr>
          <w:rFonts w:ascii="Arial" w:eastAsia="SimSun" w:hAnsi="Arial" w:cs="Arial"/>
          <w:b/>
          <w:sz w:val="24"/>
          <w:szCs w:val="24"/>
        </w:rPr>
        <w:t>Aug.</w:t>
      </w:r>
      <w:r w:rsidRPr="006505F4">
        <w:rPr>
          <w:rFonts w:ascii="Arial" w:eastAsia="SimSun" w:hAnsi="Arial" w:cs="Arial"/>
          <w:b/>
          <w:sz w:val="24"/>
          <w:szCs w:val="24"/>
        </w:rPr>
        <w:t xml:space="preserve"> 2021</w:t>
      </w:r>
    </w:p>
    <w:p w14:paraId="11C74BC4" w14:textId="77777777" w:rsidR="00715FEF" w:rsidRPr="006F4B5E" w:rsidRDefault="00715FEF" w:rsidP="00715FEF">
      <w:pPr>
        <w:pBdr>
          <w:bottom w:val="single" w:sz="4" w:space="1" w:color="auto"/>
        </w:pBdr>
        <w:rPr>
          <w:rFonts w:ascii="Arial" w:hAnsi="Arial" w:cs="Arial"/>
        </w:rPr>
      </w:pPr>
    </w:p>
    <w:p w14:paraId="456A2C95" w14:textId="51EC1C43" w:rsidR="00715FEF" w:rsidRDefault="00715FEF" w:rsidP="00715FEF">
      <w:pPr>
        <w:spacing w:after="60"/>
        <w:ind w:left="1985" w:hanging="1985"/>
        <w:rPr>
          <w:rFonts w:ascii="Arial" w:hAnsi="Arial" w:cs="Arial"/>
          <w:bCs/>
        </w:rPr>
      </w:pPr>
      <w:r>
        <w:rPr>
          <w:rFonts w:ascii="Arial" w:hAnsi="Arial" w:cs="Arial"/>
          <w:b/>
        </w:rPr>
        <w:t>Title:</w:t>
      </w:r>
      <w:r>
        <w:rPr>
          <w:rFonts w:ascii="Arial" w:hAnsi="Arial" w:cs="Arial"/>
          <w:b/>
        </w:rPr>
        <w:tab/>
      </w:r>
      <w:bookmarkStart w:id="4" w:name="OLE_LINK47"/>
      <w:r w:rsidRPr="00296941">
        <w:rPr>
          <w:rFonts w:ascii="Arial" w:hAnsi="Arial" w:cs="Arial"/>
          <w:color w:val="FF0000"/>
        </w:rPr>
        <w:t>[Draft]</w:t>
      </w:r>
      <w:r w:rsidRPr="00296941">
        <w:rPr>
          <w:rFonts w:ascii="Arial" w:hAnsi="Arial" w:cs="Arial"/>
        </w:rPr>
        <w:t xml:space="preserve"> </w:t>
      </w:r>
      <w:bookmarkEnd w:id="4"/>
      <w:r w:rsidRPr="00715FEF">
        <w:rPr>
          <w:rFonts w:ascii="Arial" w:hAnsi="Arial" w:cs="Arial"/>
        </w:rPr>
        <w:t>Reply LS on FR2 extreme temperature conditions</w:t>
      </w:r>
    </w:p>
    <w:p w14:paraId="153D1A03" w14:textId="1E802F9E" w:rsidR="00715FEF" w:rsidRDefault="00715FEF" w:rsidP="00715FEF">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R5-21</w:t>
      </w:r>
      <w:r>
        <w:rPr>
          <w:rFonts w:ascii="Arial" w:hAnsi="Arial" w:cs="Arial"/>
          <w:bCs/>
          <w:lang w:eastAsia="zh-CN"/>
        </w:rPr>
        <w:t>3</w:t>
      </w:r>
      <w:r w:rsidRPr="004249AE">
        <w:rPr>
          <w:rFonts w:ascii="Arial" w:hAnsi="Arial" w:cs="Arial"/>
          <w:bCs/>
          <w:lang w:eastAsia="zh-CN"/>
        </w:rPr>
        <w:t>82</w:t>
      </w:r>
      <w:r>
        <w:rPr>
          <w:rFonts w:ascii="Arial" w:hAnsi="Arial" w:cs="Arial"/>
          <w:bCs/>
          <w:lang w:eastAsia="zh-CN"/>
        </w:rPr>
        <w:t>1)</w:t>
      </w:r>
      <w:r w:rsidRPr="00E763DE">
        <w:rPr>
          <w:rFonts w:ascii="Arial" w:hAnsi="Arial" w:cs="Arial"/>
        </w:rPr>
        <w:t xml:space="preserve"> </w:t>
      </w:r>
      <w:r w:rsidRPr="002D5F5F">
        <w:rPr>
          <w:rFonts w:ascii="Arial" w:hAnsi="Arial" w:cs="Arial"/>
          <w:bCs/>
        </w:rPr>
        <w:t>LS</w:t>
      </w:r>
      <w:r>
        <w:rPr>
          <w:rFonts w:ascii="Arial" w:hAnsi="Arial" w:cs="Arial"/>
          <w:b/>
        </w:rPr>
        <w:t xml:space="preserve"> </w:t>
      </w:r>
      <w:r w:rsidRPr="002D5F5F">
        <w:rPr>
          <w:rFonts w:ascii="Arial" w:hAnsi="Arial" w:cs="Arial"/>
          <w:bCs/>
        </w:rPr>
        <w:t>on FR2 E</w:t>
      </w:r>
      <w:r>
        <w:rPr>
          <w:rFonts w:ascii="Arial" w:hAnsi="Arial" w:cs="Arial"/>
          <w:bCs/>
        </w:rPr>
        <w:t>xtreme temperature conditions clarifications</w:t>
      </w:r>
    </w:p>
    <w:p w14:paraId="02121242" w14:textId="77777777" w:rsidR="00715FEF" w:rsidRDefault="00715FEF" w:rsidP="00715FEF">
      <w:pPr>
        <w:spacing w:after="60"/>
        <w:ind w:left="1985" w:hanging="1985"/>
        <w:rPr>
          <w:rFonts w:ascii="Arial" w:hAnsi="Arial" w:cs="Arial"/>
          <w:b/>
        </w:rPr>
      </w:pPr>
    </w:p>
    <w:p w14:paraId="0A532893" w14:textId="77777777" w:rsidR="00715FEF" w:rsidRDefault="00715FEF" w:rsidP="00715FEF">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3484488" w14:textId="77777777" w:rsidR="00715FEF" w:rsidRDefault="00715FEF" w:rsidP="00715FEF">
      <w:pPr>
        <w:spacing w:after="60"/>
        <w:ind w:left="1985" w:hanging="1985"/>
        <w:rPr>
          <w:rFonts w:ascii="Arial" w:hAnsi="Arial" w:cs="Arial"/>
          <w:bCs/>
        </w:rPr>
      </w:pPr>
      <w:r>
        <w:rPr>
          <w:rFonts w:ascii="Arial" w:hAnsi="Arial" w:cs="Arial"/>
          <w:b/>
        </w:rPr>
        <w:t>To:</w:t>
      </w:r>
      <w:r>
        <w:rPr>
          <w:rFonts w:ascii="Arial" w:hAnsi="Arial" w:cs="Arial"/>
          <w:bCs/>
        </w:rPr>
        <w:tab/>
        <w:t>RAN5</w:t>
      </w:r>
    </w:p>
    <w:p w14:paraId="3B4F6274" w14:textId="77777777" w:rsidR="00715FEF" w:rsidRPr="00296941" w:rsidRDefault="00715FEF" w:rsidP="00715FEF">
      <w:pPr>
        <w:spacing w:after="60"/>
        <w:ind w:left="1985" w:hanging="1985"/>
        <w:rPr>
          <w:rFonts w:ascii="Arial" w:hAnsi="Arial" w:cs="Arial"/>
          <w:bCs/>
        </w:rPr>
      </w:pPr>
    </w:p>
    <w:p w14:paraId="6F80C1BF" w14:textId="77777777" w:rsidR="00715FEF" w:rsidRPr="000F4E43" w:rsidRDefault="00715FEF" w:rsidP="00715FEF">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995B2C6" w14:textId="77777777" w:rsidR="00715FEF" w:rsidRPr="000F4E43" w:rsidRDefault="00715FEF" w:rsidP="00715FEF">
      <w:pPr>
        <w:pStyle w:val="Contact"/>
        <w:tabs>
          <w:tab w:val="clear" w:pos="2268"/>
        </w:tabs>
        <w:rPr>
          <w:bCs/>
        </w:rPr>
      </w:pPr>
      <w:r w:rsidRPr="000F4E43">
        <w:t>Name</w:t>
      </w:r>
      <w:r>
        <w:tab/>
      </w:r>
      <w:r w:rsidRPr="000F4E43">
        <w:t>:</w:t>
      </w:r>
      <w:r>
        <w:t xml:space="preserve"> </w:t>
      </w:r>
      <w:r>
        <w:rPr>
          <w:b w:val="0"/>
        </w:rPr>
        <w:t>Sumant Iyer</w:t>
      </w:r>
    </w:p>
    <w:p w14:paraId="3EF82F78" w14:textId="77777777" w:rsidR="00715FEF" w:rsidRPr="00AD49C5" w:rsidRDefault="00715FEF" w:rsidP="00715FEF">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5241EAC1" w14:textId="77777777" w:rsidR="00715FEF" w:rsidRPr="00AD49C5" w:rsidRDefault="00715FEF" w:rsidP="00715FEF">
      <w:pPr>
        <w:spacing w:after="60"/>
        <w:ind w:left="1985" w:hanging="1985"/>
        <w:rPr>
          <w:rFonts w:ascii="Arial" w:hAnsi="Arial" w:cs="Arial"/>
          <w:b/>
        </w:rPr>
      </w:pPr>
    </w:p>
    <w:p w14:paraId="45D7D7FD" w14:textId="77777777" w:rsidR="00715FEF" w:rsidRPr="00C80F16" w:rsidRDefault="00715FEF" w:rsidP="00715FEF">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781CEC2" w14:textId="77777777" w:rsidR="00715FEF" w:rsidRPr="000F4E43" w:rsidRDefault="00715FEF" w:rsidP="00715FEF">
      <w:pPr>
        <w:pBdr>
          <w:bottom w:val="single" w:sz="4" w:space="1" w:color="auto"/>
        </w:pBdr>
        <w:rPr>
          <w:rFonts w:ascii="Arial" w:hAnsi="Arial" w:cs="Arial"/>
        </w:rPr>
      </w:pPr>
    </w:p>
    <w:p w14:paraId="59E5C1DD" w14:textId="77777777" w:rsidR="00715FEF" w:rsidRPr="000F4E43" w:rsidRDefault="00715FEF" w:rsidP="00715FEF">
      <w:pPr>
        <w:rPr>
          <w:rFonts w:ascii="Arial" w:hAnsi="Arial" w:cs="Arial"/>
        </w:rPr>
      </w:pPr>
    </w:p>
    <w:p w14:paraId="5E4B2FDF" w14:textId="77777777" w:rsidR="00715FEF" w:rsidRPr="000F4E43" w:rsidRDefault="00715FEF" w:rsidP="00715FEF">
      <w:pPr>
        <w:spacing w:afterLines="50" w:after="120"/>
        <w:rPr>
          <w:rFonts w:ascii="Arial" w:hAnsi="Arial" w:cs="Arial"/>
          <w:b/>
        </w:rPr>
      </w:pPr>
      <w:r w:rsidRPr="000F4E43">
        <w:rPr>
          <w:rFonts w:ascii="Arial" w:hAnsi="Arial" w:cs="Arial"/>
          <w:b/>
        </w:rPr>
        <w:t>1. Overall Description:</w:t>
      </w:r>
    </w:p>
    <w:p w14:paraId="05787022" w14:textId="3FFEB44F" w:rsidR="00715FEF" w:rsidRPr="0045171C" w:rsidRDefault="00715FEF" w:rsidP="00715FEF">
      <w:pPr>
        <w:pStyle w:val="Header"/>
        <w:spacing w:afterLines="50" w:after="120"/>
        <w:rPr>
          <w:rFonts w:cs="Arial"/>
          <w:b w:val="0"/>
          <w:noProof w:val="0"/>
          <w:sz w:val="20"/>
        </w:rPr>
      </w:pPr>
      <w:r w:rsidRPr="0045171C">
        <w:rPr>
          <w:rFonts w:cs="Arial"/>
          <w:b w:val="0"/>
          <w:noProof w:val="0"/>
          <w:sz w:val="20"/>
        </w:rPr>
        <w:t xml:space="preserve">RAN4 would like to thank RAN5 for the LS on </w:t>
      </w:r>
      <w:r w:rsidRPr="00715FEF">
        <w:rPr>
          <w:rFonts w:cs="Arial"/>
          <w:b w:val="0"/>
          <w:noProof w:val="0"/>
          <w:sz w:val="20"/>
        </w:rPr>
        <w:t>FR2 extreme temperature conditions</w:t>
      </w:r>
      <w:r w:rsidRPr="0045171C">
        <w:rPr>
          <w:rFonts w:cs="Arial"/>
          <w:b w:val="0"/>
          <w:noProof w:val="0"/>
          <w:sz w:val="20"/>
        </w:rPr>
        <w:t xml:space="preserve">. </w:t>
      </w:r>
    </w:p>
    <w:p w14:paraId="111947D3" w14:textId="06311C71" w:rsidR="00EE2CDF" w:rsidRDefault="00715FEF" w:rsidP="00715FEF">
      <w:pPr>
        <w:rPr>
          <w:rFonts w:ascii="Arial" w:hAnsi="Arial" w:cs="Arial"/>
        </w:rPr>
      </w:pPr>
      <w:r>
        <w:rPr>
          <w:rFonts w:ascii="Arial" w:hAnsi="Arial" w:cs="Arial"/>
        </w:rPr>
        <w:t xml:space="preserve">RAN4 would </w:t>
      </w:r>
      <w:r w:rsidR="00DC66DD">
        <w:rPr>
          <w:rFonts w:ascii="Arial" w:hAnsi="Arial" w:cs="Arial"/>
        </w:rPr>
        <w:t xml:space="preserve">first </w:t>
      </w:r>
      <w:r>
        <w:rPr>
          <w:rFonts w:ascii="Arial" w:hAnsi="Arial" w:cs="Arial"/>
        </w:rPr>
        <w:t xml:space="preserve">like to clarify that exemption </w:t>
      </w:r>
      <w:r w:rsidR="00FD1A17">
        <w:rPr>
          <w:rFonts w:ascii="Arial" w:hAnsi="Arial" w:cs="Arial"/>
        </w:rPr>
        <w:t xml:space="preserve">of a requirement </w:t>
      </w:r>
      <w:r>
        <w:rPr>
          <w:rFonts w:ascii="Arial" w:hAnsi="Arial" w:cs="Arial"/>
        </w:rPr>
        <w:t>from verification over ETC conditions</w:t>
      </w:r>
      <w:r w:rsidR="00723CBA">
        <w:rPr>
          <w:rFonts w:ascii="Arial" w:hAnsi="Arial" w:cs="Arial"/>
        </w:rPr>
        <w:t xml:space="preserve"> (example: spherical coverage requirements)</w:t>
      </w:r>
      <w:r>
        <w:rPr>
          <w:rFonts w:ascii="Arial" w:hAnsi="Arial" w:cs="Arial"/>
        </w:rPr>
        <w:t xml:space="preserve"> </w:t>
      </w:r>
      <w:r w:rsidR="00FD1A17">
        <w:rPr>
          <w:rFonts w:ascii="Arial" w:hAnsi="Arial" w:cs="Arial"/>
        </w:rPr>
        <w:t>is</w:t>
      </w:r>
      <w:r>
        <w:rPr>
          <w:rFonts w:ascii="Arial" w:hAnsi="Arial" w:cs="Arial"/>
        </w:rPr>
        <w:t xml:space="preserve"> not equivalent to exemption of </w:t>
      </w:r>
      <w:r w:rsidR="00FD1A17">
        <w:rPr>
          <w:rFonts w:ascii="Arial" w:hAnsi="Arial" w:cs="Arial"/>
        </w:rPr>
        <w:t xml:space="preserve">applicability of </w:t>
      </w:r>
      <w:r>
        <w:rPr>
          <w:rFonts w:ascii="Arial" w:hAnsi="Arial" w:cs="Arial"/>
        </w:rPr>
        <w:t>core requirement over ETC for that requirement</w:t>
      </w:r>
      <w:r w:rsidR="007F06E2">
        <w:rPr>
          <w:rFonts w:ascii="Arial" w:hAnsi="Arial" w:cs="Arial"/>
        </w:rPr>
        <w:t>. Verification exemptions were instituted in the Rel-15 work phase to reflect a lack of a testability solution at that time</w:t>
      </w:r>
      <w:r w:rsidRPr="0045171C">
        <w:rPr>
          <w:rFonts w:ascii="Arial" w:hAnsi="Arial" w:cs="Arial"/>
        </w:rPr>
        <w:t>.</w:t>
      </w:r>
      <w:r>
        <w:rPr>
          <w:rFonts w:ascii="Arial" w:hAnsi="Arial" w:cs="Arial"/>
        </w:rPr>
        <w:t xml:space="preserve"> </w:t>
      </w:r>
      <w:r w:rsidR="009550CD">
        <w:rPr>
          <w:rFonts w:ascii="Arial" w:hAnsi="Arial" w:cs="Arial"/>
        </w:rPr>
        <w:t>Recognizing</w:t>
      </w:r>
      <w:r w:rsidR="00EE2CDF">
        <w:rPr>
          <w:rFonts w:ascii="Arial" w:hAnsi="Arial" w:cs="Arial"/>
        </w:rPr>
        <w:t xml:space="preserve"> that testability solutions have evolved to include ETC testing</w:t>
      </w:r>
      <w:r w:rsidR="009550CD">
        <w:rPr>
          <w:rFonts w:ascii="Arial" w:hAnsi="Arial" w:cs="Arial"/>
        </w:rPr>
        <w:t>, we</w:t>
      </w:r>
      <w:r w:rsidR="00EE2CDF">
        <w:rPr>
          <w:rFonts w:ascii="Arial" w:hAnsi="Arial" w:cs="Arial"/>
        </w:rPr>
        <w:t>……(</w:t>
      </w:r>
      <w:r w:rsidR="00EE2CDF" w:rsidRPr="00EE2CDF">
        <w:rPr>
          <w:rFonts w:ascii="Arial" w:hAnsi="Arial" w:cs="Arial"/>
          <w:highlight w:val="yellow"/>
        </w:rPr>
        <w:t>place holder pending discussion in Rel-17 TEI</w:t>
      </w:r>
      <w:r w:rsidR="00EE2CDF">
        <w:rPr>
          <w:rFonts w:ascii="Arial" w:hAnsi="Arial" w:cs="Arial"/>
        </w:rPr>
        <w:t>)</w:t>
      </w:r>
    </w:p>
    <w:p w14:paraId="3EC0311A" w14:textId="4A90BC03" w:rsidR="00715FEF" w:rsidRPr="00F109DE" w:rsidRDefault="00715FEF" w:rsidP="00715FEF">
      <w:pPr>
        <w:rPr>
          <w:rFonts w:ascii="Arial" w:hAnsi="Arial" w:cs="Arial"/>
        </w:rPr>
      </w:pPr>
      <w:r>
        <w:rPr>
          <w:rFonts w:ascii="Arial" w:hAnsi="Arial" w:cs="Arial"/>
        </w:rPr>
        <w:t xml:space="preserve">With this clarification, RAN4 confirms that </w:t>
      </w:r>
      <w:r w:rsidRPr="00715FEF">
        <w:rPr>
          <w:rFonts w:ascii="Arial" w:hAnsi="Arial" w:cs="Arial"/>
        </w:rPr>
        <w:t>core requirements not explicitly limited to Nominal Temperature conditions are applicable to Extreme Temperature conditions</w:t>
      </w:r>
      <w:r w:rsidR="00FD1A17">
        <w:rPr>
          <w:rFonts w:ascii="Arial" w:hAnsi="Arial" w:cs="Arial"/>
        </w:rPr>
        <w:t>, per Annex E.2 in TS38.101-2</w:t>
      </w:r>
      <w:r>
        <w:rPr>
          <w:rFonts w:ascii="Arial" w:hAnsi="Arial" w:cs="Arial"/>
        </w:rPr>
        <w:t>.</w:t>
      </w:r>
    </w:p>
    <w:p w14:paraId="6E287966" w14:textId="77777777" w:rsidR="00715FEF" w:rsidRPr="00114CAF" w:rsidRDefault="00715FEF" w:rsidP="00715FEF">
      <w:pPr>
        <w:pStyle w:val="Header"/>
        <w:rPr>
          <w:rFonts w:eastAsia="DengXian" w:cs="Arial"/>
          <w:lang w:eastAsia="zh-CN"/>
        </w:rPr>
      </w:pPr>
    </w:p>
    <w:p w14:paraId="21C63EC9" w14:textId="77777777" w:rsidR="00715FEF" w:rsidRPr="000F4E43" w:rsidRDefault="00715FEF" w:rsidP="00715FEF">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37C03225" w14:textId="12A05CA8" w:rsidR="00EE2CDF" w:rsidRPr="008A31D0" w:rsidRDefault="00EE2CDF" w:rsidP="00EE2CDF">
      <w:pPr>
        <w:tabs>
          <w:tab w:val="left" w:pos="4685"/>
        </w:tabs>
        <w:spacing w:after="120"/>
        <w:ind w:left="2268" w:hanging="2268"/>
        <w:rPr>
          <w:rFonts w:ascii="Arial"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101-Bis-e</w:t>
      </w:r>
      <w:r w:rsidRPr="00C1442F">
        <w:rPr>
          <w:rFonts w:ascii="Arial" w:eastAsia="SimSun" w:hAnsi="Arial" w:cs="Arial"/>
          <w:bCs/>
        </w:rPr>
        <w:tab/>
      </w:r>
      <w:r>
        <w:rPr>
          <w:rFonts w:ascii="Arial" w:eastAsia="SimSun" w:hAnsi="Arial" w:cs="Arial"/>
          <w:bCs/>
        </w:rPr>
        <w:t>Jan</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Online meeting</w:t>
      </w:r>
    </w:p>
    <w:p w14:paraId="6350761B" w14:textId="77777777" w:rsidR="00EE2CDF" w:rsidRPr="000B036D" w:rsidRDefault="00EE2CDF" w:rsidP="00EE2CDF">
      <w:pPr>
        <w:rPr>
          <w:rFonts w:ascii="Arial" w:eastAsia="SimSun" w:hAnsi="Arial" w:cs="Arial"/>
          <w:bCs/>
          <w:sz w:val="18"/>
          <w:szCs w:val="18"/>
          <w:lang w:val="en-US" w:eastAsia="en-GB"/>
        </w:rPr>
      </w:pPr>
    </w:p>
    <w:p w14:paraId="4D635AE4" w14:textId="3B272060" w:rsidR="00715FEF" w:rsidRPr="008A31D0" w:rsidRDefault="00715FEF" w:rsidP="00715FEF">
      <w:pPr>
        <w:tabs>
          <w:tab w:val="left" w:pos="4685"/>
        </w:tabs>
        <w:spacing w:after="120"/>
        <w:ind w:left="2268" w:hanging="2268"/>
        <w:rPr>
          <w:rFonts w:ascii="Arial"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EE2CDF">
        <w:rPr>
          <w:rFonts w:ascii="Arial" w:eastAsia="SimSun" w:hAnsi="Arial" w:cs="Arial"/>
          <w:bCs/>
        </w:rPr>
        <w:t>2</w:t>
      </w:r>
      <w:r>
        <w:rPr>
          <w:rFonts w:ascii="Arial" w:eastAsia="SimSun" w:hAnsi="Arial" w:cs="Arial"/>
          <w:bCs/>
        </w:rPr>
        <w:t>-e</w:t>
      </w:r>
      <w:r w:rsidRPr="00C1442F">
        <w:rPr>
          <w:rFonts w:ascii="Arial" w:eastAsia="SimSun" w:hAnsi="Arial" w:cs="Arial"/>
          <w:bCs/>
        </w:rPr>
        <w:tab/>
      </w:r>
      <w:r w:rsidR="00EE2CDF">
        <w:rPr>
          <w:rFonts w:ascii="Arial" w:eastAsia="SimSun" w:hAnsi="Arial" w:cs="Arial"/>
          <w:bCs/>
        </w:rPr>
        <w:t>Feb</w:t>
      </w:r>
      <w:r w:rsidRPr="00C1442F">
        <w:rPr>
          <w:rFonts w:ascii="Arial" w:eastAsia="SimSun" w:hAnsi="Arial" w:cs="Arial"/>
          <w:bCs/>
        </w:rPr>
        <w:t xml:space="preserve"> </w:t>
      </w:r>
      <w:r>
        <w:rPr>
          <w:rFonts w:ascii="Arial" w:eastAsia="SimSun" w:hAnsi="Arial" w:cs="Arial"/>
          <w:bCs/>
        </w:rPr>
        <w:t>202</w:t>
      </w:r>
      <w:r w:rsidR="00EE2CDF">
        <w:rPr>
          <w:rFonts w:ascii="Arial" w:eastAsia="SimSun" w:hAnsi="Arial" w:cs="Arial"/>
          <w:bCs/>
        </w:rPr>
        <w:t>2</w:t>
      </w:r>
      <w:r w:rsidRPr="00C1442F">
        <w:rPr>
          <w:rFonts w:ascii="Arial" w:eastAsia="SimSun" w:hAnsi="Arial" w:cs="Arial"/>
          <w:bCs/>
        </w:rPr>
        <w:t xml:space="preserve">   </w:t>
      </w:r>
      <w:r>
        <w:rPr>
          <w:rFonts w:ascii="Arial" w:eastAsia="SimSun" w:hAnsi="Arial" w:cs="Arial"/>
          <w:bCs/>
        </w:rPr>
        <w:t xml:space="preserve">      </w:t>
      </w:r>
      <w:r w:rsidR="00FD1A17">
        <w:rPr>
          <w:rFonts w:ascii="Arial" w:eastAsia="SimSun" w:hAnsi="Arial" w:cs="Arial"/>
          <w:bCs/>
        </w:rPr>
        <w:tab/>
      </w:r>
      <w:r w:rsidR="00FD1A17">
        <w:rPr>
          <w:rFonts w:ascii="Arial" w:eastAsia="SimSun" w:hAnsi="Arial" w:cs="Arial"/>
          <w:bCs/>
        </w:rPr>
        <w:tab/>
      </w:r>
      <w:r>
        <w:rPr>
          <w:rFonts w:ascii="Arial" w:hAnsi="Arial" w:cs="Arial"/>
          <w:bCs/>
          <w:color w:val="000000"/>
        </w:rPr>
        <w:t>Online meeting</w:t>
      </w:r>
    </w:p>
    <w:p w14:paraId="0D3015CC" w14:textId="77777777" w:rsidR="00F20622" w:rsidRPr="000B036D" w:rsidRDefault="00F20622" w:rsidP="00F20622">
      <w:pPr>
        <w:rPr>
          <w:rFonts w:ascii="Arial" w:eastAsia="SimSun" w:hAnsi="Arial" w:cs="Arial"/>
          <w:bCs/>
          <w:sz w:val="18"/>
          <w:szCs w:val="18"/>
          <w:lang w:val="en-US" w:eastAsia="en-GB"/>
        </w:rPr>
      </w:pPr>
    </w:p>
    <w:sectPr w:rsidR="00F20622"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1"/>
  </w:num>
  <w:num w:numId="4">
    <w:abstractNumId w:val="3"/>
  </w:num>
  <w:num w:numId="5">
    <w:abstractNumId w:val="2"/>
  </w:num>
  <w:num w:numId="6">
    <w:abstractNumId w:val="1"/>
  </w:num>
  <w:num w:numId="7">
    <w:abstractNumId w:val="10"/>
  </w:num>
  <w:num w:numId="8">
    <w:abstractNumId w:val="9"/>
  </w:num>
  <w:num w:numId="9">
    <w:abstractNumId w:val="8"/>
  </w:num>
  <w:num w:numId="10">
    <w:abstractNumId w:val="12"/>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4B33"/>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02"/>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601"/>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5956"/>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1A5"/>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2A10"/>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4B4D"/>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ADB"/>
    <w:rsid w:val="003F04B8"/>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4C4"/>
    <w:rsid w:val="00417675"/>
    <w:rsid w:val="0042095B"/>
    <w:rsid w:val="00421CC7"/>
    <w:rsid w:val="004234E9"/>
    <w:rsid w:val="00424A39"/>
    <w:rsid w:val="0043180B"/>
    <w:rsid w:val="00431A16"/>
    <w:rsid w:val="00432734"/>
    <w:rsid w:val="0043290B"/>
    <w:rsid w:val="00434AD5"/>
    <w:rsid w:val="00435767"/>
    <w:rsid w:val="004358DC"/>
    <w:rsid w:val="00435B76"/>
    <w:rsid w:val="00436495"/>
    <w:rsid w:val="004366AF"/>
    <w:rsid w:val="00436908"/>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658"/>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3BA"/>
    <w:rsid w:val="0050658B"/>
    <w:rsid w:val="00507ACB"/>
    <w:rsid w:val="00507D16"/>
    <w:rsid w:val="00510D5C"/>
    <w:rsid w:val="00511F3D"/>
    <w:rsid w:val="00511F68"/>
    <w:rsid w:val="005120D5"/>
    <w:rsid w:val="00514334"/>
    <w:rsid w:val="00514836"/>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17BD"/>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BAA"/>
    <w:rsid w:val="006A0BB2"/>
    <w:rsid w:val="006A0EBB"/>
    <w:rsid w:val="006A1DDA"/>
    <w:rsid w:val="006A2E7B"/>
    <w:rsid w:val="006A3AC3"/>
    <w:rsid w:val="006A3DD3"/>
    <w:rsid w:val="006A455E"/>
    <w:rsid w:val="006A47D6"/>
    <w:rsid w:val="006A5D79"/>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5FEF"/>
    <w:rsid w:val="007161CC"/>
    <w:rsid w:val="00716536"/>
    <w:rsid w:val="00716DD3"/>
    <w:rsid w:val="007179F7"/>
    <w:rsid w:val="00720A77"/>
    <w:rsid w:val="00720DB6"/>
    <w:rsid w:val="00720FDB"/>
    <w:rsid w:val="00721C35"/>
    <w:rsid w:val="00721F34"/>
    <w:rsid w:val="00723217"/>
    <w:rsid w:val="00723639"/>
    <w:rsid w:val="00723CBA"/>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4B81"/>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DF0"/>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107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857"/>
    <w:rsid w:val="007F2559"/>
    <w:rsid w:val="007F2774"/>
    <w:rsid w:val="007F2A60"/>
    <w:rsid w:val="007F5A2D"/>
    <w:rsid w:val="007F7AAD"/>
    <w:rsid w:val="007F7AE6"/>
    <w:rsid w:val="0080082C"/>
    <w:rsid w:val="00800FD7"/>
    <w:rsid w:val="0080109A"/>
    <w:rsid w:val="008023D3"/>
    <w:rsid w:val="00802812"/>
    <w:rsid w:val="0080320A"/>
    <w:rsid w:val="00803597"/>
    <w:rsid w:val="00804D26"/>
    <w:rsid w:val="00804D43"/>
    <w:rsid w:val="00805649"/>
    <w:rsid w:val="00805AEC"/>
    <w:rsid w:val="00806BAD"/>
    <w:rsid w:val="008078E6"/>
    <w:rsid w:val="00810EC4"/>
    <w:rsid w:val="00812B98"/>
    <w:rsid w:val="00814B4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443"/>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86B"/>
    <w:rsid w:val="008C2E2D"/>
    <w:rsid w:val="008C2FE2"/>
    <w:rsid w:val="008C3929"/>
    <w:rsid w:val="008C3A6D"/>
    <w:rsid w:val="008C3BF3"/>
    <w:rsid w:val="008C3E84"/>
    <w:rsid w:val="008C48DA"/>
    <w:rsid w:val="008C5463"/>
    <w:rsid w:val="008C6021"/>
    <w:rsid w:val="008C6982"/>
    <w:rsid w:val="008C6D09"/>
    <w:rsid w:val="008D05AD"/>
    <w:rsid w:val="008D252D"/>
    <w:rsid w:val="008D305A"/>
    <w:rsid w:val="008D3DD3"/>
    <w:rsid w:val="008D414D"/>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3DA"/>
    <w:rsid w:val="00953CD5"/>
    <w:rsid w:val="00954D53"/>
    <w:rsid w:val="009550CD"/>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CBE"/>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10D"/>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93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7DC"/>
    <w:rsid w:val="00B2494B"/>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1CF4"/>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508"/>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856"/>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4547"/>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0AAB"/>
    <w:rsid w:val="00DA1520"/>
    <w:rsid w:val="00DA1790"/>
    <w:rsid w:val="00DA1A3E"/>
    <w:rsid w:val="00DA24EF"/>
    <w:rsid w:val="00DA2B07"/>
    <w:rsid w:val="00DA3470"/>
    <w:rsid w:val="00DA34F0"/>
    <w:rsid w:val="00DA3503"/>
    <w:rsid w:val="00DA57B9"/>
    <w:rsid w:val="00DA581E"/>
    <w:rsid w:val="00DA66E6"/>
    <w:rsid w:val="00DA7820"/>
    <w:rsid w:val="00DB01AD"/>
    <w:rsid w:val="00DB2D4A"/>
    <w:rsid w:val="00DB2E2C"/>
    <w:rsid w:val="00DB311C"/>
    <w:rsid w:val="00DB3D2A"/>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02D"/>
    <w:rsid w:val="00DC66DD"/>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6582"/>
    <w:rsid w:val="00E07459"/>
    <w:rsid w:val="00E07822"/>
    <w:rsid w:val="00E07880"/>
    <w:rsid w:val="00E07D82"/>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3DAF"/>
    <w:rsid w:val="00E3471B"/>
    <w:rsid w:val="00E34D39"/>
    <w:rsid w:val="00E35269"/>
    <w:rsid w:val="00E35657"/>
    <w:rsid w:val="00E36017"/>
    <w:rsid w:val="00E3670A"/>
    <w:rsid w:val="00E369E4"/>
    <w:rsid w:val="00E40184"/>
    <w:rsid w:val="00E402A0"/>
    <w:rsid w:val="00E40F6A"/>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5A4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086"/>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2CDF"/>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62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80A"/>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A17"/>
    <w:rsid w:val="00FD2B94"/>
    <w:rsid w:val="00FD6015"/>
    <w:rsid w:val="00FD7C6A"/>
    <w:rsid w:val="00FE023B"/>
    <w:rsid w:val="00FE1B18"/>
    <w:rsid w:val="00FE1D26"/>
    <w:rsid w:val="00FE2790"/>
    <w:rsid w:val="00FE2D98"/>
    <w:rsid w:val="00FE3315"/>
    <w:rsid w:val="00FE3E52"/>
    <w:rsid w:val="00FE4481"/>
    <w:rsid w:val="00FE567D"/>
    <w:rsid w:val="00FE5685"/>
    <w:rsid w:val="00FE57ED"/>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14</cp:revision>
  <dcterms:created xsi:type="dcterms:W3CDTF">2021-10-22T17:22:00Z</dcterms:created>
  <dcterms:modified xsi:type="dcterms:W3CDTF">2021-10-22T19:58:00Z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