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46148FB8" w:rsidR="00841BCD" w:rsidRPr="008A7AEA"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A7AEA">
        <w:rPr>
          <w:rFonts w:ascii="Arial" w:eastAsia="SimSun" w:hAnsi="Arial" w:cs="Times New Roman"/>
          <w:b/>
          <w:bCs/>
          <w:sz w:val="24"/>
          <w:szCs w:val="20"/>
        </w:rPr>
        <w:t>3GPP T</w:t>
      </w:r>
      <w:bookmarkStart w:id="2" w:name="_Ref452454252"/>
      <w:bookmarkEnd w:id="2"/>
      <w:r w:rsidRPr="008A7AEA">
        <w:rPr>
          <w:rFonts w:ascii="Arial" w:eastAsia="SimSun" w:hAnsi="Arial" w:cs="Times New Roman"/>
          <w:b/>
          <w:bCs/>
          <w:sz w:val="24"/>
          <w:szCs w:val="20"/>
        </w:rPr>
        <w:t xml:space="preserve">SG-RAN </w:t>
      </w:r>
      <w:r w:rsidR="00ED7600" w:rsidRPr="008A7AEA">
        <w:rPr>
          <w:rFonts w:ascii="Arial" w:eastAsia="SimSun" w:hAnsi="Arial" w:cs="Times New Roman"/>
          <w:b/>
          <w:sz w:val="24"/>
          <w:szCs w:val="20"/>
        </w:rPr>
        <w:t>WG4 Meeting #</w:t>
      </w:r>
      <w:r w:rsidR="001868EE" w:rsidRPr="008A7AEA">
        <w:rPr>
          <w:rFonts w:ascii="Arial" w:eastAsia="SimSun" w:hAnsi="Arial" w:cs="Times New Roman"/>
          <w:b/>
          <w:sz w:val="24"/>
          <w:szCs w:val="20"/>
        </w:rPr>
        <w:t>101-e</w:t>
      </w:r>
      <w:r w:rsidRPr="008A7AEA">
        <w:rPr>
          <w:rFonts w:ascii="Arial" w:eastAsia="SimSun" w:hAnsi="Arial" w:cs="Times New Roman"/>
          <w:b/>
          <w:sz w:val="24"/>
          <w:szCs w:val="20"/>
        </w:rPr>
        <w:t xml:space="preserve">                 </w:t>
      </w:r>
      <w:r w:rsidRPr="008A7AEA">
        <w:rPr>
          <w:rFonts w:ascii="Arial" w:eastAsia="SimSun" w:hAnsi="Arial" w:cs="Times New Roman"/>
          <w:b/>
          <w:bCs/>
          <w:sz w:val="24"/>
          <w:szCs w:val="20"/>
        </w:rPr>
        <w:tab/>
      </w:r>
      <w:r w:rsidR="00E77F35" w:rsidRPr="00E77F35">
        <w:rPr>
          <w:rFonts w:ascii="Arial" w:eastAsia="SimSun" w:hAnsi="Arial" w:cs="Times New Roman"/>
          <w:b/>
          <w:bCs/>
          <w:sz w:val="24"/>
          <w:szCs w:val="20"/>
          <w:lang w:eastAsia="ja-JP"/>
        </w:rPr>
        <w:t>R4-2119385</w:t>
      </w:r>
    </w:p>
    <w:p w14:paraId="457FCC4F" w14:textId="68762ADC" w:rsidR="00841BCD" w:rsidRPr="008A7AEA"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A7AEA">
        <w:rPr>
          <w:rFonts w:ascii="Arial" w:eastAsia="SimSun" w:hAnsi="Arial" w:cs="Times New Roman"/>
          <w:b/>
          <w:sz w:val="24"/>
          <w:szCs w:val="20"/>
        </w:rPr>
        <w:t>Electronic Meeting</w:t>
      </w:r>
      <w:r w:rsidR="005C23A4" w:rsidRPr="008A7AEA">
        <w:rPr>
          <w:rFonts w:ascii="Arial" w:eastAsia="SimSun" w:hAnsi="Arial" w:cs="Times New Roman"/>
          <w:b/>
          <w:sz w:val="24"/>
          <w:szCs w:val="20"/>
        </w:rPr>
        <w:t xml:space="preserve">, </w:t>
      </w:r>
      <w:r w:rsidR="00A21D71" w:rsidRPr="008A7AEA">
        <w:rPr>
          <w:rFonts w:ascii="Arial" w:eastAsia="SimSun" w:hAnsi="Arial" w:cs="Times New Roman"/>
          <w:b/>
          <w:sz w:val="24"/>
          <w:szCs w:val="20"/>
        </w:rPr>
        <w:t xml:space="preserve">November </w:t>
      </w:r>
      <w:r w:rsidR="006E6311" w:rsidRPr="008A7AEA">
        <w:rPr>
          <w:rFonts w:ascii="Arial" w:eastAsia="SimSun" w:hAnsi="Arial" w:cs="Times New Roman"/>
          <w:b/>
          <w:sz w:val="24"/>
          <w:szCs w:val="20"/>
        </w:rPr>
        <w:t>1-12, 2021</w:t>
      </w:r>
    </w:p>
    <w:bookmarkEnd w:id="0"/>
    <w:bookmarkEnd w:id="1"/>
    <w:p w14:paraId="52CDCD23" w14:textId="77777777" w:rsidR="00841BCD" w:rsidRPr="008A7AEA"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8A7AEA" w:rsidRDefault="00841BCD" w:rsidP="00841BCD">
      <w:pPr>
        <w:tabs>
          <w:tab w:val="left" w:pos="1985"/>
        </w:tabs>
        <w:ind w:left="1985" w:hanging="1985"/>
        <w:rPr>
          <w:rFonts w:ascii="Arial" w:eastAsia="Calibri" w:hAnsi="Arial" w:cs="Arial"/>
          <w:b/>
          <w:bCs/>
          <w:sz w:val="24"/>
        </w:rPr>
      </w:pPr>
      <w:r w:rsidRPr="008A7AEA">
        <w:rPr>
          <w:rFonts w:ascii="Arial" w:eastAsia="Calibri" w:hAnsi="Arial" w:cs="Arial"/>
          <w:b/>
          <w:bCs/>
          <w:sz w:val="24"/>
        </w:rPr>
        <w:t>Source:</w:t>
      </w:r>
      <w:r w:rsidRPr="008A7AEA">
        <w:rPr>
          <w:rFonts w:ascii="Arial" w:eastAsia="Calibri" w:hAnsi="Arial" w:cs="Arial"/>
          <w:b/>
          <w:bCs/>
          <w:sz w:val="24"/>
        </w:rPr>
        <w:tab/>
        <w:t xml:space="preserve">Nokia, </w:t>
      </w:r>
      <w:r w:rsidR="0043750A" w:rsidRPr="008A7AEA">
        <w:rPr>
          <w:rFonts w:ascii="Arial" w:eastAsia="Calibri" w:hAnsi="Arial" w:cs="Arial"/>
          <w:b/>
          <w:bCs/>
          <w:sz w:val="24"/>
        </w:rPr>
        <w:t>Nokia</w:t>
      </w:r>
      <w:r w:rsidRPr="008A7AEA">
        <w:rPr>
          <w:rFonts w:ascii="Arial" w:eastAsia="Calibri" w:hAnsi="Arial" w:cs="Arial"/>
          <w:b/>
          <w:bCs/>
          <w:sz w:val="24"/>
        </w:rPr>
        <w:t xml:space="preserve"> Shanghai Bell</w:t>
      </w:r>
      <w:r w:rsidRPr="008A7AEA" w:rsidDel="00636277">
        <w:rPr>
          <w:rFonts w:ascii="Arial" w:eastAsia="Calibri" w:hAnsi="Arial" w:cs="Arial"/>
          <w:b/>
          <w:bCs/>
          <w:sz w:val="24"/>
        </w:rPr>
        <w:t xml:space="preserve"> </w:t>
      </w:r>
    </w:p>
    <w:p w14:paraId="0895565B" w14:textId="2C96EF2F" w:rsidR="00841BCD" w:rsidRPr="008A7AEA" w:rsidRDefault="00841BCD" w:rsidP="00841BCD">
      <w:pPr>
        <w:ind w:left="1985" w:hanging="1985"/>
        <w:rPr>
          <w:rFonts w:ascii="Arial" w:eastAsia="Calibri" w:hAnsi="Arial" w:cs="Arial"/>
          <w:b/>
          <w:bCs/>
          <w:sz w:val="24"/>
        </w:rPr>
      </w:pPr>
      <w:r w:rsidRPr="008A7AEA">
        <w:rPr>
          <w:rFonts w:ascii="Arial" w:eastAsia="Calibri" w:hAnsi="Arial" w:cs="Arial"/>
          <w:b/>
          <w:bCs/>
          <w:sz w:val="24"/>
        </w:rPr>
        <w:t>Title:</w:t>
      </w:r>
      <w:r w:rsidRPr="008A7AEA">
        <w:rPr>
          <w:rFonts w:ascii="Arial" w:eastAsia="Calibri" w:hAnsi="Arial" w:cs="Arial"/>
          <w:b/>
          <w:bCs/>
          <w:sz w:val="24"/>
        </w:rPr>
        <w:tab/>
      </w:r>
      <w:r w:rsidR="00CD1054" w:rsidRPr="008A7AEA">
        <w:rPr>
          <w:rFonts w:ascii="Arial" w:eastAsia="Calibri" w:hAnsi="Arial" w:cs="Arial"/>
          <w:b/>
          <w:bCs/>
          <w:sz w:val="24"/>
        </w:rPr>
        <w:t>O</w:t>
      </w:r>
      <w:r w:rsidR="00B23C52">
        <w:rPr>
          <w:rFonts w:ascii="Arial" w:eastAsia="Calibri" w:hAnsi="Arial" w:cs="Arial"/>
          <w:b/>
          <w:bCs/>
          <w:sz w:val="24"/>
        </w:rPr>
        <w:t>n</w:t>
      </w:r>
      <w:r w:rsidR="00CD1054" w:rsidRPr="008A7AEA">
        <w:rPr>
          <w:rFonts w:ascii="Arial" w:eastAsia="Calibri" w:hAnsi="Arial" w:cs="Arial"/>
          <w:b/>
          <w:bCs/>
          <w:sz w:val="24"/>
        </w:rPr>
        <w:t xml:space="preserve"> HST FR2 Deployment Scenario-A</w:t>
      </w:r>
    </w:p>
    <w:p w14:paraId="641E8BEA" w14:textId="0AE84935" w:rsidR="00841BCD" w:rsidRPr="008A7AEA" w:rsidRDefault="00841BCD" w:rsidP="004569C2">
      <w:pPr>
        <w:tabs>
          <w:tab w:val="left" w:pos="1985"/>
        </w:tabs>
        <w:spacing w:after="120" w:line="240" w:lineRule="auto"/>
        <w:rPr>
          <w:rFonts w:ascii="Arial" w:eastAsia="MS Mincho" w:hAnsi="Arial" w:cs="Arial"/>
          <w:b/>
          <w:bCs/>
          <w:sz w:val="24"/>
          <w:szCs w:val="20"/>
        </w:rPr>
      </w:pPr>
      <w:r w:rsidRPr="008A7AEA">
        <w:rPr>
          <w:rFonts w:ascii="Arial" w:eastAsia="MS Mincho" w:hAnsi="Arial" w:cs="Arial"/>
          <w:b/>
          <w:bCs/>
          <w:sz w:val="24"/>
          <w:szCs w:val="20"/>
        </w:rPr>
        <w:t>Agenda item:</w:t>
      </w:r>
      <w:r w:rsidRPr="008A7AEA">
        <w:rPr>
          <w:rFonts w:ascii="Arial" w:eastAsia="MS Mincho" w:hAnsi="Arial" w:cs="Arial"/>
          <w:b/>
          <w:bCs/>
          <w:sz w:val="24"/>
          <w:szCs w:val="20"/>
        </w:rPr>
        <w:tab/>
      </w:r>
      <w:r w:rsidR="004569C2" w:rsidRPr="004569C2">
        <w:rPr>
          <w:rFonts w:ascii="Arial" w:eastAsia="MS Mincho" w:hAnsi="Arial" w:cs="Arial"/>
          <w:b/>
          <w:bCs/>
          <w:sz w:val="24"/>
          <w:szCs w:val="20"/>
        </w:rPr>
        <w:t>8.9.2.1</w:t>
      </w:r>
      <w:r w:rsidR="004569C2">
        <w:rPr>
          <w:rFonts w:ascii="Arial" w:eastAsia="MS Mincho" w:hAnsi="Arial" w:cs="Arial"/>
          <w:b/>
          <w:bCs/>
          <w:sz w:val="24"/>
          <w:szCs w:val="20"/>
        </w:rPr>
        <w:t xml:space="preserve">, </w:t>
      </w:r>
      <w:r w:rsidR="004569C2" w:rsidRPr="004569C2">
        <w:rPr>
          <w:rFonts w:ascii="Arial" w:eastAsia="MS Mincho" w:hAnsi="Arial" w:cs="Arial"/>
          <w:b/>
          <w:bCs/>
          <w:sz w:val="24"/>
          <w:szCs w:val="20"/>
        </w:rPr>
        <w:t>Deployment Scenario-A</w:t>
      </w:r>
    </w:p>
    <w:p w14:paraId="02EA8C51" w14:textId="57D4DC5F" w:rsidR="00841BCD" w:rsidRPr="008A7AEA" w:rsidRDefault="00841BCD" w:rsidP="00841BCD">
      <w:pPr>
        <w:tabs>
          <w:tab w:val="left" w:pos="1985"/>
        </w:tabs>
        <w:rPr>
          <w:rFonts w:ascii="Arial" w:eastAsia="Calibri" w:hAnsi="Arial" w:cs="Arial"/>
          <w:b/>
          <w:bCs/>
          <w:sz w:val="24"/>
        </w:rPr>
      </w:pPr>
      <w:r w:rsidRPr="008A7AEA">
        <w:rPr>
          <w:rFonts w:ascii="Arial" w:eastAsia="Calibri" w:hAnsi="Arial" w:cs="Arial"/>
          <w:b/>
          <w:bCs/>
          <w:sz w:val="24"/>
        </w:rPr>
        <w:t>Document for:</w:t>
      </w:r>
      <w:r w:rsidRPr="008A7AEA">
        <w:rPr>
          <w:rFonts w:ascii="Arial" w:eastAsia="Calibri" w:hAnsi="Arial" w:cs="Arial"/>
          <w:b/>
          <w:bCs/>
          <w:sz w:val="24"/>
        </w:rPr>
        <w:tab/>
      </w:r>
      <w:r w:rsidR="00540EC7" w:rsidRPr="008A7AEA">
        <w:rPr>
          <w:rFonts w:ascii="Arial" w:eastAsia="Calibri" w:hAnsi="Arial" w:cs="Arial"/>
          <w:b/>
          <w:bCs/>
          <w:sz w:val="24"/>
        </w:rPr>
        <w:t>Discussion</w:t>
      </w:r>
    </w:p>
    <w:p w14:paraId="1C170427" w14:textId="77777777" w:rsidR="00540EC7" w:rsidRPr="008A7AEA" w:rsidRDefault="00540EC7" w:rsidP="00841BCD">
      <w:pPr>
        <w:tabs>
          <w:tab w:val="left" w:pos="1985"/>
        </w:tabs>
        <w:rPr>
          <w:rFonts w:ascii="Arial" w:eastAsia="Calibri" w:hAnsi="Arial" w:cs="Arial"/>
          <w:b/>
          <w:bCs/>
          <w:sz w:val="24"/>
        </w:rPr>
      </w:pPr>
    </w:p>
    <w:p w14:paraId="7B15C003" w14:textId="77777777" w:rsidR="00841BCD" w:rsidRPr="008A7AEA" w:rsidRDefault="00841BCD" w:rsidP="00A37002">
      <w:pPr>
        <w:pStyle w:val="RAN4H1"/>
        <w:rPr>
          <w:lang w:val="en-US"/>
        </w:rPr>
      </w:pPr>
      <w:r w:rsidRPr="008A7AEA">
        <w:rPr>
          <w:lang w:val="en-US"/>
        </w:rPr>
        <w:t>Intro</w:t>
      </w:r>
      <w:r w:rsidRPr="008A7AEA">
        <w:rPr>
          <w:rStyle w:val="RAN4H1Char"/>
          <w:lang w:val="en-US"/>
        </w:rPr>
        <w:t>ductio</w:t>
      </w:r>
      <w:r w:rsidRPr="008A7AEA">
        <w:rPr>
          <w:lang w:val="en-US"/>
        </w:rPr>
        <w:t>n</w:t>
      </w:r>
    </w:p>
    <w:p w14:paraId="0C7422F7" w14:textId="7E908E06" w:rsidR="005C23A4" w:rsidRDefault="002A4480" w:rsidP="005C23A4">
      <w:r>
        <w:t>Following the WF</w:t>
      </w:r>
      <w:r w:rsidR="00A5219A">
        <w:t xml:space="preserve"> on HST FR2 deployment scenario</w:t>
      </w:r>
      <w:r>
        <w:t xml:space="preserve"> </w:t>
      </w:r>
      <w:r w:rsidR="00175461">
        <w:fldChar w:fldCharType="begin"/>
      </w:r>
      <w:r w:rsidR="00175461">
        <w:instrText xml:space="preserve"> REF _Ref85832130 \r \h </w:instrText>
      </w:r>
      <w:r w:rsidR="00175461">
        <w:fldChar w:fldCharType="separate"/>
      </w:r>
      <w:r w:rsidR="00175461">
        <w:t>[1]</w:t>
      </w:r>
      <w:r w:rsidR="00175461">
        <w:fldChar w:fldCharType="end"/>
      </w:r>
      <w:r w:rsidR="008A2482">
        <w:t>,</w:t>
      </w:r>
      <w:r>
        <w:t xml:space="preserve"> </w:t>
      </w:r>
      <w:r w:rsidR="008A2482">
        <w:t>i</w:t>
      </w:r>
      <w:r w:rsidR="00ED552F">
        <w:t>n the previous RAN4#</w:t>
      </w:r>
      <w:r w:rsidR="00B55BB2">
        <w:t>100-e meeting it was agreed th</w:t>
      </w:r>
      <w:r>
        <w:t>at</w:t>
      </w:r>
    </w:p>
    <w:tbl>
      <w:tblPr>
        <w:tblStyle w:val="TableGrid"/>
        <w:tblW w:w="0" w:type="auto"/>
        <w:jc w:val="center"/>
        <w:tblLook w:val="04A0" w:firstRow="1" w:lastRow="0" w:firstColumn="1" w:lastColumn="0" w:noHBand="0" w:noVBand="1"/>
      </w:tblPr>
      <w:tblGrid>
        <w:gridCol w:w="8452"/>
      </w:tblGrid>
      <w:tr w:rsidR="004A4000" w14:paraId="5D911277" w14:textId="77777777" w:rsidTr="004A4000">
        <w:trPr>
          <w:jc w:val="center"/>
        </w:trPr>
        <w:tc>
          <w:tcPr>
            <w:tcW w:w="8452" w:type="dxa"/>
          </w:tcPr>
          <w:p w14:paraId="5830A75A" w14:textId="315A0F40" w:rsidR="004A4000" w:rsidRDefault="00FE18C3" w:rsidP="005C23A4">
            <w:r w:rsidRPr="00FE18C3">
              <w:t xml:space="preserve">No dedicated performance RAN4 requirements will be specified for Bi-directional deployment for Scenario A by assuming the requirements will be specified under </w:t>
            </w:r>
            <w:proofErr w:type="spellStart"/>
            <w:r w:rsidRPr="00FE18C3">
              <w:t>uni</w:t>
            </w:r>
            <w:proofErr w:type="spellEnd"/>
            <w:r w:rsidRPr="00FE18C3">
              <w:t xml:space="preserve">-directional deployment which pending on further confirmation in RRM session for the feasibility of </w:t>
            </w:r>
            <w:proofErr w:type="spellStart"/>
            <w:r w:rsidRPr="00FE18C3">
              <w:t>uni</w:t>
            </w:r>
            <w:proofErr w:type="spellEnd"/>
            <w:r w:rsidRPr="00FE18C3">
              <w:t>-directional deployment.</w:t>
            </w:r>
          </w:p>
        </w:tc>
      </w:tr>
    </w:tbl>
    <w:p w14:paraId="48A312A1" w14:textId="77777777" w:rsidR="004A4000" w:rsidRDefault="004A4000" w:rsidP="005C23A4"/>
    <w:p w14:paraId="1DB20CE4" w14:textId="5F42C5B9" w:rsidR="00B55BB2" w:rsidRDefault="004A29E2" w:rsidP="005C23A4">
      <w:r>
        <w:t>D</w:t>
      </w:r>
      <w:r w:rsidR="00FE18C3">
        <w:t xml:space="preserve">uring the meeting </w:t>
      </w:r>
      <w:r w:rsidR="00580841">
        <w:t>the following topics</w:t>
      </w:r>
      <w:r w:rsidR="001A3A77">
        <w:t xml:space="preserve"> captured in the email summary </w:t>
      </w:r>
      <w:r w:rsidR="00175461">
        <w:fldChar w:fldCharType="begin"/>
      </w:r>
      <w:r w:rsidR="00175461">
        <w:instrText xml:space="preserve"> REF _Ref85832144 \r \h </w:instrText>
      </w:r>
      <w:r w:rsidR="00175461">
        <w:fldChar w:fldCharType="separate"/>
      </w:r>
      <w:r w:rsidR="00175461">
        <w:t>[2]</w:t>
      </w:r>
      <w:r w:rsidR="00175461">
        <w:fldChar w:fldCharType="end"/>
      </w:r>
      <w:r w:rsidR="004D2BC6">
        <w:t xml:space="preserve"> were discussed:</w:t>
      </w:r>
    </w:p>
    <w:p w14:paraId="6622D643" w14:textId="790DF51F" w:rsidR="00CF706E" w:rsidRPr="00CF706E" w:rsidRDefault="00CF706E" w:rsidP="00CF706E">
      <w:pPr>
        <w:pStyle w:val="ListParagraph"/>
        <w:numPr>
          <w:ilvl w:val="0"/>
          <w:numId w:val="21"/>
        </w:numPr>
      </w:pPr>
      <w:r w:rsidRPr="002C10E3">
        <w:rPr>
          <w:b/>
          <w:bCs/>
        </w:rPr>
        <w:t>Issue 1-2-2</w:t>
      </w:r>
      <w:r w:rsidRPr="00CF706E">
        <w:t>: RRH beam back-lobe issue in Scenario-A</w:t>
      </w:r>
      <w:r w:rsidR="00FF1019">
        <w:t>,</w:t>
      </w:r>
      <w:r w:rsidR="007D3AC8">
        <w:br/>
        <w:t>I</w:t>
      </w:r>
      <w:r w:rsidR="007D3AC8" w:rsidRPr="007D3AC8">
        <w:t>n Scenario-A, the panel boresight and therefore the back-lobe are almost parallel to the railway track, thus a UE can occasionally get connected to the back side of the panel.</w:t>
      </w:r>
    </w:p>
    <w:p w14:paraId="02FBFFB5" w14:textId="0DE8D581" w:rsidR="004D2BC6" w:rsidRDefault="00701F1E" w:rsidP="004D2BC6">
      <w:pPr>
        <w:pStyle w:val="ListParagraph"/>
        <w:numPr>
          <w:ilvl w:val="0"/>
          <w:numId w:val="21"/>
        </w:numPr>
      </w:pPr>
      <w:r w:rsidRPr="002C10E3">
        <w:rPr>
          <w:b/>
          <w:bCs/>
        </w:rPr>
        <w:t>Issue 1-2-3</w:t>
      </w:r>
      <w:r w:rsidRPr="00701F1E">
        <w:t>: Potential Handover Issue</w:t>
      </w:r>
      <w:r w:rsidR="007D3AC8">
        <w:br/>
      </w:r>
      <w:r w:rsidR="00EA2C66" w:rsidRPr="00EA2C66">
        <w:t xml:space="preserve">sudden degraded serving cell quality for UE moving toward the serving beam in </w:t>
      </w:r>
      <w:proofErr w:type="spellStart"/>
      <w:r w:rsidR="00EA2C66" w:rsidRPr="00EA2C66">
        <w:t>uni</w:t>
      </w:r>
      <w:proofErr w:type="spellEnd"/>
      <w:r w:rsidR="00EA2C66" w:rsidRPr="00EA2C66">
        <w:t>-directional deployment.</w:t>
      </w:r>
    </w:p>
    <w:p w14:paraId="28BD485F" w14:textId="7070F7C3" w:rsidR="00B55BB2" w:rsidRDefault="00104C54" w:rsidP="005C23A4">
      <w:r>
        <w:t xml:space="preserve">Additionally, </w:t>
      </w:r>
      <w:r w:rsidR="00D44C5C">
        <w:t>the following</w:t>
      </w:r>
      <w:r w:rsidR="00373E6A">
        <w:t xml:space="preserve"> GTW</w:t>
      </w:r>
      <w:r w:rsidR="00D44C5C">
        <w:t xml:space="preserve"> agreement</w:t>
      </w:r>
      <w:r w:rsidR="00961B9A">
        <w:t>s are listed</w:t>
      </w:r>
      <w:r w:rsidR="00373E6A">
        <w:t xml:space="preserve"> the WF </w:t>
      </w:r>
      <w:r w:rsidR="00175461">
        <w:fldChar w:fldCharType="begin"/>
      </w:r>
      <w:r w:rsidR="00175461">
        <w:instrText xml:space="preserve"> REF _Ref85832162 \r \h </w:instrText>
      </w:r>
      <w:r w:rsidR="00175461">
        <w:fldChar w:fldCharType="separate"/>
      </w:r>
      <w:r w:rsidR="00175461">
        <w:t>[3]</w:t>
      </w:r>
      <w:r w:rsidR="00175461">
        <w:fldChar w:fldCharType="end"/>
      </w:r>
      <w:r w:rsidR="00373E6A">
        <w:t xml:space="preserve"> of HST FR2 RRM session:</w:t>
      </w:r>
    </w:p>
    <w:tbl>
      <w:tblPr>
        <w:tblStyle w:val="TableGrid"/>
        <w:tblW w:w="0" w:type="auto"/>
        <w:jc w:val="center"/>
        <w:tblLook w:val="04A0" w:firstRow="1" w:lastRow="0" w:firstColumn="1" w:lastColumn="0" w:noHBand="0" w:noVBand="1"/>
      </w:tblPr>
      <w:tblGrid>
        <w:gridCol w:w="8452"/>
      </w:tblGrid>
      <w:tr w:rsidR="00373E6A" w14:paraId="03A25D87" w14:textId="77777777" w:rsidTr="008B6864">
        <w:trPr>
          <w:jc w:val="center"/>
        </w:trPr>
        <w:tc>
          <w:tcPr>
            <w:tcW w:w="8452" w:type="dxa"/>
          </w:tcPr>
          <w:p w14:paraId="47DA5CEF" w14:textId="77777777" w:rsidR="00B264E5" w:rsidRPr="00903853" w:rsidRDefault="00B264E5" w:rsidP="00B264E5">
            <w:pPr>
              <w:pStyle w:val="ListParagraph"/>
              <w:numPr>
                <w:ilvl w:val="1"/>
                <w:numId w:val="22"/>
              </w:numPr>
              <w:overflowPunct w:val="0"/>
              <w:autoSpaceDE w:val="0"/>
              <w:autoSpaceDN w:val="0"/>
              <w:adjustRightInd w:val="0"/>
              <w:spacing w:after="180"/>
              <w:contextualSpacing w:val="0"/>
              <w:textAlignment w:val="baseline"/>
              <w:rPr>
                <w:rFonts w:eastAsia="Yu Mincho"/>
                <w:bCs/>
                <w:lang w:eastAsia="zh-CN"/>
              </w:rPr>
            </w:pPr>
            <w:r w:rsidRPr="00903853">
              <w:rPr>
                <w:rFonts w:eastAsia="Yu Mincho"/>
                <w:bCs/>
                <w:lang w:eastAsia="zh-CN"/>
              </w:rPr>
              <w:t>Define two set of requirements for Scenario A and Scenario B in terms of number of RX beams per UE</w:t>
            </w:r>
          </w:p>
          <w:p w14:paraId="08425FFF" w14:textId="77777777" w:rsidR="00373E6A" w:rsidRDefault="00B264E5" w:rsidP="00B264E5">
            <w:pPr>
              <w:pStyle w:val="ListParagraph"/>
              <w:numPr>
                <w:ilvl w:val="2"/>
                <w:numId w:val="22"/>
              </w:numPr>
              <w:overflowPunct w:val="0"/>
              <w:autoSpaceDE w:val="0"/>
              <w:autoSpaceDN w:val="0"/>
              <w:adjustRightInd w:val="0"/>
              <w:spacing w:after="180"/>
              <w:contextualSpacing w:val="0"/>
              <w:textAlignment w:val="baseline"/>
              <w:rPr>
                <w:rFonts w:eastAsia="Yu Mincho"/>
                <w:bCs/>
                <w:lang w:eastAsia="zh-CN"/>
              </w:rPr>
            </w:pPr>
            <w:r w:rsidRPr="00903853">
              <w:rPr>
                <w:rFonts w:eastAsia="Yu Mincho"/>
                <w:bCs/>
                <w:lang w:eastAsia="zh-CN"/>
              </w:rPr>
              <w:t>Scenario A: [2] RX beams for all scenarios</w:t>
            </w:r>
          </w:p>
          <w:p w14:paraId="4677F943" w14:textId="387F2060" w:rsidR="00B264E5" w:rsidRPr="00E54FF7" w:rsidRDefault="00E54FF7" w:rsidP="00E54FF7">
            <w:pPr>
              <w:pStyle w:val="ListParagraph"/>
              <w:numPr>
                <w:ilvl w:val="2"/>
                <w:numId w:val="22"/>
              </w:numPr>
              <w:overflowPunct w:val="0"/>
              <w:autoSpaceDE w:val="0"/>
              <w:autoSpaceDN w:val="0"/>
              <w:adjustRightInd w:val="0"/>
              <w:spacing w:after="180"/>
              <w:contextualSpacing w:val="0"/>
              <w:textAlignment w:val="baseline"/>
              <w:rPr>
                <w:rFonts w:eastAsia="Yu Mincho"/>
                <w:bCs/>
                <w:lang w:eastAsia="zh-CN"/>
              </w:rPr>
            </w:pPr>
            <w:r w:rsidRPr="00D73B16">
              <w:rPr>
                <w:rFonts w:eastAsia="Yu Mincho"/>
                <w:bCs/>
                <w:color w:val="808080" w:themeColor="background1" w:themeShade="80"/>
                <w:lang w:eastAsia="zh-CN"/>
              </w:rPr>
              <w:t>Scenario B: [6] RX beams for all scenarios</w:t>
            </w:r>
          </w:p>
        </w:tc>
      </w:tr>
    </w:tbl>
    <w:p w14:paraId="4E68D560" w14:textId="7E4EAAC7" w:rsidR="00104C54" w:rsidRDefault="00104C54" w:rsidP="005C23A4"/>
    <w:p w14:paraId="2AFA8B81" w14:textId="6B3C91EF" w:rsidR="00E54FF7" w:rsidRDefault="00E54FF7" w:rsidP="005C23A4">
      <w:r>
        <w:t>In our opinion, it was a lack of</w:t>
      </w:r>
      <w:r w:rsidR="006637A3">
        <w:t xml:space="preserve"> results provided by other companies</w:t>
      </w:r>
      <w:r w:rsidR="00961B9A">
        <w:t xml:space="preserve"> that could</w:t>
      </w:r>
      <w:r>
        <w:t xml:space="preserve"> </w:t>
      </w:r>
      <w:r w:rsidR="00C1505E">
        <w:t>c</w:t>
      </w:r>
      <w:r w:rsidR="00F8764E">
        <w:t>onfirm that there is no</w:t>
      </w:r>
      <w:r w:rsidR="007B35CF">
        <w:t xml:space="preserve"> potential HO </w:t>
      </w:r>
      <w:r w:rsidR="002C10E3">
        <w:t>I</w:t>
      </w:r>
      <w:r w:rsidR="007B35CF">
        <w:t>ssue 1-2-3</w:t>
      </w:r>
      <w:r w:rsidR="0034000F">
        <w:t>.</w:t>
      </w:r>
    </w:p>
    <w:p w14:paraId="6173B0E8" w14:textId="2FE2F69E" w:rsidR="00104C54" w:rsidRDefault="007B35CF" w:rsidP="005C23A4">
      <w:r>
        <w:t xml:space="preserve">Therefore, in this contribution, we are </w:t>
      </w:r>
      <w:r w:rsidR="002C10E3">
        <w:t>providing</w:t>
      </w:r>
      <w:r>
        <w:t xml:space="preserve"> new system-level simulation results for the </w:t>
      </w:r>
      <w:proofErr w:type="spellStart"/>
      <w:r>
        <w:t>uni</w:t>
      </w:r>
      <w:proofErr w:type="spellEnd"/>
      <w:r>
        <w:t xml:space="preserve">-directional </w:t>
      </w:r>
      <w:r w:rsidR="00447D48">
        <w:t>Scenario</w:t>
      </w:r>
      <w:r>
        <w:t>-A</w:t>
      </w:r>
      <w:r w:rsidR="00DB62EF">
        <w:t xml:space="preserve"> whe</w:t>
      </w:r>
      <w:r w:rsidR="00A64756">
        <w:t>re</w:t>
      </w:r>
      <w:r w:rsidR="00DB62EF">
        <w:t xml:space="preserve"> train move</w:t>
      </w:r>
      <w:r w:rsidR="009520FF">
        <w:t>s</w:t>
      </w:r>
      <w:r w:rsidR="00DB62EF">
        <w:t xml:space="preserve"> towards the serving beam. These results</w:t>
      </w:r>
      <w:r>
        <w:t xml:space="preserve"> </w:t>
      </w:r>
      <w:r w:rsidR="00DB62EF">
        <w:t>consider</w:t>
      </w:r>
      <w:r>
        <w:t xml:space="preserve"> the</w:t>
      </w:r>
      <w:r w:rsidR="00447D48">
        <w:t xml:space="preserve"> cumulative effect from the</w:t>
      </w:r>
      <w:r>
        <w:t xml:space="preserve"> </w:t>
      </w:r>
      <w:r w:rsidR="00447D48">
        <w:t xml:space="preserve">issues and agreements listed above. </w:t>
      </w:r>
    </w:p>
    <w:p w14:paraId="13A6C452" w14:textId="77777777" w:rsidR="0023152B" w:rsidRPr="008A7AEA" w:rsidRDefault="0023152B" w:rsidP="005C23A4"/>
    <w:p w14:paraId="5E6E091D" w14:textId="77777777" w:rsidR="003B659E" w:rsidRPr="008A7AEA" w:rsidRDefault="003B659E" w:rsidP="00AE56B1">
      <w:pPr>
        <w:pStyle w:val="RAN4H1"/>
        <w:rPr>
          <w:lang w:val="en-US"/>
        </w:rPr>
      </w:pPr>
      <w:r w:rsidRPr="008A7AEA">
        <w:rPr>
          <w:lang w:val="en-US"/>
        </w:rPr>
        <w:t>Discussion</w:t>
      </w:r>
    </w:p>
    <w:p w14:paraId="3E607DE5" w14:textId="3BA995D5" w:rsidR="005C23A4" w:rsidRDefault="00DD466B" w:rsidP="005C23A4">
      <w:r>
        <w:t xml:space="preserve">The </w:t>
      </w:r>
      <w:r w:rsidR="003C0EF3">
        <w:t xml:space="preserve">considered </w:t>
      </w:r>
      <w:r w:rsidR="00B2426E">
        <w:t>deployment scheme</w:t>
      </w:r>
      <w:r w:rsidR="003C0EF3">
        <w:t xml:space="preserve"> when the train is moving in the direction opposite to the serving beam</w:t>
      </w:r>
      <w:r w:rsidR="00B2426E">
        <w:t xml:space="preserve"> is presented in </w:t>
      </w:r>
      <w:r w:rsidR="00BE2060">
        <w:fldChar w:fldCharType="begin"/>
      </w:r>
      <w:r w:rsidR="00BE2060">
        <w:instrText xml:space="preserve"> REF _Ref85805152 \h </w:instrText>
      </w:r>
      <w:r w:rsidR="00BE2060">
        <w:fldChar w:fldCharType="separate"/>
      </w:r>
      <w:r w:rsidR="00802F1F">
        <w:t xml:space="preserve">Figure </w:t>
      </w:r>
      <w:r w:rsidR="00802F1F">
        <w:rPr>
          <w:noProof/>
        </w:rPr>
        <w:t>1</w:t>
      </w:r>
      <w:r w:rsidR="00BE2060">
        <w:fldChar w:fldCharType="end"/>
      </w:r>
      <w:r w:rsidR="00BE2060">
        <w:t>.</w:t>
      </w:r>
    </w:p>
    <w:p w14:paraId="35E58F3D" w14:textId="1245B98E" w:rsidR="00B2426E" w:rsidRDefault="001F2469" w:rsidP="00B2426E">
      <w:pPr>
        <w:keepNext/>
        <w:jc w:val="center"/>
      </w:pPr>
      <w:r>
        <w:object w:dxaOrig="6985" w:dyaOrig="2688" w14:anchorId="6467B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146.4pt" o:ole="">
            <v:imagedata r:id="rId13" o:title=""/>
          </v:shape>
          <o:OLEObject Type="Embed" ProgID="Visio.Drawing.15" ShapeID="_x0000_i1025" DrawAspect="Content" ObjectID="_1696448005" r:id="rId14"/>
        </w:object>
      </w:r>
    </w:p>
    <w:p w14:paraId="315FCBBE" w14:textId="26A96838" w:rsidR="00B2426E" w:rsidRDefault="00B2426E" w:rsidP="00B2426E">
      <w:pPr>
        <w:pStyle w:val="Caption"/>
      </w:pPr>
      <w:bookmarkStart w:id="3" w:name="_Ref85805152"/>
      <w:r>
        <w:t xml:space="preserve">Figure </w:t>
      </w:r>
      <w:r w:rsidR="00556C46">
        <w:fldChar w:fldCharType="begin"/>
      </w:r>
      <w:r w:rsidR="00556C46">
        <w:instrText xml:space="preserve"> SEQ Figure \* ARABIC </w:instrText>
      </w:r>
      <w:r w:rsidR="00556C46">
        <w:fldChar w:fldCharType="separate"/>
      </w:r>
      <w:r w:rsidR="001C6BF7">
        <w:rPr>
          <w:noProof/>
        </w:rPr>
        <w:t>1</w:t>
      </w:r>
      <w:r w:rsidR="00556C46">
        <w:rPr>
          <w:noProof/>
        </w:rPr>
        <w:fldChar w:fldCharType="end"/>
      </w:r>
      <w:bookmarkEnd w:id="3"/>
      <w:r>
        <w:t xml:space="preserve">: </w:t>
      </w:r>
      <w:r w:rsidR="00776907">
        <w:t xml:space="preserve">HST FR2 </w:t>
      </w:r>
      <w:r w:rsidR="006967BB">
        <w:t>Uni-directiona</w:t>
      </w:r>
      <w:r w:rsidR="00776907">
        <w:t>l deployment, the train is moving</w:t>
      </w:r>
      <w:r w:rsidR="0024573E">
        <w:t xml:space="preserve"> towards the serving beam.</w:t>
      </w:r>
    </w:p>
    <w:p w14:paraId="281EB64C" w14:textId="584CEBE4" w:rsidR="009520FF" w:rsidRDefault="009520FF" w:rsidP="005C23A4"/>
    <w:p w14:paraId="1A026F6F" w14:textId="4CAC53BE" w:rsidR="00B2426E" w:rsidRDefault="00BF7ADB" w:rsidP="005C23A4">
      <w:r>
        <w:t>Following the former agreements</w:t>
      </w:r>
      <w:r w:rsidR="001F2469">
        <w:t xml:space="preserve"> for the Scenario-A</w:t>
      </w:r>
      <w:r>
        <w:t>, we assume</w:t>
      </w:r>
      <w:r w:rsidR="003473B7">
        <w:t xml:space="preserve"> that</w:t>
      </w:r>
      <w:r>
        <w:t xml:space="preserve"> the RRH panel is oriented </w:t>
      </w:r>
      <w:r w:rsidR="003473B7">
        <w:t>towards the projection of the following RRH on the railway track</w:t>
      </w:r>
      <w:r w:rsidR="00072C35">
        <w:t>, and only one beam is used per RRH panel.</w:t>
      </w:r>
    </w:p>
    <w:p w14:paraId="20B1878A" w14:textId="5BA0662E" w:rsidR="00CB2475" w:rsidRDefault="00CB2475" w:rsidP="005C23A4">
      <w:r>
        <w:t xml:space="preserve">In our contribution to the previous meeting </w:t>
      </w:r>
      <w:r w:rsidR="00E80263">
        <w:fldChar w:fldCharType="begin"/>
      </w:r>
      <w:r w:rsidR="00E80263">
        <w:instrText xml:space="preserve"> REF _Ref85832185 \r \h </w:instrText>
      </w:r>
      <w:r w:rsidR="00E80263">
        <w:fldChar w:fldCharType="separate"/>
      </w:r>
      <w:r w:rsidR="00E80263">
        <w:t>[4]</w:t>
      </w:r>
      <w:r w:rsidR="00E80263">
        <w:fldChar w:fldCharType="end"/>
      </w:r>
      <w:r>
        <w:t>, we have already reported that the absence of the RRH panel back-lobe results in the extremely low signal levels behind the RRH, i.e., after the CPE has passed the RRH (around 50dB lower then with a back-lobe).</w:t>
      </w:r>
    </w:p>
    <w:p w14:paraId="12988D91" w14:textId="3B9DC1EB" w:rsidR="0069673F" w:rsidRDefault="000C5F6A" w:rsidP="005C23A4">
      <w:r>
        <w:t>As it was also confirmed</w:t>
      </w:r>
      <w:r w:rsidR="00973F23">
        <w:t xml:space="preserve"> by the other companies</w:t>
      </w:r>
      <w:r>
        <w:t xml:space="preserve"> in the previous meetings</w:t>
      </w:r>
      <w:r w:rsidR="00973F23">
        <w:t>, we are suppressing the back-lobe of the RRH and CPE panel</w:t>
      </w:r>
      <w:r w:rsidR="00F66352">
        <w:t xml:space="preserve"> </w:t>
      </w:r>
      <w:r w:rsidR="00E80263">
        <w:fldChar w:fldCharType="begin"/>
      </w:r>
      <w:r w:rsidR="00E80263">
        <w:instrText xml:space="preserve"> REF _Ref85832144 \r \h </w:instrText>
      </w:r>
      <w:r w:rsidR="00E80263">
        <w:fldChar w:fldCharType="separate"/>
      </w:r>
      <w:r w:rsidR="00E80263">
        <w:t>[2]</w:t>
      </w:r>
      <w:r w:rsidR="00E80263">
        <w:fldChar w:fldCharType="end"/>
      </w:r>
      <w:r w:rsidR="00AB6434">
        <w:t>:</w:t>
      </w:r>
      <w:r w:rsidR="0069673F">
        <w:br/>
      </w:r>
    </w:p>
    <w:tbl>
      <w:tblPr>
        <w:tblStyle w:val="TableGrid"/>
        <w:tblW w:w="0" w:type="auto"/>
        <w:jc w:val="center"/>
        <w:tblLook w:val="04A0" w:firstRow="1" w:lastRow="0" w:firstColumn="1" w:lastColumn="0" w:noHBand="0" w:noVBand="1"/>
      </w:tblPr>
      <w:tblGrid>
        <w:gridCol w:w="8452"/>
      </w:tblGrid>
      <w:tr w:rsidR="0069673F" w14:paraId="7BF24080" w14:textId="77777777" w:rsidTr="008B6864">
        <w:trPr>
          <w:jc w:val="center"/>
        </w:trPr>
        <w:tc>
          <w:tcPr>
            <w:tcW w:w="8452" w:type="dxa"/>
          </w:tcPr>
          <w:p w14:paraId="2D895B81" w14:textId="56084B68" w:rsidR="0069673F" w:rsidRPr="007554C5" w:rsidRDefault="007554C5" w:rsidP="007554C5">
            <w:pPr>
              <w:rPr>
                <w:bCs/>
                <w:lang w:eastAsia="ko-KR"/>
              </w:rPr>
            </w:pPr>
            <w:r>
              <w:rPr>
                <w:bCs/>
                <w:lang w:eastAsia="ko-KR"/>
              </w:rPr>
              <w:t>Issue 1-2-2: RRH beam back-lobe issue in Scenario-A</w:t>
            </w:r>
          </w:p>
          <w:tbl>
            <w:tblPr>
              <w:tblStyle w:val="TableGrid"/>
              <w:tblW w:w="0" w:type="auto"/>
              <w:tblLook w:val="04A0" w:firstRow="1" w:lastRow="0" w:firstColumn="1" w:lastColumn="0" w:noHBand="0" w:noVBand="1"/>
            </w:tblPr>
            <w:tblGrid>
              <w:gridCol w:w="1284"/>
              <w:gridCol w:w="6942"/>
            </w:tblGrid>
            <w:tr w:rsidR="00905687" w14:paraId="2A52E634" w14:textId="77777777" w:rsidTr="00AF445A">
              <w:tc>
                <w:tcPr>
                  <w:tcW w:w="1339" w:type="dxa"/>
                </w:tcPr>
                <w:p w14:paraId="709AE0DC" w14:textId="77777777" w:rsidR="00905687" w:rsidRDefault="00905687" w:rsidP="00905687">
                  <w:pPr>
                    <w:spacing w:after="120"/>
                    <w:rPr>
                      <w:rFonts w:eastAsiaTheme="minorEastAsia"/>
                      <w:b/>
                      <w:bCs/>
                      <w:lang w:eastAsia="zh-CN"/>
                    </w:rPr>
                  </w:pPr>
                  <w:r>
                    <w:rPr>
                      <w:rFonts w:eastAsiaTheme="minorEastAsia"/>
                      <w:b/>
                      <w:bCs/>
                      <w:lang w:eastAsia="zh-CN"/>
                    </w:rPr>
                    <w:t>Company</w:t>
                  </w:r>
                </w:p>
              </w:tc>
              <w:tc>
                <w:tcPr>
                  <w:tcW w:w="8292" w:type="dxa"/>
                </w:tcPr>
                <w:p w14:paraId="00B13BE1" w14:textId="77777777" w:rsidR="00905687" w:rsidRDefault="00905687" w:rsidP="00905687">
                  <w:pPr>
                    <w:spacing w:after="120"/>
                    <w:rPr>
                      <w:rFonts w:eastAsiaTheme="minorEastAsia"/>
                      <w:b/>
                      <w:bCs/>
                      <w:lang w:eastAsia="zh-CN"/>
                    </w:rPr>
                  </w:pPr>
                  <w:r>
                    <w:rPr>
                      <w:rFonts w:eastAsiaTheme="minorEastAsia"/>
                      <w:b/>
                      <w:bCs/>
                      <w:lang w:eastAsia="zh-CN"/>
                    </w:rPr>
                    <w:t>Comments</w:t>
                  </w:r>
                </w:p>
              </w:tc>
            </w:tr>
            <w:tr w:rsidR="00905687" w14:paraId="6506D34D" w14:textId="77777777" w:rsidTr="00AF445A">
              <w:tc>
                <w:tcPr>
                  <w:tcW w:w="1339" w:type="dxa"/>
                </w:tcPr>
                <w:p w14:paraId="49562CF6" w14:textId="77777777" w:rsidR="00905687" w:rsidRDefault="00905687" w:rsidP="00905687">
                  <w:pPr>
                    <w:spacing w:after="120"/>
                    <w:rPr>
                      <w:rFonts w:eastAsiaTheme="minorEastAsia"/>
                      <w:lang w:eastAsia="zh-CN"/>
                    </w:rPr>
                  </w:pPr>
                  <w:r>
                    <w:rPr>
                      <w:rFonts w:eastAsiaTheme="minorEastAsia"/>
                      <w:lang w:eastAsia="zh-CN"/>
                    </w:rPr>
                    <w:t>Ericsson</w:t>
                  </w:r>
                </w:p>
              </w:tc>
              <w:tc>
                <w:tcPr>
                  <w:tcW w:w="8292" w:type="dxa"/>
                </w:tcPr>
                <w:p w14:paraId="0A07B712" w14:textId="77777777" w:rsidR="00905687" w:rsidRDefault="00905687" w:rsidP="00905687">
                  <w:pPr>
                    <w:spacing w:after="120"/>
                    <w:rPr>
                      <w:rFonts w:eastAsiaTheme="minorEastAsia"/>
                      <w:lang w:eastAsia="zh-CN"/>
                    </w:rPr>
                  </w:pPr>
                  <w:r>
                    <w:rPr>
                      <w:rFonts w:eastAsiaTheme="minorEastAsia"/>
                      <w:lang w:eastAsia="zh-CN"/>
                    </w:rPr>
                    <w:t>Although a back-lobe may arise in a simulation with an antenna model, in a practical product it would be suppressed. The simulation model should also suppress back-lobes.</w:t>
                  </w:r>
                </w:p>
              </w:tc>
            </w:tr>
            <w:tr w:rsidR="00905687" w14:paraId="79D96B92" w14:textId="77777777" w:rsidTr="00AF445A">
              <w:tc>
                <w:tcPr>
                  <w:tcW w:w="1339" w:type="dxa"/>
                </w:tcPr>
                <w:p w14:paraId="51E51FCA" w14:textId="77777777" w:rsidR="00905687" w:rsidRDefault="00905687" w:rsidP="00905687">
                  <w:pPr>
                    <w:spacing w:after="120"/>
                    <w:rPr>
                      <w:rFonts w:eastAsiaTheme="minorEastAsia"/>
                      <w:lang w:eastAsia="zh-CN"/>
                    </w:rPr>
                  </w:pPr>
                  <w:r>
                    <w:rPr>
                      <w:rFonts w:eastAsiaTheme="minorEastAsia"/>
                      <w:lang w:eastAsia="zh-CN"/>
                    </w:rPr>
                    <w:t>Intel</w:t>
                  </w:r>
                </w:p>
              </w:tc>
              <w:tc>
                <w:tcPr>
                  <w:tcW w:w="8292" w:type="dxa"/>
                </w:tcPr>
                <w:p w14:paraId="5E017B06" w14:textId="77777777" w:rsidR="00905687" w:rsidRDefault="00905687" w:rsidP="00905687">
                  <w:pPr>
                    <w:spacing w:after="120"/>
                    <w:rPr>
                      <w:rFonts w:eastAsiaTheme="minorEastAsia"/>
                      <w:lang w:eastAsia="zh-CN"/>
                    </w:rPr>
                  </w:pPr>
                  <w:r>
                    <w:rPr>
                      <w:rFonts w:eastAsiaTheme="minorEastAsia"/>
                      <w:lang w:eastAsia="zh-CN"/>
                    </w:rPr>
                    <w:t>Agree with Ericsson’s comment. In practice there will be no back-lobe. If companies have concerns about the current simulation model, we can define larger front-to-back ratio in the antenna model.</w:t>
                  </w:r>
                </w:p>
              </w:tc>
            </w:tr>
          </w:tbl>
          <w:p w14:paraId="37095442" w14:textId="36B00740" w:rsidR="00905687" w:rsidRPr="00905687" w:rsidRDefault="00905687" w:rsidP="00905687">
            <w:pPr>
              <w:overflowPunct w:val="0"/>
              <w:autoSpaceDE w:val="0"/>
              <w:autoSpaceDN w:val="0"/>
              <w:adjustRightInd w:val="0"/>
              <w:spacing w:after="180"/>
              <w:textAlignment w:val="baseline"/>
              <w:rPr>
                <w:rFonts w:eastAsia="Yu Mincho"/>
                <w:bCs/>
                <w:lang w:eastAsia="zh-CN"/>
              </w:rPr>
            </w:pPr>
            <w:r>
              <w:rPr>
                <w:rFonts w:eastAsia="Yu Mincho"/>
                <w:bCs/>
                <w:lang w:eastAsia="zh-CN"/>
              </w:rPr>
              <w:t xml:space="preserve"> </w:t>
            </w:r>
          </w:p>
        </w:tc>
      </w:tr>
    </w:tbl>
    <w:p w14:paraId="7DF7A6D5" w14:textId="20C83E87" w:rsidR="00E574FB" w:rsidRDefault="00E574FB" w:rsidP="005C23A4"/>
    <w:p w14:paraId="3D139257" w14:textId="29D946F6" w:rsidR="00E574FB" w:rsidRDefault="00785DA7" w:rsidP="005C23A4">
      <w:r>
        <w:t xml:space="preserve">We start our </w:t>
      </w:r>
      <w:r w:rsidR="0071022D">
        <w:t>study</w:t>
      </w:r>
      <w:r>
        <w:t xml:space="preserve"> of the</w:t>
      </w:r>
      <w:r w:rsidR="008B2989">
        <w:t xml:space="preserve"> opposite</w:t>
      </w:r>
      <w:r>
        <w:t xml:space="preserve"> scenario </w:t>
      </w:r>
      <w:r w:rsidR="008B2989">
        <w:t>(</w:t>
      </w:r>
      <w:r>
        <w:t>Figure 1</w:t>
      </w:r>
      <w:r w:rsidR="008B2989">
        <w:t>)</w:t>
      </w:r>
      <w:r>
        <w:t xml:space="preserve"> with</w:t>
      </w:r>
      <w:r w:rsidR="00146AE9">
        <w:t xml:space="preserve"> the</w:t>
      </w:r>
      <w:r>
        <w:t xml:space="preserve"> </w:t>
      </w:r>
      <w:r w:rsidR="0071022D">
        <w:t xml:space="preserve">analysis of the impact of UE Rx beam orientation on the </w:t>
      </w:r>
      <w:r w:rsidR="00DE4D56">
        <w:t>system performance.</w:t>
      </w:r>
      <w:r w:rsidR="00A92EC1">
        <w:t xml:space="preserve"> UE panel boresight is</w:t>
      </w:r>
      <w:r w:rsidR="00792B7B">
        <w:t xml:space="preserve"> always</w:t>
      </w:r>
      <w:r w:rsidR="00A92EC1">
        <w:t xml:space="preserve"> parallel to the railway track.</w:t>
      </w:r>
      <w:r w:rsidR="002B5FFB">
        <w:t xml:space="preserve"> </w:t>
      </w:r>
      <w:r w:rsidR="00082E9A">
        <w:t xml:space="preserve">In </w:t>
      </w:r>
      <w:r w:rsidR="0009570E">
        <w:t>Figure 2</w:t>
      </w:r>
      <w:r w:rsidR="00082E9A">
        <w:t xml:space="preserve"> we show simulation results when only one Rx beam is used.</w:t>
      </w:r>
      <w:r w:rsidR="0009570E">
        <w:t xml:space="preserve"> </w:t>
      </w:r>
      <w:r w:rsidR="00082E9A">
        <w:t>I</w:t>
      </w:r>
      <w:r w:rsidR="0009570E">
        <w:t>t can</w:t>
      </w:r>
      <w:r w:rsidR="00082E9A">
        <w:t xml:space="preserve"> be</w:t>
      </w:r>
      <w:r w:rsidR="0009570E">
        <w:t xml:space="preserve"> </w:t>
      </w:r>
      <w:r w:rsidR="00B72A43">
        <w:t>seen that</w:t>
      </w:r>
      <w:r w:rsidR="00792B7B">
        <w:t xml:space="preserve"> </w:t>
      </w:r>
      <w:r w:rsidR="00ED320E">
        <w:t xml:space="preserve">that </w:t>
      </w:r>
      <w:r w:rsidR="00934D06">
        <w:t xml:space="preserve">the beam co-oriented with </w:t>
      </w:r>
      <w:r w:rsidR="00D94DFA">
        <w:t>the panel</w:t>
      </w:r>
      <w:r w:rsidR="002E21AB">
        <w:t>’</w:t>
      </w:r>
      <w:r w:rsidR="00D94DFA">
        <w:t xml:space="preserve">s boresight (RxBeams1-90) provides the best coverage and </w:t>
      </w:r>
      <w:r w:rsidR="00275AE1">
        <w:t>highest</w:t>
      </w:r>
      <w:r w:rsidR="00D94DFA">
        <w:t xml:space="preserve"> SINR along the whole track.</w:t>
      </w:r>
    </w:p>
    <w:p w14:paraId="55ED0EB8" w14:textId="41D1F764" w:rsidR="00E5160C" w:rsidRDefault="00E5160C" w:rsidP="005C23A4"/>
    <w:p w14:paraId="00D25463" w14:textId="78C6ADB1" w:rsidR="00AD7E05" w:rsidRDefault="0072567D" w:rsidP="00AD7E05">
      <w:pPr>
        <w:keepNext/>
        <w:jc w:val="center"/>
      </w:pPr>
      <w:r>
        <w:rPr>
          <w:noProof/>
        </w:rPr>
        <w:lastRenderedPageBreak/>
        <w:drawing>
          <wp:inline distT="0" distB="0" distL="0" distR="0" wp14:anchorId="2EF84E6C" wp14:editId="1DA98FB4">
            <wp:extent cx="2997643" cy="1963973"/>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12062" cy="1973420"/>
                    </a:xfrm>
                    <a:prstGeom prst="rect">
                      <a:avLst/>
                    </a:prstGeom>
                  </pic:spPr>
                </pic:pic>
              </a:graphicData>
            </a:graphic>
          </wp:inline>
        </w:drawing>
      </w:r>
      <w:r w:rsidR="000D4F65">
        <w:rPr>
          <w:noProof/>
        </w:rPr>
        <w:drawing>
          <wp:inline distT="0" distB="0" distL="0" distR="0" wp14:anchorId="30CDF37C" wp14:editId="133961C6">
            <wp:extent cx="3104057" cy="2057400"/>
            <wp:effectExtent l="0" t="0" r="127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113290" cy="2063519"/>
                    </a:xfrm>
                    <a:prstGeom prst="rect">
                      <a:avLst/>
                    </a:prstGeom>
                  </pic:spPr>
                </pic:pic>
              </a:graphicData>
            </a:graphic>
          </wp:inline>
        </w:drawing>
      </w:r>
    </w:p>
    <w:p w14:paraId="2F0C8029" w14:textId="47E18581" w:rsidR="00146AE9" w:rsidRDefault="00AD7E05" w:rsidP="00AD7E05">
      <w:pPr>
        <w:pStyle w:val="Caption"/>
      </w:pPr>
      <w:r>
        <w:t xml:space="preserve">Figure </w:t>
      </w:r>
      <w:r w:rsidR="00556C46">
        <w:fldChar w:fldCharType="begin"/>
      </w:r>
      <w:r w:rsidR="00556C46">
        <w:instrText xml:space="preserve"> SEQ Figure \* ARABIC </w:instrText>
      </w:r>
      <w:r w:rsidR="00556C46">
        <w:fldChar w:fldCharType="separate"/>
      </w:r>
      <w:r w:rsidR="001C6BF7">
        <w:rPr>
          <w:noProof/>
        </w:rPr>
        <w:t>2</w:t>
      </w:r>
      <w:r w:rsidR="00556C46">
        <w:rPr>
          <w:noProof/>
        </w:rPr>
        <w:fldChar w:fldCharType="end"/>
      </w:r>
      <w:r>
        <w:t xml:space="preserve">: </w:t>
      </w:r>
      <w:r w:rsidR="007438AC">
        <w:t>L1-RSRP</w:t>
      </w:r>
      <w:r w:rsidR="001B311F">
        <w:t xml:space="preserve"> </w:t>
      </w:r>
      <w:r w:rsidR="00D13449">
        <w:t xml:space="preserve">traces </w:t>
      </w:r>
      <w:r w:rsidR="001B311F">
        <w:t xml:space="preserve">of the serving </w:t>
      </w:r>
      <w:r w:rsidR="00AB5408">
        <w:t>RRH</w:t>
      </w:r>
      <w:r w:rsidR="0050344D">
        <w:t xml:space="preserve"> (left) </w:t>
      </w:r>
      <w:r w:rsidR="007438AC">
        <w:t xml:space="preserve">and </w:t>
      </w:r>
      <w:r w:rsidR="009876BA">
        <w:t>SINR CDF</w:t>
      </w:r>
      <w:r w:rsidR="00D13449">
        <w:t xml:space="preserve"> </w:t>
      </w:r>
      <w:r w:rsidR="00316CE3">
        <w:t>(right)</w:t>
      </w:r>
      <w:r w:rsidR="009876BA">
        <w:t xml:space="preserve"> for </w:t>
      </w:r>
      <w:r w:rsidR="0050344D">
        <w:t>the scenario in Figure 1</w:t>
      </w:r>
      <w:r w:rsidR="00316CE3">
        <w:t>.</w:t>
      </w:r>
      <w:r w:rsidR="002C48D9">
        <w:t xml:space="preserve"> Only one Rx beam with different orientations</w:t>
      </w:r>
      <w:r w:rsidR="00063519">
        <w:t xml:space="preserve"> is used at UE side.</w:t>
      </w:r>
    </w:p>
    <w:p w14:paraId="619BDD0B" w14:textId="77777777" w:rsidR="003A7229" w:rsidRDefault="003A7229" w:rsidP="003A7229">
      <w:pPr>
        <w:jc w:val="center"/>
      </w:pPr>
    </w:p>
    <w:p w14:paraId="6B846174" w14:textId="79040353" w:rsidR="00146AE9" w:rsidRDefault="00EA21B0" w:rsidP="00EA21B0">
      <w:pPr>
        <w:pStyle w:val="RAN4observation0"/>
      </w:pPr>
      <w:r>
        <w:t>The UE Rx beam oriented along the railway track</w:t>
      </w:r>
      <w:r w:rsidR="00C819F0">
        <w:t xml:space="preserve"> is optimal in </w:t>
      </w:r>
      <w:proofErr w:type="spellStart"/>
      <w:r w:rsidR="00C819F0">
        <w:t>uni</w:t>
      </w:r>
      <w:proofErr w:type="spellEnd"/>
      <w:r w:rsidR="00C819F0">
        <w:t>-directional Scenario-A.</w:t>
      </w:r>
    </w:p>
    <w:p w14:paraId="2DF2433D" w14:textId="77777777" w:rsidR="00904EB5" w:rsidRDefault="00904EB5" w:rsidP="00C819F0">
      <w:pPr>
        <w:rPr>
          <w:lang w:val="en-GB"/>
        </w:rPr>
      </w:pPr>
    </w:p>
    <w:p w14:paraId="5E407856" w14:textId="5CC78EE9" w:rsidR="006A21D2" w:rsidRDefault="00904EB5" w:rsidP="00C819F0">
      <w:pPr>
        <w:rPr>
          <w:lang w:val="en-GB"/>
        </w:rPr>
      </w:pPr>
      <w:r>
        <w:rPr>
          <w:lang w:val="en-GB"/>
        </w:rPr>
        <w:t xml:space="preserve">Next, if we </w:t>
      </w:r>
      <w:r w:rsidR="004C70C6">
        <w:rPr>
          <w:lang w:val="en-GB"/>
        </w:rPr>
        <w:t>consider a scenario whe</w:t>
      </w:r>
      <w:r w:rsidR="00604C19">
        <w:rPr>
          <w:lang w:val="en-GB"/>
        </w:rPr>
        <w:t>re</w:t>
      </w:r>
      <w:r w:rsidR="007B26A3">
        <w:rPr>
          <w:lang w:val="en-GB"/>
        </w:rPr>
        <w:t xml:space="preserve"> multiple Rx beams can be used at the UE side</w:t>
      </w:r>
      <w:r w:rsidR="00D535E5">
        <w:rPr>
          <w:lang w:val="en-GB"/>
        </w:rPr>
        <w:t xml:space="preserve"> (</w:t>
      </w:r>
      <w:r w:rsidR="00D535E5">
        <w:rPr>
          <w:lang w:val="en-GB"/>
        </w:rPr>
        <w:fldChar w:fldCharType="begin"/>
      </w:r>
      <w:r w:rsidR="00D535E5">
        <w:rPr>
          <w:lang w:val="en-GB"/>
        </w:rPr>
        <w:instrText xml:space="preserve"> REF _Ref85806680 \h </w:instrText>
      </w:r>
      <w:r w:rsidR="00D535E5">
        <w:rPr>
          <w:lang w:val="en-GB"/>
        </w:rPr>
      </w:r>
      <w:r w:rsidR="00D535E5">
        <w:rPr>
          <w:lang w:val="en-GB"/>
        </w:rPr>
        <w:fldChar w:fldCharType="separate"/>
      </w:r>
      <w:r w:rsidR="00802F1F">
        <w:t xml:space="preserve">Figure </w:t>
      </w:r>
      <w:r w:rsidR="00802F1F">
        <w:rPr>
          <w:noProof/>
        </w:rPr>
        <w:t>3</w:t>
      </w:r>
      <w:r w:rsidR="00D535E5">
        <w:rPr>
          <w:lang w:val="en-GB"/>
        </w:rPr>
        <w:fldChar w:fldCharType="end"/>
      </w:r>
      <w:r w:rsidR="00D535E5">
        <w:rPr>
          <w:lang w:val="en-GB"/>
        </w:rPr>
        <w:t>)</w:t>
      </w:r>
      <w:r w:rsidR="007B26A3">
        <w:rPr>
          <w:lang w:val="en-GB"/>
        </w:rPr>
        <w:t xml:space="preserve">. </w:t>
      </w:r>
      <w:r w:rsidR="00DB30D6">
        <w:rPr>
          <w:lang w:val="en-GB"/>
        </w:rPr>
        <w:t>Following the previous observation, we do not</w:t>
      </w:r>
      <w:r w:rsidR="00D535E5">
        <w:rPr>
          <w:lang w:val="en-GB"/>
        </w:rPr>
        <w:t xml:space="preserve"> see any gain from using more than one optimal beam</w:t>
      </w:r>
      <w:r w:rsidR="008E71D1">
        <w:rPr>
          <w:lang w:val="en-GB"/>
        </w:rPr>
        <w:t xml:space="preserve"> (</w:t>
      </w:r>
      <w:r w:rsidR="006E340E">
        <w:rPr>
          <w:lang w:val="en-GB"/>
        </w:rPr>
        <w:t>i.e., beam 90 that is parallel to the railway</w:t>
      </w:r>
      <w:r w:rsidR="00676499">
        <w:rPr>
          <w:lang w:val="en-GB"/>
        </w:rPr>
        <w:t xml:space="preserve"> track</w:t>
      </w:r>
      <w:r w:rsidR="008E71D1">
        <w:rPr>
          <w:lang w:val="en-GB"/>
        </w:rPr>
        <w:t>)</w:t>
      </w:r>
      <w:r w:rsidR="00D535E5">
        <w:rPr>
          <w:lang w:val="en-GB"/>
        </w:rPr>
        <w:t xml:space="preserve">, even if all of the </w:t>
      </w:r>
      <w:r w:rsidR="006A21D2">
        <w:rPr>
          <w:lang w:val="en-GB"/>
        </w:rPr>
        <w:t>additional beams are oriented towards the RRH.</w:t>
      </w:r>
    </w:p>
    <w:p w14:paraId="32295C96" w14:textId="77777777" w:rsidR="006A21D2" w:rsidRDefault="006A21D2" w:rsidP="00C819F0">
      <w:pPr>
        <w:rPr>
          <w:lang w:val="en-GB"/>
        </w:rPr>
      </w:pPr>
    </w:p>
    <w:p w14:paraId="1ADE79E7" w14:textId="3B54A09D" w:rsidR="003547F5" w:rsidRDefault="009E47F1" w:rsidP="003547F5">
      <w:pPr>
        <w:keepNext/>
        <w:jc w:val="center"/>
      </w:pPr>
      <w:r>
        <w:rPr>
          <w:noProof/>
        </w:rPr>
        <mc:AlternateContent>
          <mc:Choice Requires="wps">
            <w:drawing>
              <wp:anchor distT="0" distB="0" distL="114300" distR="114300" simplePos="0" relativeHeight="251661312" behindDoc="0" locked="0" layoutInCell="1" allowOverlap="1" wp14:anchorId="70593B3C" wp14:editId="35466600">
                <wp:simplePos x="0" y="0"/>
                <wp:positionH relativeFrom="column">
                  <wp:posOffset>3200400</wp:posOffset>
                </wp:positionH>
                <wp:positionV relativeFrom="paragraph">
                  <wp:posOffset>1675765</wp:posOffset>
                </wp:positionV>
                <wp:extent cx="937260" cy="281940"/>
                <wp:effectExtent l="0" t="0" r="15240" b="22860"/>
                <wp:wrapNone/>
                <wp:docPr id="4" name="Oval 4"/>
                <wp:cNvGraphicFramePr/>
                <a:graphic xmlns:a="http://schemas.openxmlformats.org/drawingml/2006/main">
                  <a:graphicData uri="http://schemas.microsoft.com/office/word/2010/wordprocessingShape">
                    <wps:wsp>
                      <wps:cNvSpPr/>
                      <wps:spPr>
                        <a:xfrm>
                          <a:off x="0" y="0"/>
                          <a:ext cx="937260" cy="28194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0BD4C4E" id="Oval 4" o:spid="_x0000_s1026" style="position:absolute;margin-left:252pt;margin-top:131.95pt;width:73.8pt;height:2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" filled="f" strokecolor="red" strokeweight="1pt">
                <v:stroke joinstyle="miter"/>
              </v:oval>
            </w:pict>
          </mc:Fallback>
        </mc:AlternateContent>
      </w:r>
      <w:r>
        <w:rPr>
          <w:noProof/>
        </w:rPr>
        <mc:AlternateContent>
          <mc:Choice Requires="wps">
            <w:drawing>
              <wp:anchor distT="0" distB="0" distL="114300" distR="114300" simplePos="0" relativeHeight="251657216" behindDoc="0" locked="0" layoutInCell="1" allowOverlap="1" wp14:anchorId="59BDA1D0" wp14:editId="5437B919">
                <wp:simplePos x="0" y="0"/>
                <wp:positionH relativeFrom="column">
                  <wp:posOffset>1247361</wp:posOffset>
                </wp:positionH>
                <wp:positionV relativeFrom="paragraph">
                  <wp:posOffset>800459</wp:posOffset>
                </wp:positionV>
                <wp:extent cx="518160" cy="1196340"/>
                <wp:effectExtent l="0" t="0" r="15240" b="22860"/>
                <wp:wrapNone/>
                <wp:docPr id="3" name="Oval 3"/>
                <wp:cNvGraphicFramePr/>
                <a:graphic xmlns:a="http://schemas.openxmlformats.org/drawingml/2006/main">
                  <a:graphicData uri="http://schemas.microsoft.com/office/word/2010/wordprocessingShape">
                    <wps:wsp>
                      <wps:cNvSpPr/>
                      <wps:spPr>
                        <a:xfrm>
                          <a:off x="0" y="0"/>
                          <a:ext cx="518160" cy="119634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2846AE" id="Oval 3" o:spid="_x0000_s1026" style="position:absolute;margin-left:98.2pt;margin-top:63.05pt;width:40.8pt;height:94.2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" filled="f" strokecolor="red" strokeweight="1pt">
                <v:stroke joinstyle="miter"/>
              </v:oval>
            </w:pict>
          </mc:Fallback>
        </mc:AlternateContent>
      </w:r>
      <w:r>
        <w:rPr>
          <w:noProof/>
          <w:sz w:val="16"/>
          <w:szCs w:val="16"/>
        </w:rPr>
        <w:drawing>
          <wp:inline distT="0" distB="0" distL="0" distR="0" wp14:anchorId="1550F3C2" wp14:editId="7242DECF">
            <wp:extent cx="2798859" cy="2100356"/>
            <wp:effectExtent l="0" t="0" r="1905"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819786" cy="2116060"/>
                    </a:xfrm>
                    <a:prstGeom prst="rect">
                      <a:avLst/>
                    </a:prstGeom>
                  </pic:spPr>
                </pic:pic>
              </a:graphicData>
            </a:graphic>
          </wp:inline>
        </w:drawing>
      </w:r>
      <w:r>
        <w:rPr>
          <w:noProof/>
        </w:rPr>
        <w:drawing>
          <wp:inline distT="0" distB="0" distL="0" distR="0" wp14:anchorId="0A32027C" wp14:editId="79449F10">
            <wp:extent cx="3124283" cy="2137667"/>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129139" cy="2140989"/>
                    </a:xfrm>
                    <a:prstGeom prst="rect">
                      <a:avLst/>
                    </a:prstGeom>
                  </pic:spPr>
                </pic:pic>
              </a:graphicData>
            </a:graphic>
          </wp:inline>
        </w:drawing>
      </w:r>
    </w:p>
    <w:p w14:paraId="0EC5B029" w14:textId="10113B56" w:rsidR="008C2E67" w:rsidRPr="006538CF" w:rsidRDefault="003547F5" w:rsidP="006538CF">
      <w:pPr>
        <w:pStyle w:val="Caption"/>
        <w:rPr>
          <w:lang w:val="en-GB"/>
        </w:rPr>
      </w:pPr>
      <w:bookmarkStart w:id="4" w:name="_Ref85806680"/>
      <w:r>
        <w:t xml:space="preserve">Figure </w:t>
      </w:r>
      <w:r w:rsidR="00556C46">
        <w:fldChar w:fldCharType="begin"/>
      </w:r>
      <w:r w:rsidR="00556C46">
        <w:instrText xml:space="preserve"> SEQ Figure \* ARABIC </w:instrText>
      </w:r>
      <w:r w:rsidR="00556C46">
        <w:fldChar w:fldCharType="separate"/>
      </w:r>
      <w:r w:rsidR="001C6BF7">
        <w:rPr>
          <w:noProof/>
        </w:rPr>
        <w:t>3</w:t>
      </w:r>
      <w:r w:rsidR="00556C46">
        <w:rPr>
          <w:noProof/>
        </w:rPr>
        <w:fldChar w:fldCharType="end"/>
      </w:r>
      <w:bookmarkEnd w:id="4"/>
      <w:r>
        <w:t xml:space="preserve">: </w:t>
      </w:r>
      <w:r w:rsidRPr="003547F5">
        <w:t xml:space="preserve">L1-RSRP traces of the serving RRH (left) and SINR CDF (right) for the scenario in Figure 1. </w:t>
      </w:r>
      <w:r w:rsidR="00A15833">
        <w:t>From one to four Rx beams oriented towards RRH are used on UE side.</w:t>
      </w:r>
    </w:p>
    <w:p w14:paraId="4904F3A2" w14:textId="34D464E5" w:rsidR="000D3052" w:rsidRDefault="000D3052" w:rsidP="003119FF">
      <w:pPr>
        <w:jc w:val="center"/>
      </w:pPr>
    </w:p>
    <w:p w14:paraId="07876049" w14:textId="0C937230" w:rsidR="004A7E5A" w:rsidRDefault="004A7E5A" w:rsidP="004A7E5A">
      <w:pPr>
        <w:pStyle w:val="RAN4observation0"/>
      </w:pPr>
      <w:r>
        <w:t xml:space="preserve">Addition of </w:t>
      </w:r>
      <w:r w:rsidR="00533767">
        <w:t xml:space="preserve">multiple UR Rx beams in </w:t>
      </w:r>
      <w:proofErr w:type="spellStart"/>
      <w:r w:rsidR="00533767">
        <w:t>uni</w:t>
      </w:r>
      <w:proofErr w:type="spellEnd"/>
      <w:r w:rsidR="00533767">
        <w:t>-directional Scenario-A does not provide any performance gain.</w:t>
      </w:r>
    </w:p>
    <w:p w14:paraId="5B13AF86" w14:textId="77777777" w:rsidR="0053707F" w:rsidRDefault="0053707F" w:rsidP="005C23A4"/>
    <w:p w14:paraId="1FBC489C" w14:textId="7F059BCC" w:rsidR="00BB7C8E" w:rsidRDefault="003119FF" w:rsidP="00BB7C8E">
      <w:r>
        <w:t>Additionally</w:t>
      </w:r>
      <w:r w:rsidR="001B53A8">
        <w:t>,</w:t>
      </w:r>
      <w:r w:rsidR="00FB27D2">
        <w:t xml:space="preserve"> in </w:t>
      </w:r>
      <w:r w:rsidR="00823F26">
        <w:fldChar w:fldCharType="begin"/>
      </w:r>
      <w:r w:rsidR="00823F26">
        <w:instrText xml:space="preserve"> REF _Ref85806680 \h </w:instrText>
      </w:r>
      <w:r w:rsidR="00823F26">
        <w:fldChar w:fldCharType="separate"/>
      </w:r>
      <w:r w:rsidR="00802F1F">
        <w:t xml:space="preserve">Figure </w:t>
      </w:r>
      <w:r w:rsidR="00802F1F">
        <w:rPr>
          <w:noProof/>
        </w:rPr>
        <w:t>3</w:t>
      </w:r>
      <w:r w:rsidR="00823F26">
        <w:fldChar w:fldCharType="end"/>
      </w:r>
      <w:r w:rsidR="00823F26">
        <w:t>,</w:t>
      </w:r>
      <w:r w:rsidR="001B53A8">
        <w:t xml:space="preserve"> it can </w:t>
      </w:r>
      <w:r w:rsidR="00533767">
        <w:t xml:space="preserve">be clearly seen that </w:t>
      </w:r>
      <w:r w:rsidR="00817E00">
        <w:t>there is</w:t>
      </w:r>
      <w:r w:rsidR="00F02112">
        <w:t xml:space="preserve"> </w:t>
      </w:r>
      <w:r w:rsidR="00150CB8">
        <w:t>a sudden and deep</w:t>
      </w:r>
      <w:r w:rsidR="00F02112">
        <w:t xml:space="preserve"> </w:t>
      </w:r>
      <w:r w:rsidR="00150CB8">
        <w:t>degradation</w:t>
      </w:r>
      <w:r w:rsidR="00F02112">
        <w:t xml:space="preserve"> of</w:t>
      </w:r>
      <w:r w:rsidR="00C82ABC">
        <w:t xml:space="preserve"> received</w:t>
      </w:r>
      <w:r w:rsidR="00F02112">
        <w:t xml:space="preserve"> signal </w:t>
      </w:r>
      <w:r w:rsidR="00150CB8">
        <w:t>power</w:t>
      </w:r>
      <w:r w:rsidR="00C82ABC">
        <w:t xml:space="preserve"> (up to 2</w:t>
      </w:r>
      <w:r w:rsidR="00150CB8">
        <w:t>0</w:t>
      </w:r>
      <w:r w:rsidR="00C82ABC">
        <w:t xml:space="preserve"> dB)</w:t>
      </w:r>
      <w:r w:rsidR="00F02112">
        <w:t xml:space="preserve"> </w:t>
      </w:r>
      <w:r w:rsidR="002949E6">
        <w:t>just before th</w:t>
      </w:r>
      <w:r w:rsidR="001262FF">
        <w:t>e</w:t>
      </w:r>
      <w:r w:rsidR="00982754">
        <w:t xml:space="preserve"> HO</w:t>
      </w:r>
      <w:r w:rsidR="007C04EC">
        <w:t xml:space="preserve"> that happens</w:t>
      </w:r>
      <w:r w:rsidR="00982754">
        <w:t xml:space="preserve"> </w:t>
      </w:r>
      <w:r w:rsidR="007C04EC">
        <w:t>ne</w:t>
      </w:r>
      <w:r w:rsidR="00710A87">
        <w:t>x</w:t>
      </w:r>
      <w:r w:rsidR="007C04EC">
        <w:t>t</w:t>
      </w:r>
      <w:r w:rsidR="00982754">
        <w:t xml:space="preserve"> to the RRH </w:t>
      </w:r>
      <w:r w:rsidR="00C628D3">
        <w:t>located</w:t>
      </w:r>
      <w:r w:rsidR="00C82ABC">
        <w:t xml:space="preserve"> at x coordinat</w:t>
      </w:r>
      <w:r w:rsidR="000541D3">
        <w:t>e</w:t>
      </w:r>
      <w:r w:rsidR="00C82ABC">
        <w:t xml:space="preserve"> 4550. </w:t>
      </w:r>
      <w:r w:rsidR="00CD12E3">
        <w:t>The Rx signal quality degradation</w:t>
      </w:r>
      <w:r w:rsidR="00150CB8">
        <w:t xml:space="preserve"> is also reflected in SINR CDF</w:t>
      </w:r>
      <w:r w:rsidR="0014294F">
        <w:t>s</w:t>
      </w:r>
      <w:r w:rsidR="00150CB8">
        <w:t xml:space="preserve"> where a long ta</w:t>
      </w:r>
      <w:r w:rsidR="00202D06">
        <w:t xml:space="preserve">il in the area of low SINRs is </w:t>
      </w:r>
      <w:r w:rsidR="00CD12E3">
        <w:t>present</w:t>
      </w:r>
      <w:r w:rsidR="00202D06">
        <w:t xml:space="preserve">. </w:t>
      </w:r>
    </w:p>
    <w:p w14:paraId="7E33AD76" w14:textId="58A7CC1C" w:rsidR="009520FF" w:rsidRDefault="009520FF" w:rsidP="005C23A4"/>
    <w:p w14:paraId="4FC99DEE" w14:textId="7288A52F" w:rsidR="00312AF1" w:rsidRDefault="00B26018" w:rsidP="00E17B6D">
      <w:r>
        <w:fldChar w:fldCharType="begin"/>
      </w:r>
      <w:r>
        <w:instrText xml:space="preserve"> REF _Ref85701686 \h </w:instrText>
      </w:r>
      <w:r>
        <w:fldChar w:fldCharType="separate"/>
      </w:r>
      <w:r w:rsidR="00802F1F">
        <w:t xml:space="preserve">Figure </w:t>
      </w:r>
      <w:r w:rsidR="00802F1F">
        <w:rPr>
          <w:noProof/>
        </w:rPr>
        <w:t>4</w:t>
      </w:r>
      <w:r>
        <w:fldChar w:fldCharType="end"/>
      </w:r>
      <w:r w:rsidR="00312AF1">
        <w:t xml:space="preserve"> shows time-of-outage rate </w:t>
      </w:r>
      <w:r w:rsidR="00B60A95">
        <w:t xml:space="preserve">from system level mobility simulations </w:t>
      </w:r>
      <w:r w:rsidR="00312AF1">
        <w:t xml:space="preserve">for Scenario-A with train traveling towards the RRH beams </w:t>
      </w:r>
      <w:r w:rsidR="0003627D">
        <w:t>(</w:t>
      </w:r>
      <w:r w:rsidR="00312AF1">
        <w:t>“</w:t>
      </w:r>
      <w:proofErr w:type="spellStart"/>
      <w:proofErr w:type="gramStart"/>
      <w:r w:rsidR="00312AF1">
        <w:t>RRHDir:Opposite</w:t>
      </w:r>
      <w:proofErr w:type="spellEnd"/>
      <w:proofErr w:type="gramEnd"/>
      <w:r w:rsidR="00312AF1">
        <w:t>”</w:t>
      </w:r>
      <w:r w:rsidR="0003627D">
        <w:t>)</w:t>
      </w:r>
      <w:r w:rsidR="00312AF1">
        <w:t xml:space="preserve"> and away from the RRH beams</w:t>
      </w:r>
      <w:r w:rsidR="0003627D">
        <w:t xml:space="preserve"> (“</w:t>
      </w:r>
      <w:proofErr w:type="spellStart"/>
      <w:r w:rsidR="0003627D">
        <w:t>RRHDir:Same</w:t>
      </w:r>
      <w:proofErr w:type="spellEnd"/>
      <w:r w:rsidR="0003627D">
        <w:t>”.)</w:t>
      </w:r>
      <w:r w:rsidR="004A3474">
        <w:t>,</w:t>
      </w:r>
      <w:r w:rsidR="00312AF1">
        <w:t xml:space="preserve"> i.e.</w:t>
      </w:r>
      <w:r w:rsidR="004A3474">
        <w:t xml:space="preserve">, </w:t>
      </w:r>
      <w:r w:rsidR="003F2A88">
        <w:t>Tx</w:t>
      </w:r>
      <w:r w:rsidR="00312AF1">
        <w:t xml:space="preserve"> beams are pointing to same direction as train moves</w:t>
      </w:r>
      <w:r w:rsidR="0003627D">
        <w:t xml:space="preserve">. </w:t>
      </w:r>
      <w:r w:rsidR="00312AF1">
        <w:t xml:space="preserve">We also show the effect of using scaling factor 2 or 8 and different DRX cycle lengths </w:t>
      </w:r>
      <w:r w:rsidR="00312AF1">
        <w:lastRenderedPageBreak/>
        <w:t xml:space="preserve">(DRX:0 is DRX disabled). Time-of-outage </w:t>
      </w:r>
      <w:r w:rsidR="00345342">
        <w:t>considers</w:t>
      </w:r>
      <w:r w:rsidR="00312AF1">
        <w:t xml:space="preserve"> periods of low signal quality (SINR &lt; -8 dB) </w:t>
      </w:r>
      <w:r w:rsidR="00177458">
        <w:t>and</w:t>
      </w:r>
      <w:r w:rsidR="00312AF1">
        <w:t xml:space="preserve"> period of outage due to successful handover execution (50 </w:t>
      </w:r>
      <w:proofErr w:type="spellStart"/>
      <w:r w:rsidR="00312AF1">
        <w:t>ms</w:t>
      </w:r>
      <w:proofErr w:type="spellEnd"/>
      <w:r w:rsidR="00312AF1">
        <w:t>). We observe that using deployment “</w:t>
      </w:r>
      <w:proofErr w:type="spellStart"/>
      <w:r w:rsidR="00312AF1">
        <w:t>RRHDir:Same</w:t>
      </w:r>
      <w:proofErr w:type="spellEnd"/>
      <w:r w:rsidR="00312AF1">
        <w:t>” provide</w:t>
      </w:r>
      <w:r w:rsidR="00217DF0">
        <w:t>s</w:t>
      </w:r>
      <w:r w:rsidR="00312AF1">
        <w:t xml:space="preserve"> much shorter time-of-outage</w:t>
      </w:r>
      <w:r w:rsidR="00217DF0">
        <w:t xml:space="preserve"> than “</w:t>
      </w:r>
      <w:proofErr w:type="spellStart"/>
      <w:r w:rsidR="00217DF0">
        <w:t>RRHDir:Opposite</w:t>
      </w:r>
      <w:proofErr w:type="spellEnd"/>
      <w:r w:rsidR="00217DF0">
        <w:t>” with all scaling</w:t>
      </w:r>
      <w:r w:rsidR="00BD0042">
        <w:t xml:space="preserve"> options</w:t>
      </w:r>
      <w:r w:rsidR="00217DF0">
        <w:t xml:space="preserve"> and DRX cycles.</w:t>
      </w:r>
    </w:p>
    <w:p w14:paraId="33F66A01" w14:textId="77777777" w:rsidR="005247EE" w:rsidRDefault="005247EE" w:rsidP="00E17B6D"/>
    <w:p w14:paraId="71496716" w14:textId="77777777" w:rsidR="00B26018" w:rsidRDefault="00312AF1" w:rsidP="00354A90">
      <w:pPr>
        <w:keepNext/>
        <w:jc w:val="center"/>
      </w:pPr>
      <w:r>
        <w:rPr>
          <w:noProof/>
        </w:rPr>
        <w:drawing>
          <wp:inline distT="0" distB="0" distL="0" distR="0" wp14:anchorId="0316CC09" wp14:editId="68138A85">
            <wp:extent cx="2868050" cy="2160000"/>
            <wp:effectExtent l="0" t="0" r="889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868050" cy="2160000"/>
                    </a:xfrm>
                    <a:prstGeom prst="rect">
                      <a:avLst/>
                    </a:prstGeom>
                  </pic:spPr>
                </pic:pic>
              </a:graphicData>
            </a:graphic>
          </wp:inline>
        </w:drawing>
      </w:r>
    </w:p>
    <w:p w14:paraId="64606187" w14:textId="2D606C7C" w:rsidR="00312AF1" w:rsidRDefault="00B26018" w:rsidP="00354A90">
      <w:pPr>
        <w:pStyle w:val="Caption"/>
      </w:pPr>
      <w:bookmarkStart w:id="5" w:name="_Ref85701686"/>
      <w:r>
        <w:t xml:space="preserve">Figure </w:t>
      </w:r>
      <w:r w:rsidR="00556C46">
        <w:fldChar w:fldCharType="begin"/>
      </w:r>
      <w:r w:rsidR="00556C46">
        <w:instrText xml:space="preserve"> SEQ Figure \* ARABIC </w:instrText>
      </w:r>
      <w:r w:rsidR="00556C46">
        <w:fldChar w:fldCharType="separate"/>
      </w:r>
      <w:r w:rsidR="001C6BF7">
        <w:rPr>
          <w:noProof/>
        </w:rPr>
        <w:t>4</w:t>
      </w:r>
      <w:r w:rsidR="00556C46">
        <w:rPr>
          <w:noProof/>
        </w:rPr>
        <w:fldChar w:fldCharType="end"/>
      </w:r>
      <w:bookmarkEnd w:id="5"/>
      <w:r>
        <w:t xml:space="preserve"> Average time-of-outage percentage</w:t>
      </w:r>
      <w:r w:rsidR="00C546E9">
        <w:t xml:space="preserve"> for two possible HST FR2 </w:t>
      </w:r>
      <w:proofErr w:type="spellStart"/>
      <w:r w:rsidR="00C546E9">
        <w:t>uni</w:t>
      </w:r>
      <w:proofErr w:type="spellEnd"/>
      <w:r w:rsidR="00C546E9">
        <w:t>-directional deployment</w:t>
      </w:r>
      <w:r w:rsidR="00181C83">
        <w:t>s</w:t>
      </w:r>
      <w:r w:rsidR="00C546E9">
        <w:t xml:space="preserve"> in Scen</w:t>
      </w:r>
      <w:r w:rsidR="00181C83">
        <w:t>a</w:t>
      </w:r>
      <w:r w:rsidR="00C546E9">
        <w:t xml:space="preserve">rio-A and with two measurements scaling </w:t>
      </w:r>
      <w:r w:rsidR="005247EE">
        <w:t>factors: 2 and 8.</w:t>
      </w:r>
    </w:p>
    <w:p w14:paraId="4AFD7903" w14:textId="77777777" w:rsidR="005247EE" w:rsidRDefault="005247EE" w:rsidP="00E17B6D"/>
    <w:p w14:paraId="5B6C1FC5" w14:textId="7FF817CC" w:rsidR="00217DF0" w:rsidRDefault="00B26018" w:rsidP="00E17B6D">
      <w:r>
        <w:fldChar w:fldCharType="begin"/>
      </w:r>
      <w:r>
        <w:instrText xml:space="preserve"> REF _Ref85701697 \h </w:instrText>
      </w:r>
      <w:r>
        <w:fldChar w:fldCharType="separate"/>
      </w:r>
      <w:r w:rsidR="00802F1F">
        <w:t xml:space="preserve">Figure </w:t>
      </w:r>
      <w:r w:rsidR="00802F1F">
        <w:rPr>
          <w:noProof/>
        </w:rPr>
        <w:t>5</w:t>
      </w:r>
      <w:r>
        <w:fldChar w:fldCharType="end"/>
      </w:r>
      <w:r w:rsidR="00217DF0">
        <w:t xml:space="preserve"> show</w:t>
      </w:r>
      <w:r>
        <w:t>s</w:t>
      </w:r>
      <w:r w:rsidR="00217DF0">
        <w:t xml:space="preserve"> </w:t>
      </w:r>
      <w:r w:rsidR="00B02AE9">
        <w:t>zoomed in</w:t>
      </w:r>
      <w:r w:rsidR="00217DF0">
        <w:t xml:space="preserve"> SINR distributions for scaling 2 and scaling 8 for the same deployments as time-of-outage results</w:t>
      </w:r>
      <w:r w:rsidR="00A6265D">
        <w:t xml:space="preserve"> above</w:t>
      </w:r>
      <w:r w:rsidR="00217DF0">
        <w:t xml:space="preserve">. DRX cycles up to 80 </w:t>
      </w:r>
      <w:proofErr w:type="spellStart"/>
      <w:r w:rsidR="00217DF0">
        <w:t>ms</w:t>
      </w:r>
      <w:proofErr w:type="spellEnd"/>
      <w:r w:rsidR="00217DF0">
        <w:t xml:space="preserve"> are shown and results are focused on low </w:t>
      </w:r>
      <w:r w:rsidR="001A562C">
        <w:t>percentiles</w:t>
      </w:r>
      <w:r w:rsidR="00217DF0">
        <w:t xml:space="preserve"> of CDF (up to </w:t>
      </w:r>
      <w:r w:rsidR="001A562C">
        <w:t>14-percentile</w:t>
      </w:r>
      <w:r w:rsidR="00217DF0">
        <w:t>).</w:t>
      </w:r>
      <w:r w:rsidR="001A562C">
        <w:t xml:space="preserve"> We observe much worse SINR </w:t>
      </w:r>
      <w:r w:rsidR="007763EE">
        <w:t>at</w:t>
      </w:r>
      <w:r w:rsidR="001A562C">
        <w:t xml:space="preserve"> lower percentiles for deployment “</w:t>
      </w:r>
      <w:proofErr w:type="spellStart"/>
      <w:r w:rsidR="001A562C">
        <w:t>RRHDir:Opposite</w:t>
      </w:r>
      <w:proofErr w:type="spellEnd"/>
      <w:r w:rsidR="001A562C">
        <w:t>”</w:t>
      </w:r>
      <w:r w:rsidR="009B287C">
        <w:t>.</w:t>
      </w:r>
      <w:r w:rsidR="00AD3193">
        <w:t xml:space="preserve"> </w:t>
      </w:r>
      <w:r w:rsidR="007763EE">
        <w:t>For example,</w:t>
      </w:r>
      <w:r w:rsidR="00AD3193">
        <w:t xml:space="preserve"> 1-percentile with DRX 40 </w:t>
      </w:r>
      <w:proofErr w:type="spellStart"/>
      <w:r w:rsidR="00AD3193">
        <w:t>ms</w:t>
      </w:r>
      <w:proofErr w:type="spellEnd"/>
      <w:r w:rsidR="00AD3193">
        <w:t>, scaling 2, drops from about 18 dB with “</w:t>
      </w:r>
      <w:proofErr w:type="spellStart"/>
      <w:r w:rsidR="00AD3193">
        <w:t>RRHDir:Same</w:t>
      </w:r>
      <w:proofErr w:type="spellEnd"/>
      <w:r w:rsidR="00AD3193">
        <w:t>” to -20 dB with “</w:t>
      </w:r>
      <w:proofErr w:type="spellStart"/>
      <w:r w:rsidR="00AD3193">
        <w:t>RRHDir:Opposite</w:t>
      </w:r>
      <w:proofErr w:type="spellEnd"/>
      <w:r w:rsidR="00AD3193">
        <w:t xml:space="preserve">”. This indicates mobility problems when train approaches </w:t>
      </w:r>
      <w:r w:rsidR="00A36A26">
        <w:t xml:space="preserve">and passes </w:t>
      </w:r>
      <w:r w:rsidR="00AD3193">
        <w:t xml:space="preserve">the serving </w:t>
      </w:r>
      <w:r w:rsidR="00313953">
        <w:t xml:space="preserve">beam and </w:t>
      </w:r>
      <w:r w:rsidR="00AD3193">
        <w:t>RRH that is close to the track and pointing opposite to train movement.</w:t>
      </w:r>
    </w:p>
    <w:p w14:paraId="6C0B74F4" w14:textId="77777777" w:rsidR="00B26018" w:rsidRDefault="00217DF0" w:rsidP="00DA1750">
      <w:pPr>
        <w:keepNext/>
      </w:pPr>
      <w:r>
        <w:rPr>
          <w:noProof/>
        </w:rPr>
        <w:drawing>
          <wp:inline distT="0" distB="0" distL="0" distR="0" wp14:anchorId="52524FBC" wp14:editId="3FFE9779">
            <wp:extent cx="3045011" cy="1764000"/>
            <wp:effectExtent l="0" t="0" r="3175" b="825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r>
        <w:rPr>
          <w:noProof/>
        </w:rPr>
        <w:drawing>
          <wp:inline distT="0" distB="0" distL="0" distR="0" wp14:anchorId="4EBCBD73" wp14:editId="037BF45A">
            <wp:extent cx="3045011" cy="1764000"/>
            <wp:effectExtent l="0" t="0" r="3175" b="8255"/>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45011" cy="1764000"/>
                    </a:xfrm>
                    <a:prstGeom prst="rect">
                      <a:avLst/>
                    </a:prstGeom>
                  </pic:spPr>
                </pic:pic>
              </a:graphicData>
            </a:graphic>
          </wp:inline>
        </w:drawing>
      </w:r>
    </w:p>
    <w:p w14:paraId="07EA9656" w14:textId="1FC2A707" w:rsidR="00217DF0" w:rsidRDefault="00B26018" w:rsidP="00DA1750">
      <w:pPr>
        <w:pStyle w:val="Caption"/>
      </w:pPr>
      <w:bookmarkStart w:id="6" w:name="_Ref85701697"/>
      <w:r>
        <w:t xml:space="preserve">Figure </w:t>
      </w:r>
      <w:r w:rsidR="00556C46">
        <w:fldChar w:fldCharType="begin"/>
      </w:r>
      <w:r w:rsidR="00556C46">
        <w:instrText xml:space="preserve"> SEQ Figure \* ARABIC </w:instrText>
      </w:r>
      <w:r w:rsidR="00556C46">
        <w:fldChar w:fldCharType="separate"/>
      </w:r>
      <w:r w:rsidR="001C6BF7">
        <w:rPr>
          <w:noProof/>
        </w:rPr>
        <w:t>5</w:t>
      </w:r>
      <w:r w:rsidR="00556C46">
        <w:rPr>
          <w:noProof/>
        </w:rPr>
        <w:fldChar w:fldCharType="end"/>
      </w:r>
      <w:bookmarkEnd w:id="6"/>
      <w:r>
        <w:t xml:space="preserve"> </w:t>
      </w:r>
      <w:r w:rsidR="00843900">
        <w:t xml:space="preserve">Zoomed in </w:t>
      </w:r>
      <w:r>
        <w:t>SINR distributions</w:t>
      </w:r>
      <w:r w:rsidR="00C763A8">
        <w:t xml:space="preserve"> for two possible </w:t>
      </w:r>
      <w:r w:rsidR="00581D9C">
        <w:t xml:space="preserve">HST FR2 </w:t>
      </w:r>
      <w:proofErr w:type="spellStart"/>
      <w:r w:rsidR="00581D9C">
        <w:t>uni</w:t>
      </w:r>
      <w:proofErr w:type="spellEnd"/>
      <w:r w:rsidR="00581D9C">
        <w:t xml:space="preserve">-directional </w:t>
      </w:r>
      <w:r w:rsidR="00815BE7">
        <w:t>deployments</w:t>
      </w:r>
      <w:r w:rsidR="00EC49BE">
        <w:t xml:space="preserve"> with</w:t>
      </w:r>
      <w:r w:rsidR="00FC4686">
        <w:t xml:space="preserve"> </w:t>
      </w:r>
      <w:r w:rsidR="001C40DB">
        <w:t xml:space="preserve">measurements scaling factor 2 (left) and 8 (right) corresponding to the </w:t>
      </w:r>
      <w:r w:rsidR="003D72CC">
        <w:t>number of Rx beams.</w:t>
      </w:r>
    </w:p>
    <w:p w14:paraId="0B0F922F" w14:textId="77777777" w:rsidR="00256997" w:rsidRDefault="00256997" w:rsidP="005C23A4"/>
    <w:p w14:paraId="2B254081" w14:textId="3F00C249" w:rsidR="002C3CCD" w:rsidRDefault="00214370" w:rsidP="002C3CCD">
      <w:pPr>
        <w:pStyle w:val="RAN4observation0"/>
      </w:pPr>
      <w:r>
        <w:t>The system-level performance of the</w:t>
      </w:r>
      <w:r w:rsidR="00491BDA">
        <w:t xml:space="preserve"> </w:t>
      </w:r>
      <w:proofErr w:type="spellStart"/>
      <w:r w:rsidR="00491BDA">
        <w:t>uni</w:t>
      </w:r>
      <w:proofErr w:type="spellEnd"/>
      <w:r w:rsidR="00491BDA">
        <w:t xml:space="preserve">-directional deployment in Scenario-A where the train is </w:t>
      </w:r>
      <w:r w:rsidR="00306F2E">
        <w:t xml:space="preserve">moving </w:t>
      </w:r>
      <w:r w:rsidR="00E61C1A">
        <w:t>towar</w:t>
      </w:r>
      <w:r w:rsidR="00755AD4">
        <w:t xml:space="preserve">ds the serving RRH beams is worse </w:t>
      </w:r>
      <w:r w:rsidR="00A92BCE">
        <w:t>than</w:t>
      </w:r>
      <w:r w:rsidR="00204851">
        <w:t xml:space="preserve"> in</w:t>
      </w:r>
      <w:r w:rsidR="00A92BCE">
        <w:t xml:space="preserve"> the scenario where the train is moving from</w:t>
      </w:r>
      <w:r w:rsidR="00765EE1">
        <w:t xml:space="preserve"> the </w:t>
      </w:r>
      <w:r w:rsidR="00D361A0">
        <w:t xml:space="preserve">serving RRH beam. Moreover, </w:t>
      </w:r>
      <w:r w:rsidR="00207DBE">
        <w:t xml:space="preserve">mobility problems </w:t>
      </w:r>
      <w:r w:rsidR="00CE46E6">
        <w:t>can be</w:t>
      </w:r>
      <w:r w:rsidR="00207DBE">
        <w:t xml:space="preserve"> expected in the</w:t>
      </w:r>
      <w:r w:rsidR="00E312E8">
        <w:t xml:space="preserve"> </w:t>
      </w:r>
      <w:r w:rsidR="00AF0D42">
        <w:t>“opposite” scenario where the train moves towar</w:t>
      </w:r>
      <w:r w:rsidR="00724C3A">
        <w:t>ds the RRH beam</w:t>
      </w:r>
      <w:r w:rsidR="005D79C2">
        <w:t>s</w:t>
      </w:r>
      <w:r w:rsidR="00FD1B6C">
        <w:t>, especially when DRX is enabled.</w:t>
      </w:r>
    </w:p>
    <w:p w14:paraId="58D632FB" w14:textId="77777777" w:rsidR="002C3CCD" w:rsidRDefault="002C3CCD" w:rsidP="005C23A4"/>
    <w:p w14:paraId="2A683A44" w14:textId="12236192" w:rsidR="00FD1B6C" w:rsidRPr="00AE23EF" w:rsidRDefault="00FD1B6C" w:rsidP="00FD1B6C">
      <w:r w:rsidRPr="00AE23EF">
        <w:t>Some companies have commented in the previous meeting that they do not expect that the significant drop in the signal strength can be an issue</w:t>
      </w:r>
      <w:r w:rsidR="005F6BAB">
        <w:t xml:space="preserve"> in the “opposite scenario</w:t>
      </w:r>
      <w:proofErr w:type="gramStart"/>
      <w:r w:rsidR="005F6BAB">
        <w:t xml:space="preserve">” </w:t>
      </w:r>
      <w:r w:rsidRPr="00AE23EF">
        <w:t>.</w:t>
      </w:r>
      <w:proofErr w:type="gramEnd"/>
      <w:r w:rsidR="005F6BAB">
        <w:t xml:space="preserve"> In particular, it was proposed to use more aggressive HO parameters to mitigate potential mobility problems:</w:t>
      </w:r>
    </w:p>
    <w:tbl>
      <w:tblPr>
        <w:tblStyle w:val="TableGrid"/>
        <w:tblW w:w="0" w:type="auto"/>
        <w:jc w:val="center"/>
        <w:tblLook w:val="04A0" w:firstRow="1" w:lastRow="0" w:firstColumn="1" w:lastColumn="0" w:noHBand="0" w:noVBand="1"/>
      </w:tblPr>
      <w:tblGrid>
        <w:gridCol w:w="8452"/>
      </w:tblGrid>
      <w:tr w:rsidR="00FD1B6C" w14:paraId="1F88087F" w14:textId="77777777" w:rsidTr="00EF61F4">
        <w:trPr>
          <w:jc w:val="center"/>
        </w:trPr>
        <w:tc>
          <w:tcPr>
            <w:tcW w:w="8452" w:type="dxa"/>
          </w:tcPr>
          <w:p w14:paraId="7B900948" w14:textId="77777777" w:rsidR="00FD1B6C" w:rsidRPr="00AE23EF" w:rsidRDefault="00FD1B6C" w:rsidP="00EF61F4">
            <w:pPr>
              <w:rPr>
                <w:lang w:eastAsia="zh-CN"/>
              </w:rPr>
            </w:pPr>
            <w:r w:rsidRPr="00AE23EF">
              <w:rPr>
                <w:lang w:eastAsia="zh-CN"/>
              </w:rPr>
              <w:t>Issue 1-2-3: Potential Handover Issue</w:t>
            </w:r>
          </w:p>
          <w:tbl>
            <w:tblPr>
              <w:tblStyle w:val="TableGrid"/>
              <w:tblW w:w="0" w:type="auto"/>
              <w:tblLook w:val="04A0" w:firstRow="1" w:lastRow="0" w:firstColumn="1" w:lastColumn="0" w:noHBand="0" w:noVBand="1"/>
            </w:tblPr>
            <w:tblGrid>
              <w:gridCol w:w="1283"/>
              <w:gridCol w:w="6943"/>
            </w:tblGrid>
            <w:tr w:rsidR="00FD1B6C" w:rsidRPr="00AE23EF" w14:paraId="1141BE14" w14:textId="77777777" w:rsidTr="00EF61F4">
              <w:tc>
                <w:tcPr>
                  <w:tcW w:w="1339" w:type="dxa"/>
                </w:tcPr>
                <w:p w14:paraId="5FC11367" w14:textId="77777777" w:rsidR="00FD1B6C" w:rsidRPr="00AE23EF" w:rsidRDefault="00FD1B6C" w:rsidP="00EF61F4">
                  <w:pPr>
                    <w:spacing w:after="120"/>
                    <w:rPr>
                      <w:rFonts w:eastAsiaTheme="minorEastAsia"/>
                      <w:b/>
                      <w:bCs/>
                      <w:lang w:eastAsia="zh-CN"/>
                    </w:rPr>
                  </w:pPr>
                  <w:r w:rsidRPr="00AE23EF">
                    <w:rPr>
                      <w:rFonts w:eastAsiaTheme="minorEastAsia"/>
                      <w:b/>
                      <w:bCs/>
                      <w:lang w:eastAsia="zh-CN"/>
                    </w:rPr>
                    <w:lastRenderedPageBreak/>
                    <w:t>Company</w:t>
                  </w:r>
                </w:p>
              </w:tc>
              <w:tc>
                <w:tcPr>
                  <w:tcW w:w="8292" w:type="dxa"/>
                </w:tcPr>
                <w:p w14:paraId="0D124730" w14:textId="77777777" w:rsidR="00FD1B6C" w:rsidRPr="00AE23EF" w:rsidRDefault="00FD1B6C" w:rsidP="00EF61F4">
                  <w:pPr>
                    <w:spacing w:after="120"/>
                    <w:rPr>
                      <w:rFonts w:eastAsiaTheme="minorEastAsia"/>
                      <w:b/>
                      <w:bCs/>
                      <w:lang w:eastAsia="zh-CN"/>
                    </w:rPr>
                  </w:pPr>
                  <w:r w:rsidRPr="00AE23EF">
                    <w:rPr>
                      <w:rFonts w:eastAsiaTheme="minorEastAsia"/>
                      <w:b/>
                      <w:bCs/>
                      <w:lang w:eastAsia="zh-CN"/>
                    </w:rPr>
                    <w:t>Comments</w:t>
                  </w:r>
                </w:p>
              </w:tc>
            </w:tr>
            <w:tr w:rsidR="00FD1B6C" w:rsidRPr="00AE23EF" w14:paraId="6319B17E" w14:textId="77777777" w:rsidTr="00EF61F4">
              <w:trPr>
                <w:trHeight w:val="58"/>
              </w:trPr>
              <w:tc>
                <w:tcPr>
                  <w:tcW w:w="1339" w:type="dxa"/>
                </w:tcPr>
                <w:p w14:paraId="2225BD3D" w14:textId="77777777" w:rsidR="00FD1B6C" w:rsidRPr="00AE23EF" w:rsidRDefault="00FD1B6C" w:rsidP="00EF61F4">
                  <w:pPr>
                    <w:spacing w:after="120"/>
                    <w:rPr>
                      <w:rFonts w:eastAsiaTheme="minorEastAsia"/>
                      <w:lang w:eastAsia="zh-CN"/>
                    </w:rPr>
                  </w:pPr>
                  <w:r w:rsidRPr="00AE23EF">
                    <w:rPr>
                      <w:rFonts w:eastAsiaTheme="minorEastAsia"/>
                      <w:lang w:eastAsia="zh-CN"/>
                    </w:rPr>
                    <w:t>Ericsson</w:t>
                  </w:r>
                </w:p>
              </w:tc>
              <w:tc>
                <w:tcPr>
                  <w:tcW w:w="8292" w:type="dxa"/>
                </w:tcPr>
                <w:p w14:paraId="1CD99AF0" w14:textId="77777777" w:rsidR="00FD1B6C" w:rsidRPr="00AE23EF" w:rsidRDefault="00FD1B6C" w:rsidP="00EF61F4">
                  <w:pPr>
                    <w:spacing w:after="120"/>
                    <w:rPr>
                      <w:rFonts w:eastAsiaTheme="minorEastAsia"/>
                      <w:lang w:eastAsia="zh-CN"/>
                    </w:rPr>
                  </w:pPr>
                  <w:r w:rsidRPr="00AE23EF">
                    <w:rPr>
                      <w:rFonts w:eastAsiaTheme="minorEastAsia"/>
                      <w:lang w:eastAsia="zh-CN"/>
                    </w:rPr>
                    <w:t>We do not believe that this issue is a showstopper (i.e., can be solved), but the RRM session should discuss.</w:t>
                  </w:r>
                </w:p>
              </w:tc>
            </w:tr>
            <w:tr w:rsidR="00FD1B6C" w:rsidRPr="00AE23EF" w14:paraId="750F335D" w14:textId="77777777" w:rsidTr="00EF61F4">
              <w:tc>
                <w:tcPr>
                  <w:tcW w:w="1339" w:type="dxa"/>
                </w:tcPr>
                <w:p w14:paraId="6BBB137A" w14:textId="77777777" w:rsidR="00FD1B6C" w:rsidRPr="00AE23EF" w:rsidRDefault="00FD1B6C" w:rsidP="00EF61F4">
                  <w:pPr>
                    <w:spacing w:after="120"/>
                    <w:rPr>
                      <w:rFonts w:eastAsiaTheme="minorEastAsia"/>
                      <w:lang w:eastAsia="zh-CN"/>
                    </w:rPr>
                  </w:pPr>
                  <w:r w:rsidRPr="00AE23EF">
                    <w:rPr>
                      <w:rFonts w:eastAsiaTheme="minorEastAsia"/>
                      <w:lang w:eastAsia="zh-CN"/>
                    </w:rPr>
                    <w:t>Nokia</w:t>
                  </w:r>
                </w:p>
              </w:tc>
              <w:tc>
                <w:tcPr>
                  <w:tcW w:w="8292" w:type="dxa"/>
                </w:tcPr>
                <w:p w14:paraId="02E70DF5" w14:textId="77777777" w:rsidR="00FD1B6C" w:rsidRPr="00AE23EF" w:rsidRDefault="00FD1B6C" w:rsidP="00EF61F4">
                  <w:pPr>
                    <w:spacing w:after="120"/>
                    <w:rPr>
                      <w:rFonts w:eastAsiaTheme="minorEastAsia"/>
                      <w:lang w:eastAsia="zh-CN"/>
                    </w:rPr>
                  </w:pPr>
                  <w:r w:rsidRPr="00AE23EF">
                    <w:rPr>
                      <w:rFonts w:eastAsiaTheme="minorEastAsia"/>
                      <w:lang w:eastAsia="zh-CN"/>
                    </w:rPr>
                    <w:t xml:space="preserve">Based on our system simulation results, some potential HO issues are observed in </w:t>
                  </w:r>
                  <w:proofErr w:type="spellStart"/>
                  <w:r w:rsidRPr="00AE23EF">
                    <w:rPr>
                      <w:rFonts w:eastAsiaTheme="minorEastAsia"/>
                      <w:lang w:eastAsia="zh-CN"/>
                    </w:rPr>
                    <w:t>uni</w:t>
                  </w:r>
                  <w:proofErr w:type="spellEnd"/>
                  <w:r w:rsidRPr="00AE23EF">
                    <w:rPr>
                      <w:rFonts w:eastAsiaTheme="minorEastAsia"/>
                      <w:lang w:eastAsia="zh-CN"/>
                    </w:rPr>
                    <w:t xml:space="preserve">-directional Scenario A when UE is moving in the direction opposite to the RRM beams. No such issues when the UE is moving in the same direction as the RRM beams. This is due to the significant difference in SINR in the beam of the serving cell and the beam in the </w:t>
                  </w:r>
                  <w:proofErr w:type="spellStart"/>
                  <w:r w:rsidRPr="00AE23EF">
                    <w:rPr>
                      <w:rFonts w:eastAsiaTheme="minorEastAsia"/>
                      <w:lang w:eastAsia="zh-CN"/>
                    </w:rPr>
                    <w:t>neighbouring</w:t>
                  </w:r>
                  <w:proofErr w:type="spellEnd"/>
                  <w:r w:rsidRPr="00AE23EF">
                    <w:rPr>
                      <w:rFonts w:eastAsiaTheme="minorEastAsia"/>
                      <w:lang w:eastAsia="zh-CN"/>
                    </w:rPr>
                    <w:t xml:space="preserve"> cell as a consequence of high path loss. However, this issue can be mitigated by other means.  </w:t>
                  </w:r>
                </w:p>
              </w:tc>
            </w:tr>
            <w:tr w:rsidR="00FD1B6C" w14:paraId="3439C828" w14:textId="77777777" w:rsidTr="00EF61F4">
              <w:tc>
                <w:tcPr>
                  <w:tcW w:w="1339" w:type="dxa"/>
                </w:tcPr>
                <w:p w14:paraId="63325BF0" w14:textId="77777777" w:rsidR="00FD1B6C" w:rsidRPr="00AE23EF" w:rsidRDefault="00FD1B6C" w:rsidP="00EF61F4">
                  <w:pPr>
                    <w:spacing w:after="120"/>
                    <w:rPr>
                      <w:rFonts w:eastAsiaTheme="minorEastAsia"/>
                      <w:lang w:eastAsia="zh-CN"/>
                    </w:rPr>
                  </w:pPr>
                  <w:r w:rsidRPr="00AE23EF">
                    <w:rPr>
                      <w:rFonts w:eastAsiaTheme="minorEastAsia"/>
                      <w:lang w:eastAsia="zh-CN"/>
                    </w:rPr>
                    <w:t>Intel</w:t>
                  </w:r>
                </w:p>
              </w:tc>
              <w:tc>
                <w:tcPr>
                  <w:tcW w:w="8292" w:type="dxa"/>
                </w:tcPr>
                <w:p w14:paraId="1DFDFF59" w14:textId="77777777" w:rsidR="00FD1B6C" w:rsidRDefault="00FD1B6C" w:rsidP="00EF61F4">
                  <w:pPr>
                    <w:spacing w:after="120"/>
                    <w:rPr>
                      <w:rFonts w:eastAsiaTheme="minorEastAsia"/>
                      <w:lang w:eastAsia="zh-CN"/>
                    </w:rPr>
                  </w:pPr>
                  <w:r w:rsidRPr="00AE23EF">
                    <w:rPr>
                      <w:szCs w:val="24"/>
                      <w:lang w:eastAsia="zh-CN"/>
                    </w:rPr>
                    <w:t>As we mentioned in Observation 2, potential handover issue can be solved by proper Network configuration: either through setting correct threshold (e.g. for A3 or A5 event) to perform HO earlier, or by using Conditional HO.</w:t>
                  </w:r>
                </w:p>
              </w:tc>
            </w:tr>
          </w:tbl>
          <w:p w14:paraId="27C083AB" w14:textId="77777777" w:rsidR="00FD1B6C" w:rsidRPr="00905687" w:rsidRDefault="00FD1B6C" w:rsidP="00EF61F4">
            <w:pPr>
              <w:overflowPunct w:val="0"/>
              <w:autoSpaceDE w:val="0"/>
              <w:autoSpaceDN w:val="0"/>
              <w:adjustRightInd w:val="0"/>
              <w:spacing w:after="180"/>
              <w:textAlignment w:val="baseline"/>
              <w:rPr>
                <w:rFonts w:eastAsia="Yu Mincho"/>
                <w:bCs/>
                <w:lang w:eastAsia="zh-CN"/>
              </w:rPr>
            </w:pPr>
            <w:r>
              <w:rPr>
                <w:rFonts w:eastAsia="Yu Mincho"/>
                <w:bCs/>
                <w:lang w:eastAsia="zh-CN"/>
              </w:rPr>
              <w:t xml:space="preserve"> </w:t>
            </w:r>
          </w:p>
        </w:tc>
      </w:tr>
    </w:tbl>
    <w:p w14:paraId="3B6CE42F" w14:textId="7E520EC4" w:rsidR="00FD1B6C" w:rsidRDefault="00FD1B6C" w:rsidP="005C23A4"/>
    <w:p w14:paraId="56079218" w14:textId="5989456F" w:rsidR="00D13233" w:rsidRDefault="00B567D1" w:rsidP="005C23A4">
      <w:r>
        <w:fldChar w:fldCharType="begin"/>
      </w:r>
      <w:r>
        <w:instrText xml:space="preserve"> REF _Ref85811216 \h </w:instrText>
      </w:r>
      <w:r>
        <w:fldChar w:fldCharType="separate"/>
      </w:r>
      <w:r>
        <w:t xml:space="preserve">Figure </w:t>
      </w:r>
      <w:r>
        <w:rPr>
          <w:noProof/>
        </w:rPr>
        <w:t>6</w:t>
      </w:r>
      <w:r>
        <w:fldChar w:fldCharType="end"/>
      </w:r>
      <w:r w:rsidR="00D13233">
        <w:t xml:space="preserve"> show</w:t>
      </w:r>
      <w:r>
        <w:t>s</w:t>
      </w:r>
      <w:r w:rsidR="00D13233">
        <w:t xml:space="preserve"> handover rate per CPE per second and time-of-outage percentage for “</w:t>
      </w:r>
      <w:proofErr w:type="spellStart"/>
      <w:proofErr w:type="gramStart"/>
      <w:r w:rsidR="00D13233">
        <w:t>RRHDir:Opposite</w:t>
      </w:r>
      <w:proofErr w:type="spellEnd"/>
      <w:proofErr w:type="gramEnd"/>
      <w:r w:rsidR="00D13233">
        <w:t>” deployment</w:t>
      </w:r>
      <w:r w:rsidR="00C330E6">
        <w:t xml:space="preserve"> with different handover parameters. Offset A3 settings are 1, 3 and -3 dB with corresponding time-to-trigger 80, 80, 0 </w:t>
      </w:r>
      <w:proofErr w:type="spellStart"/>
      <w:r w:rsidR="00C330E6">
        <w:t>ms.</w:t>
      </w:r>
      <w:proofErr w:type="spellEnd"/>
      <w:r w:rsidR="00C119D3">
        <w:t xml:space="preserve"> Also</w:t>
      </w:r>
      <w:r w:rsidR="00100789">
        <w:t>,</w:t>
      </w:r>
      <w:r w:rsidR="00C119D3">
        <w:t xml:space="preserve"> the effect of DRX cycles from disabled to 80 </w:t>
      </w:r>
      <w:proofErr w:type="spellStart"/>
      <w:r w:rsidR="00C119D3">
        <w:t>ms</w:t>
      </w:r>
      <w:proofErr w:type="spellEnd"/>
      <w:r w:rsidR="00C119D3">
        <w:t xml:space="preserve"> is shown.</w:t>
      </w:r>
      <w:r w:rsidR="00100789">
        <w:t xml:space="preserve"> We observe that handover rate increases very significantly when negative offset is used triggering handover when target cell is still worse than serving cell trying to compensate the tight handover timing requirement in “</w:t>
      </w:r>
      <w:proofErr w:type="spellStart"/>
      <w:r w:rsidR="00100789">
        <w:t>RRHDir:Opposite</w:t>
      </w:r>
      <w:proofErr w:type="spellEnd"/>
      <w:r w:rsidR="00100789">
        <w:t>” deployment.</w:t>
      </w:r>
      <w:r w:rsidR="00D72D4D">
        <w:t xml:space="preserve"> For this reason the time-of-outage rate increase with the negative offset when DRX is disabled. In some cases with DRX 40-80 </w:t>
      </w:r>
      <w:proofErr w:type="spellStart"/>
      <w:r w:rsidR="00D72D4D">
        <w:t>ms</w:t>
      </w:r>
      <w:proofErr w:type="spellEnd"/>
      <w:r w:rsidR="00D72D4D">
        <w:t xml:space="preserve"> </w:t>
      </w:r>
      <w:r w:rsidR="00593FCD">
        <w:t xml:space="preserve">assuming scaling factor of 8, </w:t>
      </w:r>
      <w:r w:rsidR="00D72D4D">
        <w:t xml:space="preserve">very aggressive handover setting can </w:t>
      </w:r>
      <w:r w:rsidR="000B2547">
        <w:t xml:space="preserve">provide minor </w:t>
      </w:r>
      <w:r w:rsidR="00D72D4D">
        <w:t>help as it decreases time-of-outage</w:t>
      </w:r>
      <w:r w:rsidR="00593FCD">
        <w:t xml:space="preserve"> and does not increase the amount of handover so drastically. Handover settings with either 1 or 3 dB offset look very similar in performance.</w:t>
      </w:r>
      <w:r w:rsidR="00B70BF6">
        <w:t xml:space="preserve"> These results indicate that the signal drop when train is traveling opposite direction than RRH Tx beams are pointing to can be so quick that adjusting handover parameters to perform HO earlier does not bring significant improvement when measurement delays due to DRX scaling are high.</w:t>
      </w:r>
      <w:r w:rsidR="000B2547">
        <w:t xml:space="preserve"> Without DRX very aggressive handover parameters can increase the amount of handover significantly while not helping in time-of-outage.</w:t>
      </w:r>
    </w:p>
    <w:p w14:paraId="09035D32" w14:textId="77777777" w:rsidR="00B567D1" w:rsidRDefault="00D13233" w:rsidP="00B567D1">
      <w:pPr>
        <w:keepNext/>
      </w:pPr>
      <w:r>
        <w:rPr>
          <w:noProof/>
        </w:rPr>
        <w:drawing>
          <wp:inline distT="0" distB="0" distL="0" distR="0" wp14:anchorId="197AC191" wp14:editId="01A0E6E5">
            <wp:extent cx="3011453" cy="2268000"/>
            <wp:effectExtent l="0" t="0" r="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011453" cy="2268000"/>
                    </a:xfrm>
                    <a:prstGeom prst="rect">
                      <a:avLst/>
                    </a:prstGeom>
                  </pic:spPr>
                </pic:pic>
              </a:graphicData>
            </a:graphic>
          </wp:inline>
        </w:drawing>
      </w:r>
      <w:r>
        <w:rPr>
          <w:noProof/>
        </w:rPr>
        <w:drawing>
          <wp:inline distT="0" distB="0" distL="0" distR="0" wp14:anchorId="66CD6269" wp14:editId="416177DF">
            <wp:extent cx="3011453" cy="2268000"/>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011453" cy="2268000"/>
                    </a:xfrm>
                    <a:prstGeom prst="rect">
                      <a:avLst/>
                    </a:prstGeom>
                  </pic:spPr>
                </pic:pic>
              </a:graphicData>
            </a:graphic>
          </wp:inline>
        </w:drawing>
      </w:r>
    </w:p>
    <w:p w14:paraId="5815604D" w14:textId="25FA559F" w:rsidR="00D13233" w:rsidRDefault="00B567D1" w:rsidP="00B567D1">
      <w:pPr>
        <w:pStyle w:val="Caption"/>
      </w:pPr>
      <w:bookmarkStart w:id="7" w:name="_Ref85811216"/>
      <w:r>
        <w:t xml:space="preserve">Figure </w:t>
      </w:r>
      <w:r w:rsidR="00556C46">
        <w:fldChar w:fldCharType="begin"/>
      </w:r>
      <w:r w:rsidR="00556C46">
        <w:instrText xml:space="preserve"> SEQ Figure \* ARABIC </w:instrText>
      </w:r>
      <w:r w:rsidR="00556C46">
        <w:fldChar w:fldCharType="separate"/>
      </w:r>
      <w:r>
        <w:rPr>
          <w:noProof/>
        </w:rPr>
        <w:t>6</w:t>
      </w:r>
      <w:r w:rsidR="00556C46">
        <w:rPr>
          <w:noProof/>
        </w:rPr>
        <w:fldChar w:fldCharType="end"/>
      </w:r>
      <w:bookmarkEnd w:id="7"/>
      <w:r>
        <w:t xml:space="preserve"> Handover rate and time-of-outage percentage with different handover parameter settings</w:t>
      </w:r>
    </w:p>
    <w:p w14:paraId="1E9F093B" w14:textId="7895CDCA" w:rsidR="00CF068C" w:rsidRDefault="00CF068C" w:rsidP="005C23A4"/>
    <w:p w14:paraId="1ACF2B9B" w14:textId="10446377" w:rsidR="00446A2C" w:rsidRDefault="008F5649" w:rsidP="00D21A68">
      <w:pPr>
        <w:pStyle w:val="RAN4observation0"/>
      </w:pPr>
      <w:r>
        <w:t>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6226BD2C" w14:textId="77777777" w:rsidR="00446A2C" w:rsidRDefault="00446A2C" w:rsidP="005C23A4"/>
    <w:p w14:paraId="42D4FB25" w14:textId="257B75CE" w:rsidR="00A61F1F" w:rsidRDefault="00A61F1F" w:rsidP="005C23A4">
      <w:r>
        <w:t xml:space="preserve">One </w:t>
      </w:r>
      <w:r w:rsidR="00131FAC">
        <w:t xml:space="preserve">additional factor that was not take </w:t>
      </w:r>
      <w:r w:rsidR="00E167E8">
        <w:t>into account so far is the rel</w:t>
      </w:r>
      <w:r w:rsidR="00961404">
        <w:t>iability of PDCCH, e.g.</w:t>
      </w:r>
      <w:r w:rsidR="00062888">
        <w:t>, of</w:t>
      </w:r>
      <w:r w:rsidR="00961404">
        <w:t xml:space="preserve"> HO command. So far</w:t>
      </w:r>
      <w:r w:rsidR="00CA260E">
        <w:t>,</w:t>
      </w:r>
      <w:r w:rsidR="00961404">
        <w:t xml:space="preserve"> our simulations assumed that HO command can always be received</w:t>
      </w:r>
      <w:r w:rsidR="00E915A3">
        <w:t>, i.e.</w:t>
      </w:r>
      <w:r w:rsidR="00230DB3">
        <w:t>,</w:t>
      </w:r>
      <w:r w:rsidR="00E915A3">
        <w:t xml:space="preserve"> ideal PDCCH</w:t>
      </w:r>
      <w:r w:rsidR="00961404">
        <w:t>. However,</w:t>
      </w:r>
      <w:r w:rsidR="00854693">
        <w:t xml:space="preserve"> in practice,</w:t>
      </w:r>
      <w:r w:rsidR="00961404">
        <w:t xml:space="preserve"> it </w:t>
      </w:r>
      <w:r w:rsidR="00A9146D">
        <w:t>cannot be always the case</w:t>
      </w:r>
      <w:r w:rsidR="00614422">
        <w:t xml:space="preserve"> in low</w:t>
      </w:r>
      <w:r w:rsidR="00E915A3">
        <w:t>er</w:t>
      </w:r>
      <w:r w:rsidR="00614422">
        <w:t>-SINR conditions. For example, it</w:t>
      </w:r>
      <w:r w:rsidR="00BD22B2">
        <w:t xml:space="preserve"> is</w:t>
      </w:r>
      <w:r w:rsidR="00614422">
        <w:t xml:space="preserve"> possible that the </w:t>
      </w:r>
      <w:r w:rsidR="00CA260E">
        <w:t>first</w:t>
      </w:r>
      <w:r w:rsidR="00C36EA8">
        <w:t xml:space="preserve"> transmission of</w:t>
      </w:r>
      <w:r w:rsidR="00614422">
        <w:t xml:space="preserve"> HO command was not</w:t>
      </w:r>
      <w:r w:rsidR="00CA260E">
        <w:t xml:space="preserve"> </w:t>
      </w:r>
      <w:r w:rsidR="00C612E6">
        <w:t>successfully</w:t>
      </w:r>
      <w:r w:rsidR="00614422">
        <w:t xml:space="preserve"> received by the CPE</w:t>
      </w:r>
      <w:r w:rsidR="009166A3">
        <w:t xml:space="preserve"> but </w:t>
      </w:r>
      <w:r w:rsidR="00CC4A3D">
        <w:t xml:space="preserve">the combining gain from retransition cannot be </w:t>
      </w:r>
      <w:r w:rsidR="00217EE4">
        <w:t>achieved</w:t>
      </w:r>
      <w:r w:rsidR="00CC4A3D">
        <w:t xml:space="preserve"> because </w:t>
      </w:r>
      <w:r w:rsidR="00217EE4">
        <w:t xml:space="preserve">the </w:t>
      </w:r>
      <w:r w:rsidR="00217EE4">
        <w:lastRenderedPageBreak/>
        <w:t>SINR</w:t>
      </w:r>
      <w:r w:rsidR="006F4EB3">
        <w:t xml:space="preserve"> </w:t>
      </w:r>
      <w:r w:rsidR="00405A90">
        <w:t xml:space="preserve">in </w:t>
      </w:r>
      <w:r w:rsidR="006F4EB3">
        <w:t>the “opposite” scenario</w:t>
      </w:r>
      <w:r w:rsidR="00217EE4">
        <w:t xml:space="preserve"> quickly gets worse next to the serving RRH.</w:t>
      </w:r>
      <w:r w:rsidR="007C1F6D">
        <w:t xml:space="preserve"> Hence, </w:t>
      </w:r>
      <w:r w:rsidR="00A51C46">
        <w:t>there is a higher chance of HO failure.</w:t>
      </w:r>
    </w:p>
    <w:p w14:paraId="40B4235A" w14:textId="25D2019C" w:rsidR="007A4EBB" w:rsidRDefault="007A4EBB" w:rsidP="007A4EBB">
      <w:pPr>
        <w:pStyle w:val="RAN4proposal"/>
      </w:pPr>
      <w:r>
        <w:t xml:space="preserve">RAN4 to consider the negative impact of </w:t>
      </w:r>
      <w:r w:rsidR="008D073B">
        <w:t>non-ideal PDCCH</w:t>
      </w:r>
      <w:r w:rsidR="00BF70EF">
        <w:t xml:space="preserve"> on mobility </w:t>
      </w:r>
      <w:r w:rsidR="00DB547F">
        <w:t>in the scenario whe</w:t>
      </w:r>
      <w:r w:rsidR="00E34EFD">
        <w:t>re</w:t>
      </w:r>
      <w:r w:rsidR="00DB547F">
        <w:t xml:space="preserve"> the CPE is moving towards its serving beam.</w:t>
      </w:r>
    </w:p>
    <w:p w14:paraId="292497F3" w14:textId="77777777" w:rsidR="00A61F1F" w:rsidRDefault="00A61F1F" w:rsidP="005C23A4"/>
    <w:p w14:paraId="464C1FD8" w14:textId="329C8C0E" w:rsidR="00980078" w:rsidRDefault="00B1596D" w:rsidP="005C23A4">
      <w:r>
        <w:t xml:space="preserve">One way to avoid </w:t>
      </w:r>
      <w:r w:rsidR="0014005C">
        <w:t>the scenario when the train is moving</w:t>
      </w:r>
      <w:r w:rsidR="00A61F1F">
        <w:t xml:space="preserve"> towards the serving beam is</w:t>
      </w:r>
      <w:r w:rsidR="00980078">
        <w:t xml:space="preserve"> to consider </w:t>
      </w:r>
      <w:r w:rsidR="001527AC">
        <w:t xml:space="preserve">double </w:t>
      </w:r>
      <w:proofErr w:type="spellStart"/>
      <w:r w:rsidR="001527AC">
        <w:t>uni</w:t>
      </w:r>
      <w:proofErr w:type="spellEnd"/>
      <w:r w:rsidR="00851F55">
        <w:t>-directional deployment in Scenario-A</w:t>
      </w:r>
      <w:r w:rsidR="00BC16D7">
        <w:t xml:space="preserve"> as a combination of two </w:t>
      </w:r>
      <w:proofErr w:type="spellStart"/>
      <w:r w:rsidR="00BC16D7">
        <w:t>uni</w:t>
      </w:r>
      <w:proofErr w:type="spellEnd"/>
      <w:r w:rsidR="00BC16D7">
        <w:t>-directional deployments</w:t>
      </w:r>
      <w:r w:rsidR="002569D6">
        <w:t xml:space="preserve"> ()</w:t>
      </w:r>
      <w:r w:rsidR="00BC16D7">
        <w:t>.</w:t>
      </w:r>
      <w:r w:rsidR="00216290">
        <w:t xml:space="preserve"> </w:t>
      </w:r>
      <w:r w:rsidR="00DD0448">
        <w:t xml:space="preserve">In </w:t>
      </w:r>
      <w:r w:rsidR="002569D6">
        <w:t>such</w:t>
      </w:r>
      <w:r w:rsidR="00DD0448">
        <w:t xml:space="preserve"> deployment, </w:t>
      </w:r>
      <w:r w:rsidR="001527AC">
        <w:t>b</w:t>
      </w:r>
      <w:r w:rsidR="007B2C4B">
        <w:t xml:space="preserve">y the proper selection of </w:t>
      </w:r>
      <w:r w:rsidR="000942AE">
        <w:t>RRH and UE panel the UE Rx beam is always oriented towards the RHH beam</w:t>
      </w:r>
      <w:r w:rsidR="005F69A5">
        <w:t xml:space="preserve">, and train movement and </w:t>
      </w:r>
      <w:r w:rsidR="00DD0448">
        <w:t>RRH panel directions are the same.</w:t>
      </w:r>
    </w:p>
    <w:p w14:paraId="4BABBE39" w14:textId="77777777" w:rsidR="000942AE" w:rsidRDefault="000942AE" w:rsidP="005C23A4"/>
    <w:p w14:paraId="3B2A4E01" w14:textId="77777777" w:rsidR="001C6BF7" w:rsidRDefault="00FC240E" w:rsidP="001C6BF7">
      <w:pPr>
        <w:keepNext/>
        <w:jc w:val="center"/>
      </w:pPr>
      <w:r>
        <w:object w:dxaOrig="5832" w:dyaOrig="1944" w14:anchorId="7D55EC34">
          <v:shape id="_x0000_i1026" type="#_x0000_t75" style="width:291.6pt;height:97.2pt" o:ole="">
            <v:imagedata r:id="rId24" o:title=""/>
          </v:shape>
          <o:OLEObject Type="Embed" ProgID="Visio.Drawing.15" ShapeID="_x0000_i1026" DrawAspect="Content" ObjectID="_1696448006" r:id="rId25"/>
        </w:object>
      </w:r>
    </w:p>
    <w:p w14:paraId="7E9C2667" w14:textId="33437541" w:rsidR="00980078" w:rsidRDefault="001C6BF7" w:rsidP="001C6BF7">
      <w:pPr>
        <w:pStyle w:val="Caption"/>
      </w:pPr>
      <w:r>
        <w:t xml:space="preserve">Figure </w:t>
      </w:r>
      <w:r w:rsidR="00556C46">
        <w:fldChar w:fldCharType="begin"/>
      </w:r>
      <w:r w:rsidR="00556C46">
        <w:instrText xml:space="preserve"> SEQ Figure \* ARABIC </w:instrText>
      </w:r>
      <w:r w:rsidR="00556C46">
        <w:fldChar w:fldCharType="separate"/>
      </w:r>
      <w:r w:rsidR="00D20AFA">
        <w:rPr>
          <w:noProof/>
        </w:rPr>
        <w:t>7</w:t>
      </w:r>
      <w:r w:rsidR="00556C46">
        <w:rPr>
          <w:noProof/>
        </w:rPr>
        <w:fldChar w:fldCharType="end"/>
      </w:r>
      <w:r>
        <w:t xml:space="preserve">: </w:t>
      </w:r>
      <w:r w:rsidR="008E09D3">
        <w:t xml:space="preserve">Dual </w:t>
      </w:r>
      <w:proofErr w:type="spellStart"/>
      <w:r w:rsidR="008E09D3">
        <w:t>uni</w:t>
      </w:r>
      <w:proofErr w:type="spellEnd"/>
      <w:r w:rsidR="008E09D3">
        <w:t xml:space="preserve">-directional deployment as a combination of tow </w:t>
      </w:r>
      <w:proofErr w:type="spellStart"/>
      <w:r w:rsidR="008E09D3">
        <w:t>uni</w:t>
      </w:r>
      <w:proofErr w:type="spellEnd"/>
      <w:r w:rsidR="008E09D3">
        <w:t>-directional deployment where the CPE is always moving from the serving beam.</w:t>
      </w:r>
    </w:p>
    <w:p w14:paraId="69D082CA" w14:textId="77777777" w:rsidR="002569D6" w:rsidRDefault="002569D6" w:rsidP="00595C93">
      <w:pPr>
        <w:jc w:val="center"/>
      </w:pPr>
    </w:p>
    <w:p w14:paraId="7D0B4015" w14:textId="1C3360F6" w:rsidR="00CF068C" w:rsidRDefault="00587CFF" w:rsidP="00957795">
      <w:pPr>
        <w:pStyle w:val="RAN4proposal"/>
      </w:pPr>
      <w:r>
        <w:t xml:space="preserve">RAN4 </w:t>
      </w:r>
      <w:r w:rsidR="005767DA">
        <w:t>to</w:t>
      </w:r>
      <w:r w:rsidR="003109A5">
        <w:t xml:space="preserve"> </w:t>
      </w:r>
      <w:r w:rsidR="00FA49B2">
        <w:t>further</w:t>
      </w:r>
      <w:r w:rsidR="003109A5">
        <w:t xml:space="preserve"> discuss </w:t>
      </w:r>
      <w:r w:rsidR="00CA3A05">
        <w:t xml:space="preserve">handover issues in </w:t>
      </w:r>
      <w:proofErr w:type="spellStart"/>
      <w:r w:rsidR="00020D7A">
        <w:t>uni</w:t>
      </w:r>
      <w:proofErr w:type="spellEnd"/>
      <w:r w:rsidR="00020D7A">
        <w:t xml:space="preserve">-directional scenario where </w:t>
      </w:r>
      <w:r w:rsidR="008F1113">
        <w:t xml:space="preserve">the CPE is </w:t>
      </w:r>
      <w:r w:rsidR="00E62AFF">
        <w:t>travelling</w:t>
      </w:r>
      <w:r w:rsidR="008F1113">
        <w:t xml:space="preserve"> towar</w:t>
      </w:r>
      <w:r w:rsidR="006F5097">
        <w:t xml:space="preserve">ds the </w:t>
      </w:r>
      <w:r w:rsidR="009034F9">
        <w:t>serving beam.</w:t>
      </w:r>
      <w:r w:rsidR="00311991">
        <w:br/>
        <w:t xml:space="preserve">Dual </w:t>
      </w:r>
      <w:proofErr w:type="spellStart"/>
      <w:r w:rsidR="00311991">
        <w:t>uni</w:t>
      </w:r>
      <w:proofErr w:type="spellEnd"/>
      <w:r w:rsidR="00311991">
        <w:t xml:space="preserve">-directional </w:t>
      </w:r>
      <w:r w:rsidR="00410F79">
        <w:t>deployment</w:t>
      </w:r>
      <w:r w:rsidR="00311991">
        <w:t xml:space="preserve"> </w:t>
      </w:r>
      <w:r w:rsidR="00CA3A05">
        <w:t xml:space="preserve">and other possible solutions </w:t>
      </w:r>
      <w:r w:rsidR="00311991">
        <w:t xml:space="preserve">can be </w:t>
      </w:r>
      <w:r w:rsidR="00344148">
        <w:t>considered</w:t>
      </w:r>
      <w:r w:rsidR="0051049B">
        <w:t>.</w:t>
      </w:r>
    </w:p>
    <w:p w14:paraId="2E502B05" w14:textId="77777777" w:rsidR="00CF068C" w:rsidRPr="00957795" w:rsidRDefault="00CF068C" w:rsidP="00957795"/>
    <w:p w14:paraId="16CA844C" w14:textId="77777777" w:rsidR="00CD7492" w:rsidRPr="008A7AEA" w:rsidRDefault="00CD7492" w:rsidP="00A37002">
      <w:pPr>
        <w:pStyle w:val="RAN4H1"/>
        <w:rPr>
          <w:lang w:val="en-US"/>
        </w:rPr>
      </w:pPr>
      <w:r w:rsidRPr="008A7AEA">
        <w:rPr>
          <w:lang w:val="en-US"/>
        </w:rPr>
        <w:t>Conclusion</w:t>
      </w:r>
    </w:p>
    <w:p w14:paraId="724223BC" w14:textId="62CD34C1" w:rsidR="005C23A4" w:rsidRDefault="00BF60C2" w:rsidP="005C23A4">
      <w:r>
        <w:t xml:space="preserve">In this contribution, we continue </w:t>
      </w:r>
      <w:r w:rsidR="00F60205">
        <w:t>the</w:t>
      </w:r>
      <w:r>
        <w:t xml:space="preserve"> analysis of </w:t>
      </w:r>
      <w:r w:rsidR="00F60205">
        <w:t xml:space="preserve">system-level performance in </w:t>
      </w:r>
      <w:proofErr w:type="spellStart"/>
      <w:r w:rsidR="00F60205">
        <w:t>uni</w:t>
      </w:r>
      <w:proofErr w:type="spellEnd"/>
      <w:r w:rsidR="00F60205">
        <w:t xml:space="preserve">-directional scenario where the train is </w:t>
      </w:r>
      <w:r w:rsidR="008A7CCD">
        <w:t>moving towar</w:t>
      </w:r>
      <w:r w:rsidR="00B25442">
        <w:t>ds the serving beam</w:t>
      </w:r>
      <w:r w:rsidR="00446A2C">
        <w:t>. The need for such a deployment</w:t>
      </w:r>
      <w:r w:rsidR="008D31D1">
        <w:t xml:space="preserve"> scenario</w:t>
      </w:r>
      <w:r w:rsidR="00446A2C">
        <w:t xml:space="preserve"> is challenged.</w:t>
      </w:r>
    </w:p>
    <w:p w14:paraId="7F3334F2" w14:textId="1438D915" w:rsidR="00446A2C" w:rsidRDefault="00446A2C" w:rsidP="005C23A4">
      <w:r>
        <w:t>The following observations and proposals are made:</w:t>
      </w:r>
    </w:p>
    <w:p w14:paraId="20893FBE" w14:textId="0A702A21" w:rsidR="00E77F35" w:rsidRDefault="00E77F35" w:rsidP="00E77F35">
      <w:pPr>
        <w:pStyle w:val="RAN4Observation"/>
        <w:numPr>
          <w:ilvl w:val="0"/>
          <w:numId w:val="25"/>
        </w:numPr>
      </w:pPr>
      <w:r>
        <w:t xml:space="preserve">The UE Rx beam oriented along the railway track is optimal in </w:t>
      </w:r>
      <w:proofErr w:type="spellStart"/>
      <w:r>
        <w:t>uni</w:t>
      </w:r>
      <w:proofErr w:type="spellEnd"/>
      <w:r>
        <w:t>-directional Scenario-A.</w:t>
      </w:r>
    </w:p>
    <w:p w14:paraId="0C0CE8AB" w14:textId="77777777" w:rsidR="00E77F35" w:rsidRPr="00E77F35" w:rsidRDefault="00E77F35" w:rsidP="00E77F35">
      <w:pPr>
        <w:rPr>
          <w:lang w:val="en-GB"/>
        </w:rPr>
      </w:pPr>
    </w:p>
    <w:p w14:paraId="26DA0052" w14:textId="77777777" w:rsidR="00E77F35" w:rsidRDefault="00E77F35" w:rsidP="00E77F35">
      <w:pPr>
        <w:pStyle w:val="RAN4Observation"/>
        <w:numPr>
          <w:ilvl w:val="0"/>
          <w:numId w:val="25"/>
        </w:numPr>
      </w:pPr>
      <w:r>
        <w:t xml:space="preserve">Addition of multiple UR Rx beams in </w:t>
      </w:r>
      <w:proofErr w:type="spellStart"/>
      <w:r>
        <w:t>uni</w:t>
      </w:r>
      <w:proofErr w:type="spellEnd"/>
      <w:r>
        <w:t>-directional Scenario-A does not provide any performance gain.</w:t>
      </w:r>
    </w:p>
    <w:p w14:paraId="0C9D73EE" w14:textId="66468FD5" w:rsidR="00446A2C" w:rsidRDefault="00446A2C" w:rsidP="005C23A4"/>
    <w:p w14:paraId="703D2818" w14:textId="77777777" w:rsidR="00E77F35" w:rsidRDefault="00E77F35" w:rsidP="00E77F35">
      <w:pPr>
        <w:pStyle w:val="RAN4observation0"/>
      </w:pPr>
      <w:r>
        <w:t xml:space="preserve">The system-level performance of the </w:t>
      </w:r>
      <w:proofErr w:type="spellStart"/>
      <w:r>
        <w:t>uni</w:t>
      </w:r>
      <w:proofErr w:type="spellEnd"/>
      <w:r>
        <w:t>-directional deployment in Scenario-A where the train is moving towards the serving RRH beams is worse than in the scenario where the train is moving from the serving RRH beam. Moreover, mobility problems can be expected in the “opposite” scenario where the train moves towards the RRH beams, especially when DRX is enabled.</w:t>
      </w:r>
    </w:p>
    <w:p w14:paraId="76A4BF7A" w14:textId="77777777" w:rsidR="00E77F35" w:rsidRDefault="00E77F35" w:rsidP="00E77F35"/>
    <w:p w14:paraId="2952A66E" w14:textId="77777777" w:rsidR="00E77F35" w:rsidRDefault="00E77F35" w:rsidP="00E77F35">
      <w:pPr>
        <w:pStyle w:val="RAN4observation0"/>
      </w:pPr>
      <w:r>
        <w:t>The drop in signal level when train is traveling opposite direction than RRH Tx beams are pointing to can be so quick that adjusting handover parameters to perform HO earlier does not bring significant improvement when measurement delays due to DRX scaling are high.</w:t>
      </w:r>
    </w:p>
    <w:p w14:paraId="15C9CAB7" w14:textId="77777777" w:rsidR="00E77F35" w:rsidRDefault="00E77F35" w:rsidP="005C23A4"/>
    <w:p w14:paraId="35BE8151" w14:textId="77777777" w:rsidR="00E77F35" w:rsidRDefault="00E77F35" w:rsidP="00E77F35">
      <w:pPr>
        <w:pStyle w:val="RAN4proposal"/>
        <w:numPr>
          <w:ilvl w:val="0"/>
          <w:numId w:val="26"/>
        </w:numPr>
      </w:pPr>
      <w:r>
        <w:lastRenderedPageBreak/>
        <w:t>RAN4 to consider the negative impact of non-ideal PDCCH on mobility in the scenario where the CPE is moving towards its serving beam.</w:t>
      </w:r>
    </w:p>
    <w:p w14:paraId="7CA42EC2" w14:textId="321AD463" w:rsidR="00BF60C2" w:rsidRDefault="00BF60C2" w:rsidP="005C23A4"/>
    <w:p w14:paraId="601C6AC7" w14:textId="77777777" w:rsidR="00E77F35" w:rsidRDefault="00E77F35" w:rsidP="00E77F35">
      <w:pPr>
        <w:pStyle w:val="RAN4proposal"/>
      </w:pPr>
      <w:r>
        <w:t xml:space="preserve">RAN4 to further discuss handover issues in </w:t>
      </w:r>
      <w:proofErr w:type="spellStart"/>
      <w:r>
        <w:t>uni</w:t>
      </w:r>
      <w:proofErr w:type="spellEnd"/>
      <w:r>
        <w:t>-directional scenario where the CPE is travelling towards the serving beam.</w:t>
      </w:r>
      <w:r>
        <w:br/>
        <w:t xml:space="preserve">Dual </w:t>
      </w:r>
      <w:proofErr w:type="spellStart"/>
      <w:r>
        <w:t>uni</w:t>
      </w:r>
      <w:proofErr w:type="spellEnd"/>
      <w:r>
        <w:t>-directional deployment and other possible solutions can be considered.</w:t>
      </w:r>
    </w:p>
    <w:p w14:paraId="605A46D5" w14:textId="77777777" w:rsidR="00BF60C2" w:rsidRPr="008A7AEA" w:rsidRDefault="00BF60C2" w:rsidP="005C23A4"/>
    <w:p w14:paraId="6E61D21D" w14:textId="77777777" w:rsidR="003B659E" w:rsidRPr="008A7AEA" w:rsidRDefault="003B659E" w:rsidP="005C23A4">
      <w:pPr>
        <w:pStyle w:val="RAN4H1"/>
        <w:numPr>
          <w:ilvl w:val="0"/>
          <w:numId w:val="0"/>
        </w:numPr>
        <w:ind w:left="360" w:hanging="360"/>
        <w:rPr>
          <w:lang w:val="en-US"/>
        </w:rPr>
      </w:pPr>
      <w:r w:rsidRPr="008A7AEA">
        <w:rPr>
          <w:lang w:val="en-US"/>
        </w:rPr>
        <w:t>References</w:t>
      </w:r>
    </w:p>
    <w:p w14:paraId="39C69540" w14:textId="076CD63F" w:rsidR="00687FA0" w:rsidRDefault="00175461" w:rsidP="00015D58">
      <w:pPr>
        <w:pStyle w:val="ListParagraph"/>
        <w:numPr>
          <w:ilvl w:val="0"/>
          <w:numId w:val="24"/>
        </w:numPr>
        <w:ind w:right="-22"/>
      </w:pPr>
      <w:bookmarkStart w:id="8" w:name="_Ref85832130"/>
      <w:r w:rsidRPr="008A2482">
        <w:t>R4-2115725</w:t>
      </w:r>
      <w:bookmarkEnd w:id="8"/>
      <w:r w:rsidR="00310862">
        <w:t xml:space="preserve">, </w:t>
      </w:r>
      <w:r w:rsidR="00310862" w:rsidRPr="00310862">
        <w:t>WF on Remaining issues on FR2 HST deployment scenario and channel modeling</w:t>
      </w:r>
      <w:r w:rsidR="00310862">
        <w:t xml:space="preserve">, </w:t>
      </w:r>
      <w:r w:rsidR="00310862" w:rsidRPr="00310862">
        <w:t>Samsung</w:t>
      </w:r>
      <w:r w:rsidR="00310862">
        <w:t xml:space="preserve">, </w:t>
      </w:r>
      <w:r w:rsidR="00310862" w:rsidRPr="00310862">
        <w:t>RAN4#100-e</w:t>
      </w:r>
    </w:p>
    <w:p w14:paraId="5B976C49" w14:textId="733E367A" w:rsidR="00175461" w:rsidRDefault="00175461" w:rsidP="00015D58">
      <w:pPr>
        <w:pStyle w:val="ListParagraph"/>
        <w:numPr>
          <w:ilvl w:val="0"/>
          <w:numId w:val="24"/>
        </w:numPr>
        <w:ind w:right="-22"/>
      </w:pPr>
      <w:bookmarkStart w:id="9" w:name="_Ref85832144"/>
      <w:r w:rsidRPr="004D2BC6">
        <w:t>R4-2115797</w:t>
      </w:r>
      <w:bookmarkEnd w:id="9"/>
      <w:r w:rsidR="00310862">
        <w:t xml:space="preserve">, </w:t>
      </w:r>
      <w:r w:rsidR="00011656" w:rsidRPr="00011656">
        <w:t>Email discussion summary for [100-e][325] NR_HST_FR2_Scenario</w:t>
      </w:r>
      <w:r w:rsidR="00011656">
        <w:t xml:space="preserve">, </w:t>
      </w:r>
      <w:r w:rsidR="00011656" w:rsidRPr="00011656">
        <w:t>Moderator (Samsung)</w:t>
      </w:r>
      <w:r w:rsidR="00011656">
        <w:t xml:space="preserve">, </w:t>
      </w:r>
      <w:r w:rsidR="00011656" w:rsidRPr="00011656">
        <w:t>RAN4#100-e</w:t>
      </w:r>
    </w:p>
    <w:p w14:paraId="0953C597" w14:textId="54420ADE" w:rsidR="00175461" w:rsidRDefault="00175461" w:rsidP="00015D58">
      <w:pPr>
        <w:pStyle w:val="ListParagraph"/>
        <w:numPr>
          <w:ilvl w:val="0"/>
          <w:numId w:val="24"/>
        </w:numPr>
        <w:ind w:right="-22"/>
      </w:pPr>
      <w:bookmarkStart w:id="10" w:name="_Ref85832162"/>
      <w:r w:rsidRPr="00373E6A">
        <w:t>R4-2115334</w:t>
      </w:r>
      <w:bookmarkEnd w:id="10"/>
      <w:r w:rsidR="009A1B07">
        <w:t xml:space="preserve">, </w:t>
      </w:r>
      <w:r w:rsidR="009A1B07" w:rsidRPr="009A1B07">
        <w:t>WF on FR2 HST RRM (part 1)</w:t>
      </w:r>
      <w:r w:rsidR="009A1B07">
        <w:t xml:space="preserve">, </w:t>
      </w:r>
      <w:r w:rsidR="009A1B07" w:rsidRPr="009A1B07">
        <w:t>Nokia</w:t>
      </w:r>
      <w:r w:rsidR="009A1B07">
        <w:t xml:space="preserve">, </w:t>
      </w:r>
      <w:r w:rsidR="009A1B07" w:rsidRPr="009A1B07">
        <w:t>RAN4#100-e</w:t>
      </w:r>
    </w:p>
    <w:p w14:paraId="658B6C66" w14:textId="0F36C5F3" w:rsidR="00E80263" w:rsidRPr="008A7AEA" w:rsidRDefault="00E80263" w:rsidP="00015D58">
      <w:pPr>
        <w:pStyle w:val="ListParagraph"/>
        <w:numPr>
          <w:ilvl w:val="0"/>
          <w:numId w:val="24"/>
        </w:numPr>
        <w:ind w:right="-22"/>
      </w:pPr>
      <w:bookmarkStart w:id="11" w:name="_Ref85832185"/>
      <w:r w:rsidRPr="00836436">
        <w:t>R4-2114587</w:t>
      </w:r>
      <w:bookmarkEnd w:id="11"/>
      <w:r w:rsidR="009A1B07">
        <w:t xml:space="preserve">, </w:t>
      </w:r>
      <w:r w:rsidR="009A1B07" w:rsidRPr="009A1B07">
        <w:t>On HST FR2 Deployment Scenario A</w:t>
      </w:r>
      <w:r w:rsidR="009A1B07">
        <w:t xml:space="preserve">, </w:t>
      </w:r>
      <w:r w:rsidR="009A1B07" w:rsidRPr="009A1B07">
        <w:t>Nokia, Nokia Shanghai Bell</w:t>
      </w:r>
      <w:r w:rsidR="009A1B07">
        <w:t xml:space="preserve">, </w:t>
      </w:r>
      <w:r w:rsidR="009A1B07" w:rsidRPr="009A1B07">
        <w:t>RAN4#100-e</w:t>
      </w:r>
    </w:p>
    <w:sectPr w:rsidR="00E80263" w:rsidRPr="008A7AE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6E3E0" w14:textId="77777777" w:rsidR="00EF61F4" w:rsidRDefault="00EF61F4" w:rsidP="00001C9B">
      <w:pPr>
        <w:spacing w:after="0" w:line="240" w:lineRule="auto"/>
      </w:pPr>
      <w:r>
        <w:separator/>
      </w:r>
    </w:p>
  </w:endnote>
  <w:endnote w:type="continuationSeparator" w:id="0">
    <w:p w14:paraId="15BE269C" w14:textId="77777777" w:rsidR="00EF61F4" w:rsidRDefault="00EF61F4" w:rsidP="00001C9B">
      <w:pPr>
        <w:spacing w:after="0" w:line="240" w:lineRule="auto"/>
      </w:pPr>
      <w:r>
        <w:continuationSeparator/>
      </w:r>
    </w:p>
  </w:endnote>
  <w:endnote w:type="continuationNotice" w:id="1">
    <w:p w14:paraId="1FCA85A0" w14:textId="77777777" w:rsidR="00EF61F4" w:rsidRDefault="00EF6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84186" w14:textId="77777777" w:rsidR="00EF61F4" w:rsidRDefault="00EF61F4" w:rsidP="00001C9B">
      <w:pPr>
        <w:spacing w:after="0" w:line="240" w:lineRule="auto"/>
      </w:pPr>
      <w:r>
        <w:separator/>
      </w:r>
    </w:p>
  </w:footnote>
  <w:footnote w:type="continuationSeparator" w:id="0">
    <w:p w14:paraId="7785CDFD" w14:textId="77777777" w:rsidR="00EF61F4" w:rsidRDefault="00EF61F4" w:rsidP="00001C9B">
      <w:pPr>
        <w:spacing w:after="0" w:line="240" w:lineRule="auto"/>
      </w:pPr>
      <w:r>
        <w:continuationSeparator/>
      </w:r>
    </w:p>
  </w:footnote>
  <w:footnote w:type="continuationNotice" w:id="1">
    <w:p w14:paraId="1B8885C1" w14:textId="77777777" w:rsidR="00EF61F4" w:rsidRDefault="00EF61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C3C"/>
    <w:multiLevelType w:val="hybridMultilevel"/>
    <w:tmpl w:val="ADC4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8D03F2"/>
    <w:multiLevelType w:val="hybridMultilevel"/>
    <w:tmpl w:val="409030B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87210"/>
    <w:multiLevelType w:val="hybridMultilevel"/>
    <w:tmpl w:val="2E56E28C"/>
    <w:lvl w:ilvl="0" w:tplc="46E2BF0E">
      <w:start w:val="1"/>
      <w:numFmt w:val="decimal"/>
      <w:lvlText w:val="[%1]"/>
      <w:lvlJc w:val="left"/>
      <w:pPr>
        <w:ind w:left="720" w:hanging="360"/>
      </w:pPr>
      <w:rPr>
        <w:rFonts w:hint="default"/>
        <w:color w:val="auto"/>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0"/>
  </w:num>
  <w:num w:numId="4">
    <w:abstractNumId w:val="4"/>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3"/>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
  </w:num>
  <w:num w:numId="22">
    <w:abstractNumId w:val="13"/>
  </w:num>
  <w:num w:numId="23">
    <w:abstractNumId w:val="0"/>
  </w:num>
  <w:num w:numId="24">
    <w:abstractNumId w:val="6"/>
  </w:num>
  <w:num w:numId="25">
    <w:abstractNumId w:val="8"/>
    <w:lvlOverride w:ilvl="0">
      <w:startOverride w:val="1"/>
    </w:lvlOverride>
  </w:num>
  <w:num w:numId="2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tjAxNzI0s7QwNTJQ0lEKTi0uzszPAykwrgUAIUFY3SwAAAA="/>
  </w:docVars>
  <w:rsids>
    <w:rsidRoot w:val="00841BCD"/>
    <w:rsid w:val="000016D6"/>
    <w:rsid w:val="00001C9B"/>
    <w:rsid w:val="00001DD9"/>
    <w:rsid w:val="000042F2"/>
    <w:rsid w:val="000074DF"/>
    <w:rsid w:val="00011656"/>
    <w:rsid w:val="00015D58"/>
    <w:rsid w:val="000168E8"/>
    <w:rsid w:val="00020D7A"/>
    <w:rsid w:val="00021A1E"/>
    <w:rsid w:val="000331E3"/>
    <w:rsid w:val="0003627D"/>
    <w:rsid w:val="0005173B"/>
    <w:rsid w:val="00053425"/>
    <w:rsid w:val="000541D3"/>
    <w:rsid w:val="00055311"/>
    <w:rsid w:val="00056FA5"/>
    <w:rsid w:val="000600E1"/>
    <w:rsid w:val="000612A5"/>
    <w:rsid w:val="00062874"/>
    <w:rsid w:val="00062888"/>
    <w:rsid w:val="00063519"/>
    <w:rsid w:val="00064BD0"/>
    <w:rsid w:val="00070BEE"/>
    <w:rsid w:val="00072C35"/>
    <w:rsid w:val="00082E9A"/>
    <w:rsid w:val="000852B7"/>
    <w:rsid w:val="0008612A"/>
    <w:rsid w:val="000942AE"/>
    <w:rsid w:val="0009570E"/>
    <w:rsid w:val="000B0056"/>
    <w:rsid w:val="000B112E"/>
    <w:rsid w:val="000B11C0"/>
    <w:rsid w:val="000B2547"/>
    <w:rsid w:val="000B2663"/>
    <w:rsid w:val="000B56A6"/>
    <w:rsid w:val="000B75E8"/>
    <w:rsid w:val="000C161F"/>
    <w:rsid w:val="000C5F6A"/>
    <w:rsid w:val="000C6E2C"/>
    <w:rsid w:val="000D3052"/>
    <w:rsid w:val="000D4F65"/>
    <w:rsid w:val="000F05C9"/>
    <w:rsid w:val="000F0BC9"/>
    <w:rsid w:val="000F25B6"/>
    <w:rsid w:val="000F5780"/>
    <w:rsid w:val="00100789"/>
    <w:rsid w:val="00103C13"/>
    <w:rsid w:val="001047EE"/>
    <w:rsid w:val="00104C54"/>
    <w:rsid w:val="00104E8A"/>
    <w:rsid w:val="0010711E"/>
    <w:rsid w:val="001072D0"/>
    <w:rsid w:val="0011518D"/>
    <w:rsid w:val="00115F1A"/>
    <w:rsid w:val="0011743B"/>
    <w:rsid w:val="001216BF"/>
    <w:rsid w:val="001262FF"/>
    <w:rsid w:val="00126EF0"/>
    <w:rsid w:val="00131FAC"/>
    <w:rsid w:val="00135E25"/>
    <w:rsid w:val="0014005C"/>
    <w:rsid w:val="00140221"/>
    <w:rsid w:val="001419D7"/>
    <w:rsid w:val="0014294F"/>
    <w:rsid w:val="00146AE9"/>
    <w:rsid w:val="00150CB8"/>
    <w:rsid w:val="00150FC5"/>
    <w:rsid w:val="00151A39"/>
    <w:rsid w:val="001527AC"/>
    <w:rsid w:val="00160214"/>
    <w:rsid w:val="001745F8"/>
    <w:rsid w:val="00175461"/>
    <w:rsid w:val="001757E1"/>
    <w:rsid w:val="00177458"/>
    <w:rsid w:val="00180A5A"/>
    <w:rsid w:val="00181C83"/>
    <w:rsid w:val="001838CF"/>
    <w:rsid w:val="001868EE"/>
    <w:rsid w:val="0019570F"/>
    <w:rsid w:val="001A3A77"/>
    <w:rsid w:val="001A3BA4"/>
    <w:rsid w:val="001A3DA1"/>
    <w:rsid w:val="001A562C"/>
    <w:rsid w:val="001B311F"/>
    <w:rsid w:val="001B32C3"/>
    <w:rsid w:val="001B5120"/>
    <w:rsid w:val="001B53A8"/>
    <w:rsid w:val="001C0918"/>
    <w:rsid w:val="001C32BC"/>
    <w:rsid w:val="001C40DB"/>
    <w:rsid w:val="001C6BF7"/>
    <w:rsid w:val="001E30F6"/>
    <w:rsid w:val="001E31D2"/>
    <w:rsid w:val="001E3870"/>
    <w:rsid w:val="001E6B70"/>
    <w:rsid w:val="001E7366"/>
    <w:rsid w:val="001F2469"/>
    <w:rsid w:val="0020177C"/>
    <w:rsid w:val="00202D06"/>
    <w:rsid w:val="00203884"/>
    <w:rsid w:val="00204851"/>
    <w:rsid w:val="00207C12"/>
    <w:rsid w:val="00207DBE"/>
    <w:rsid w:val="00214370"/>
    <w:rsid w:val="00216290"/>
    <w:rsid w:val="00217DF0"/>
    <w:rsid w:val="00217EE4"/>
    <w:rsid w:val="00224500"/>
    <w:rsid w:val="0022762B"/>
    <w:rsid w:val="00227D45"/>
    <w:rsid w:val="00230DB3"/>
    <w:rsid w:val="0023152B"/>
    <w:rsid w:val="00235F5C"/>
    <w:rsid w:val="002364D5"/>
    <w:rsid w:val="0024573E"/>
    <w:rsid w:val="00253316"/>
    <w:rsid w:val="00253FC9"/>
    <w:rsid w:val="00256900"/>
    <w:rsid w:val="00256997"/>
    <w:rsid w:val="002569D6"/>
    <w:rsid w:val="00257C71"/>
    <w:rsid w:val="00266CF0"/>
    <w:rsid w:val="00270C11"/>
    <w:rsid w:val="00275AE1"/>
    <w:rsid w:val="0029274A"/>
    <w:rsid w:val="00292AF9"/>
    <w:rsid w:val="002949E6"/>
    <w:rsid w:val="00297341"/>
    <w:rsid w:val="002A4480"/>
    <w:rsid w:val="002B0038"/>
    <w:rsid w:val="002B4922"/>
    <w:rsid w:val="002B5FFB"/>
    <w:rsid w:val="002C10E3"/>
    <w:rsid w:val="002C1983"/>
    <w:rsid w:val="002C2D19"/>
    <w:rsid w:val="002C3CCD"/>
    <w:rsid w:val="002C48D9"/>
    <w:rsid w:val="002C7C41"/>
    <w:rsid w:val="002D10FA"/>
    <w:rsid w:val="002D217D"/>
    <w:rsid w:val="002D2FA2"/>
    <w:rsid w:val="002D4C55"/>
    <w:rsid w:val="002E21AB"/>
    <w:rsid w:val="002F17D8"/>
    <w:rsid w:val="002F1F33"/>
    <w:rsid w:val="002F6A78"/>
    <w:rsid w:val="00305149"/>
    <w:rsid w:val="00305754"/>
    <w:rsid w:val="00306792"/>
    <w:rsid w:val="00306F2E"/>
    <w:rsid w:val="00310862"/>
    <w:rsid w:val="003109A5"/>
    <w:rsid w:val="00311991"/>
    <w:rsid w:val="003119FF"/>
    <w:rsid w:val="00312AF1"/>
    <w:rsid w:val="00313953"/>
    <w:rsid w:val="00314A26"/>
    <w:rsid w:val="00316CE3"/>
    <w:rsid w:val="00323132"/>
    <w:rsid w:val="00330082"/>
    <w:rsid w:val="00331871"/>
    <w:rsid w:val="0034000F"/>
    <w:rsid w:val="003417A5"/>
    <w:rsid w:val="00344148"/>
    <w:rsid w:val="00345342"/>
    <w:rsid w:val="003466A4"/>
    <w:rsid w:val="003473B7"/>
    <w:rsid w:val="003528B5"/>
    <w:rsid w:val="003547F5"/>
    <w:rsid w:val="00354A90"/>
    <w:rsid w:val="003564C7"/>
    <w:rsid w:val="00361EA0"/>
    <w:rsid w:val="003657E4"/>
    <w:rsid w:val="003739D6"/>
    <w:rsid w:val="00373E6A"/>
    <w:rsid w:val="00392BEB"/>
    <w:rsid w:val="00395A37"/>
    <w:rsid w:val="003A6800"/>
    <w:rsid w:val="003A7229"/>
    <w:rsid w:val="003B659E"/>
    <w:rsid w:val="003C03C3"/>
    <w:rsid w:val="003C0EF3"/>
    <w:rsid w:val="003C212C"/>
    <w:rsid w:val="003C46AB"/>
    <w:rsid w:val="003D2D61"/>
    <w:rsid w:val="003D3086"/>
    <w:rsid w:val="003D72CC"/>
    <w:rsid w:val="003E1587"/>
    <w:rsid w:val="003E392B"/>
    <w:rsid w:val="003F0941"/>
    <w:rsid w:val="003F2A88"/>
    <w:rsid w:val="003F2BDB"/>
    <w:rsid w:val="004045D6"/>
    <w:rsid w:val="00405A90"/>
    <w:rsid w:val="00410F79"/>
    <w:rsid w:val="00412F00"/>
    <w:rsid w:val="00413610"/>
    <w:rsid w:val="004171CB"/>
    <w:rsid w:val="00420CA6"/>
    <w:rsid w:val="00423DE3"/>
    <w:rsid w:val="00424445"/>
    <w:rsid w:val="004245F2"/>
    <w:rsid w:val="0043276F"/>
    <w:rsid w:val="0043750A"/>
    <w:rsid w:val="00446A2C"/>
    <w:rsid w:val="00447D48"/>
    <w:rsid w:val="00451885"/>
    <w:rsid w:val="00451BE8"/>
    <w:rsid w:val="00456594"/>
    <w:rsid w:val="004569C2"/>
    <w:rsid w:val="0045772F"/>
    <w:rsid w:val="00461D79"/>
    <w:rsid w:val="00462710"/>
    <w:rsid w:val="00474DF3"/>
    <w:rsid w:val="00475256"/>
    <w:rsid w:val="004774D8"/>
    <w:rsid w:val="0048313C"/>
    <w:rsid w:val="004854BB"/>
    <w:rsid w:val="00485548"/>
    <w:rsid w:val="004871D8"/>
    <w:rsid w:val="00491BDA"/>
    <w:rsid w:val="004A0416"/>
    <w:rsid w:val="004A1BE1"/>
    <w:rsid w:val="004A29E2"/>
    <w:rsid w:val="004A3474"/>
    <w:rsid w:val="004A4000"/>
    <w:rsid w:val="004A461C"/>
    <w:rsid w:val="004A7E5A"/>
    <w:rsid w:val="004B5261"/>
    <w:rsid w:val="004C2584"/>
    <w:rsid w:val="004C5972"/>
    <w:rsid w:val="004C70C6"/>
    <w:rsid w:val="004D2BC6"/>
    <w:rsid w:val="004D3437"/>
    <w:rsid w:val="004E5E66"/>
    <w:rsid w:val="004E60AA"/>
    <w:rsid w:val="004F27A1"/>
    <w:rsid w:val="0050344D"/>
    <w:rsid w:val="00503B4D"/>
    <w:rsid w:val="00504EE9"/>
    <w:rsid w:val="0051049B"/>
    <w:rsid w:val="00510BC8"/>
    <w:rsid w:val="00524454"/>
    <w:rsid w:val="005247EE"/>
    <w:rsid w:val="00533767"/>
    <w:rsid w:val="00535249"/>
    <w:rsid w:val="0053707F"/>
    <w:rsid w:val="00537295"/>
    <w:rsid w:val="00540EC7"/>
    <w:rsid w:val="0054169B"/>
    <w:rsid w:val="0054442C"/>
    <w:rsid w:val="00550285"/>
    <w:rsid w:val="005568B4"/>
    <w:rsid w:val="00556C46"/>
    <w:rsid w:val="00566E04"/>
    <w:rsid w:val="00570274"/>
    <w:rsid w:val="005704C3"/>
    <w:rsid w:val="005707E0"/>
    <w:rsid w:val="00571AE6"/>
    <w:rsid w:val="00571C7F"/>
    <w:rsid w:val="005767DA"/>
    <w:rsid w:val="00580841"/>
    <w:rsid w:val="00581D9C"/>
    <w:rsid w:val="005836F8"/>
    <w:rsid w:val="00587CFF"/>
    <w:rsid w:val="005918FA"/>
    <w:rsid w:val="00593FCD"/>
    <w:rsid w:val="00595C93"/>
    <w:rsid w:val="005A0A6B"/>
    <w:rsid w:val="005A26E4"/>
    <w:rsid w:val="005B6457"/>
    <w:rsid w:val="005C23A4"/>
    <w:rsid w:val="005D1CDF"/>
    <w:rsid w:val="005D361B"/>
    <w:rsid w:val="005D79C2"/>
    <w:rsid w:val="005D7C41"/>
    <w:rsid w:val="005E1FF3"/>
    <w:rsid w:val="005E2353"/>
    <w:rsid w:val="005E3E34"/>
    <w:rsid w:val="005E61A8"/>
    <w:rsid w:val="005E70C1"/>
    <w:rsid w:val="005F055D"/>
    <w:rsid w:val="005F3B99"/>
    <w:rsid w:val="005F6419"/>
    <w:rsid w:val="005F69A5"/>
    <w:rsid w:val="005F6BAB"/>
    <w:rsid w:val="00604C19"/>
    <w:rsid w:val="00612401"/>
    <w:rsid w:val="00614422"/>
    <w:rsid w:val="00617400"/>
    <w:rsid w:val="0062220C"/>
    <w:rsid w:val="00624A94"/>
    <w:rsid w:val="0063171A"/>
    <w:rsid w:val="006343C1"/>
    <w:rsid w:val="00641127"/>
    <w:rsid w:val="006478EA"/>
    <w:rsid w:val="006538CF"/>
    <w:rsid w:val="006541D8"/>
    <w:rsid w:val="00656E75"/>
    <w:rsid w:val="006637A3"/>
    <w:rsid w:val="00663D18"/>
    <w:rsid w:val="00664950"/>
    <w:rsid w:val="0067152D"/>
    <w:rsid w:val="00672A0A"/>
    <w:rsid w:val="00676499"/>
    <w:rsid w:val="00683220"/>
    <w:rsid w:val="00687FA0"/>
    <w:rsid w:val="0069673F"/>
    <w:rsid w:val="006967BB"/>
    <w:rsid w:val="006A21D2"/>
    <w:rsid w:val="006A7916"/>
    <w:rsid w:val="006B7010"/>
    <w:rsid w:val="006C704D"/>
    <w:rsid w:val="006E340E"/>
    <w:rsid w:val="006E606F"/>
    <w:rsid w:val="006E6311"/>
    <w:rsid w:val="006F2FCD"/>
    <w:rsid w:val="006F4EB3"/>
    <w:rsid w:val="006F5097"/>
    <w:rsid w:val="00701438"/>
    <w:rsid w:val="00701F1E"/>
    <w:rsid w:val="007062AF"/>
    <w:rsid w:val="0071022D"/>
    <w:rsid w:val="00710A87"/>
    <w:rsid w:val="007145FF"/>
    <w:rsid w:val="007174D5"/>
    <w:rsid w:val="00724C3A"/>
    <w:rsid w:val="0072567D"/>
    <w:rsid w:val="0073235A"/>
    <w:rsid w:val="00737395"/>
    <w:rsid w:val="007438AC"/>
    <w:rsid w:val="00751515"/>
    <w:rsid w:val="00752436"/>
    <w:rsid w:val="00752D31"/>
    <w:rsid w:val="007554C5"/>
    <w:rsid w:val="00755AD4"/>
    <w:rsid w:val="00765EE1"/>
    <w:rsid w:val="007763EE"/>
    <w:rsid w:val="00776907"/>
    <w:rsid w:val="007835BC"/>
    <w:rsid w:val="00785232"/>
    <w:rsid w:val="00785DA7"/>
    <w:rsid w:val="007918D9"/>
    <w:rsid w:val="00792B7B"/>
    <w:rsid w:val="007954FA"/>
    <w:rsid w:val="007974D6"/>
    <w:rsid w:val="00797504"/>
    <w:rsid w:val="007A1CE5"/>
    <w:rsid w:val="007A4EBB"/>
    <w:rsid w:val="007A5819"/>
    <w:rsid w:val="007B26A3"/>
    <w:rsid w:val="007B2C4B"/>
    <w:rsid w:val="007B35CF"/>
    <w:rsid w:val="007B3B43"/>
    <w:rsid w:val="007C04EC"/>
    <w:rsid w:val="007C1F6D"/>
    <w:rsid w:val="007C36A9"/>
    <w:rsid w:val="007C3ED0"/>
    <w:rsid w:val="007C6FA0"/>
    <w:rsid w:val="007D1B55"/>
    <w:rsid w:val="007D3AC8"/>
    <w:rsid w:val="00802F1F"/>
    <w:rsid w:val="00804B3D"/>
    <w:rsid w:val="00806A76"/>
    <w:rsid w:val="00811C9D"/>
    <w:rsid w:val="00815BE7"/>
    <w:rsid w:val="00816C80"/>
    <w:rsid w:val="00817E00"/>
    <w:rsid w:val="008203C6"/>
    <w:rsid w:val="00821A27"/>
    <w:rsid w:val="008239C4"/>
    <w:rsid w:val="00823F26"/>
    <w:rsid w:val="00836436"/>
    <w:rsid w:val="00837EA7"/>
    <w:rsid w:val="00837F8F"/>
    <w:rsid w:val="00841BCD"/>
    <w:rsid w:val="00842C38"/>
    <w:rsid w:val="00842E4F"/>
    <w:rsid w:val="00843900"/>
    <w:rsid w:val="00845D2D"/>
    <w:rsid w:val="00851A8E"/>
    <w:rsid w:val="00851F55"/>
    <w:rsid w:val="00854693"/>
    <w:rsid w:val="00862784"/>
    <w:rsid w:val="008655C7"/>
    <w:rsid w:val="00867784"/>
    <w:rsid w:val="00873218"/>
    <w:rsid w:val="008826C1"/>
    <w:rsid w:val="008909BD"/>
    <w:rsid w:val="00893081"/>
    <w:rsid w:val="0089344A"/>
    <w:rsid w:val="00895A64"/>
    <w:rsid w:val="008A2482"/>
    <w:rsid w:val="008A7AEA"/>
    <w:rsid w:val="008A7CCD"/>
    <w:rsid w:val="008B2989"/>
    <w:rsid w:val="008B6681"/>
    <w:rsid w:val="008B6864"/>
    <w:rsid w:val="008B7FA7"/>
    <w:rsid w:val="008C1770"/>
    <w:rsid w:val="008C2E67"/>
    <w:rsid w:val="008C49BA"/>
    <w:rsid w:val="008D073B"/>
    <w:rsid w:val="008D31D1"/>
    <w:rsid w:val="008E09D3"/>
    <w:rsid w:val="008E3350"/>
    <w:rsid w:val="008E62BA"/>
    <w:rsid w:val="008E71D1"/>
    <w:rsid w:val="008E75C0"/>
    <w:rsid w:val="008F1113"/>
    <w:rsid w:val="008F1328"/>
    <w:rsid w:val="008F3283"/>
    <w:rsid w:val="008F5649"/>
    <w:rsid w:val="008F5DDA"/>
    <w:rsid w:val="008F76F6"/>
    <w:rsid w:val="0090091A"/>
    <w:rsid w:val="00900BCD"/>
    <w:rsid w:val="009034F9"/>
    <w:rsid w:val="009042BD"/>
    <w:rsid w:val="00904EB5"/>
    <w:rsid w:val="00905687"/>
    <w:rsid w:val="00905A33"/>
    <w:rsid w:val="009166A3"/>
    <w:rsid w:val="00921375"/>
    <w:rsid w:val="00925FC3"/>
    <w:rsid w:val="00927FAE"/>
    <w:rsid w:val="00933CAA"/>
    <w:rsid w:val="00934D06"/>
    <w:rsid w:val="00936301"/>
    <w:rsid w:val="009520FF"/>
    <w:rsid w:val="00957795"/>
    <w:rsid w:val="00957D3D"/>
    <w:rsid w:val="00961404"/>
    <w:rsid w:val="00961B9A"/>
    <w:rsid w:val="0096251E"/>
    <w:rsid w:val="00963456"/>
    <w:rsid w:val="00973F23"/>
    <w:rsid w:val="00976A05"/>
    <w:rsid w:val="00977E1D"/>
    <w:rsid w:val="00980078"/>
    <w:rsid w:val="009812A1"/>
    <w:rsid w:val="00982754"/>
    <w:rsid w:val="00982B3B"/>
    <w:rsid w:val="009876BA"/>
    <w:rsid w:val="00987BA8"/>
    <w:rsid w:val="009A0B65"/>
    <w:rsid w:val="009A1B07"/>
    <w:rsid w:val="009A4F5E"/>
    <w:rsid w:val="009B287C"/>
    <w:rsid w:val="009B296B"/>
    <w:rsid w:val="009C1BC0"/>
    <w:rsid w:val="009D5A50"/>
    <w:rsid w:val="009E47F1"/>
    <w:rsid w:val="009E57A9"/>
    <w:rsid w:val="009F1454"/>
    <w:rsid w:val="009F6A19"/>
    <w:rsid w:val="00A02DEB"/>
    <w:rsid w:val="00A15833"/>
    <w:rsid w:val="00A21D71"/>
    <w:rsid w:val="00A22B78"/>
    <w:rsid w:val="00A240F8"/>
    <w:rsid w:val="00A25AE5"/>
    <w:rsid w:val="00A33B40"/>
    <w:rsid w:val="00A349F4"/>
    <w:rsid w:val="00A34BF8"/>
    <w:rsid w:val="00A36A26"/>
    <w:rsid w:val="00A37002"/>
    <w:rsid w:val="00A4119E"/>
    <w:rsid w:val="00A42CB9"/>
    <w:rsid w:val="00A47E03"/>
    <w:rsid w:val="00A51C46"/>
    <w:rsid w:val="00A5219A"/>
    <w:rsid w:val="00A52E8E"/>
    <w:rsid w:val="00A61F1F"/>
    <w:rsid w:val="00A6265D"/>
    <w:rsid w:val="00A64756"/>
    <w:rsid w:val="00A66C16"/>
    <w:rsid w:val="00A73F31"/>
    <w:rsid w:val="00A76A61"/>
    <w:rsid w:val="00A9146D"/>
    <w:rsid w:val="00A92BCE"/>
    <w:rsid w:val="00A92EC1"/>
    <w:rsid w:val="00A96D55"/>
    <w:rsid w:val="00AA1B0E"/>
    <w:rsid w:val="00AA512D"/>
    <w:rsid w:val="00AA5251"/>
    <w:rsid w:val="00AB5408"/>
    <w:rsid w:val="00AB6434"/>
    <w:rsid w:val="00AC0018"/>
    <w:rsid w:val="00AC5CA7"/>
    <w:rsid w:val="00AD3193"/>
    <w:rsid w:val="00AD5112"/>
    <w:rsid w:val="00AD7E05"/>
    <w:rsid w:val="00AE23EF"/>
    <w:rsid w:val="00AE2BA5"/>
    <w:rsid w:val="00AE56B1"/>
    <w:rsid w:val="00AE7D4D"/>
    <w:rsid w:val="00AF0D42"/>
    <w:rsid w:val="00AF1979"/>
    <w:rsid w:val="00AF20CB"/>
    <w:rsid w:val="00AF21CA"/>
    <w:rsid w:val="00AF445A"/>
    <w:rsid w:val="00AF5563"/>
    <w:rsid w:val="00B01B3C"/>
    <w:rsid w:val="00B02AE9"/>
    <w:rsid w:val="00B02E17"/>
    <w:rsid w:val="00B05D30"/>
    <w:rsid w:val="00B06376"/>
    <w:rsid w:val="00B13EE2"/>
    <w:rsid w:val="00B14432"/>
    <w:rsid w:val="00B1596D"/>
    <w:rsid w:val="00B20A6E"/>
    <w:rsid w:val="00B23969"/>
    <w:rsid w:val="00B23C52"/>
    <w:rsid w:val="00B2426E"/>
    <w:rsid w:val="00B25442"/>
    <w:rsid w:val="00B26018"/>
    <w:rsid w:val="00B264E5"/>
    <w:rsid w:val="00B34652"/>
    <w:rsid w:val="00B4088B"/>
    <w:rsid w:val="00B55BB2"/>
    <w:rsid w:val="00B567D1"/>
    <w:rsid w:val="00B60A95"/>
    <w:rsid w:val="00B6301D"/>
    <w:rsid w:val="00B6311E"/>
    <w:rsid w:val="00B65944"/>
    <w:rsid w:val="00B70BF6"/>
    <w:rsid w:val="00B71C72"/>
    <w:rsid w:val="00B72A43"/>
    <w:rsid w:val="00B73862"/>
    <w:rsid w:val="00B77677"/>
    <w:rsid w:val="00B81664"/>
    <w:rsid w:val="00BA6E48"/>
    <w:rsid w:val="00BB2CF6"/>
    <w:rsid w:val="00BB32DA"/>
    <w:rsid w:val="00BB7C8E"/>
    <w:rsid w:val="00BC16D7"/>
    <w:rsid w:val="00BC6965"/>
    <w:rsid w:val="00BC76D1"/>
    <w:rsid w:val="00BD0042"/>
    <w:rsid w:val="00BD1B69"/>
    <w:rsid w:val="00BD22B2"/>
    <w:rsid w:val="00BE2060"/>
    <w:rsid w:val="00BF2218"/>
    <w:rsid w:val="00BF60C2"/>
    <w:rsid w:val="00BF70EF"/>
    <w:rsid w:val="00BF7ADB"/>
    <w:rsid w:val="00C05891"/>
    <w:rsid w:val="00C109E4"/>
    <w:rsid w:val="00C119D3"/>
    <w:rsid w:val="00C1505E"/>
    <w:rsid w:val="00C15C61"/>
    <w:rsid w:val="00C2421B"/>
    <w:rsid w:val="00C26D5B"/>
    <w:rsid w:val="00C330E6"/>
    <w:rsid w:val="00C36CF1"/>
    <w:rsid w:val="00C36EA8"/>
    <w:rsid w:val="00C426EC"/>
    <w:rsid w:val="00C45ABE"/>
    <w:rsid w:val="00C50984"/>
    <w:rsid w:val="00C534C7"/>
    <w:rsid w:val="00C546E9"/>
    <w:rsid w:val="00C55B93"/>
    <w:rsid w:val="00C565E0"/>
    <w:rsid w:val="00C612E6"/>
    <w:rsid w:val="00C628D3"/>
    <w:rsid w:val="00C7411E"/>
    <w:rsid w:val="00C763A8"/>
    <w:rsid w:val="00C8170B"/>
    <w:rsid w:val="00C819F0"/>
    <w:rsid w:val="00C82ABC"/>
    <w:rsid w:val="00C91377"/>
    <w:rsid w:val="00C971F2"/>
    <w:rsid w:val="00C97950"/>
    <w:rsid w:val="00CA2141"/>
    <w:rsid w:val="00CA219B"/>
    <w:rsid w:val="00CA260E"/>
    <w:rsid w:val="00CA3A05"/>
    <w:rsid w:val="00CB2475"/>
    <w:rsid w:val="00CB408F"/>
    <w:rsid w:val="00CC4A3D"/>
    <w:rsid w:val="00CD1054"/>
    <w:rsid w:val="00CD12E3"/>
    <w:rsid w:val="00CD1E26"/>
    <w:rsid w:val="00CD262B"/>
    <w:rsid w:val="00CD44F5"/>
    <w:rsid w:val="00CD7492"/>
    <w:rsid w:val="00CE0998"/>
    <w:rsid w:val="00CE3A6B"/>
    <w:rsid w:val="00CE46E6"/>
    <w:rsid w:val="00CE65B6"/>
    <w:rsid w:val="00CE71A7"/>
    <w:rsid w:val="00CF068C"/>
    <w:rsid w:val="00CF6852"/>
    <w:rsid w:val="00CF706E"/>
    <w:rsid w:val="00D000DF"/>
    <w:rsid w:val="00D00211"/>
    <w:rsid w:val="00D06309"/>
    <w:rsid w:val="00D10261"/>
    <w:rsid w:val="00D13233"/>
    <w:rsid w:val="00D13449"/>
    <w:rsid w:val="00D20283"/>
    <w:rsid w:val="00D20AFA"/>
    <w:rsid w:val="00D21A68"/>
    <w:rsid w:val="00D27F61"/>
    <w:rsid w:val="00D351EA"/>
    <w:rsid w:val="00D361A0"/>
    <w:rsid w:val="00D43403"/>
    <w:rsid w:val="00D44285"/>
    <w:rsid w:val="00D44C5C"/>
    <w:rsid w:val="00D535E5"/>
    <w:rsid w:val="00D62E71"/>
    <w:rsid w:val="00D72D4D"/>
    <w:rsid w:val="00D73B16"/>
    <w:rsid w:val="00D740CA"/>
    <w:rsid w:val="00D77910"/>
    <w:rsid w:val="00D83534"/>
    <w:rsid w:val="00D85728"/>
    <w:rsid w:val="00D93AF2"/>
    <w:rsid w:val="00D947AF"/>
    <w:rsid w:val="00D94DFA"/>
    <w:rsid w:val="00DA1750"/>
    <w:rsid w:val="00DA7C74"/>
    <w:rsid w:val="00DB30D6"/>
    <w:rsid w:val="00DB436C"/>
    <w:rsid w:val="00DB4C49"/>
    <w:rsid w:val="00DB547F"/>
    <w:rsid w:val="00DB62EF"/>
    <w:rsid w:val="00DC025D"/>
    <w:rsid w:val="00DD02D3"/>
    <w:rsid w:val="00DD0448"/>
    <w:rsid w:val="00DD2420"/>
    <w:rsid w:val="00DD466B"/>
    <w:rsid w:val="00DD5DD2"/>
    <w:rsid w:val="00DE329A"/>
    <w:rsid w:val="00DE4D56"/>
    <w:rsid w:val="00DF2997"/>
    <w:rsid w:val="00DF5082"/>
    <w:rsid w:val="00DF5D8D"/>
    <w:rsid w:val="00DF68AF"/>
    <w:rsid w:val="00E04ECF"/>
    <w:rsid w:val="00E067EF"/>
    <w:rsid w:val="00E069E6"/>
    <w:rsid w:val="00E0721B"/>
    <w:rsid w:val="00E14A8A"/>
    <w:rsid w:val="00E1542F"/>
    <w:rsid w:val="00E1573E"/>
    <w:rsid w:val="00E15F1A"/>
    <w:rsid w:val="00E167E8"/>
    <w:rsid w:val="00E17B6D"/>
    <w:rsid w:val="00E23199"/>
    <w:rsid w:val="00E312E8"/>
    <w:rsid w:val="00E34EEC"/>
    <w:rsid w:val="00E34EFD"/>
    <w:rsid w:val="00E5160C"/>
    <w:rsid w:val="00E54FF7"/>
    <w:rsid w:val="00E574FB"/>
    <w:rsid w:val="00E5756E"/>
    <w:rsid w:val="00E61C1A"/>
    <w:rsid w:val="00E62A47"/>
    <w:rsid w:val="00E62AFF"/>
    <w:rsid w:val="00E64A01"/>
    <w:rsid w:val="00E66FAF"/>
    <w:rsid w:val="00E67B7C"/>
    <w:rsid w:val="00E73EDF"/>
    <w:rsid w:val="00E77F35"/>
    <w:rsid w:val="00E80263"/>
    <w:rsid w:val="00E836DD"/>
    <w:rsid w:val="00E84E5B"/>
    <w:rsid w:val="00E915A3"/>
    <w:rsid w:val="00E91C70"/>
    <w:rsid w:val="00E94C05"/>
    <w:rsid w:val="00E970D9"/>
    <w:rsid w:val="00EA21B0"/>
    <w:rsid w:val="00EA2C66"/>
    <w:rsid w:val="00EA6A1C"/>
    <w:rsid w:val="00EB797C"/>
    <w:rsid w:val="00EC49BE"/>
    <w:rsid w:val="00EC7BC3"/>
    <w:rsid w:val="00ED320E"/>
    <w:rsid w:val="00ED5002"/>
    <w:rsid w:val="00ED552F"/>
    <w:rsid w:val="00ED7600"/>
    <w:rsid w:val="00EE46B6"/>
    <w:rsid w:val="00EE4A7F"/>
    <w:rsid w:val="00EE78AE"/>
    <w:rsid w:val="00EF021B"/>
    <w:rsid w:val="00EF1D24"/>
    <w:rsid w:val="00EF61F4"/>
    <w:rsid w:val="00F02112"/>
    <w:rsid w:val="00F1362C"/>
    <w:rsid w:val="00F13EAF"/>
    <w:rsid w:val="00F168C5"/>
    <w:rsid w:val="00F200A8"/>
    <w:rsid w:val="00F273DF"/>
    <w:rsid w:val="00F27FEA"/>
    <w:rsid w:val="00F44822"/>
    <w:rsid w:val="00F508B8"/>
    <w:rsid w:val="00F51DA8"/>
    <w:rsid w:val="00F5506B"/>
    <w:rsid w:val="00F60205"/>
    <w:rsid w:val="00F66352"/>
    <w:rsid w:val="00F824F5"/>
    <w:rsid w:val="00F85144"/>
    <w:rsid w:val="00F8651A"/>
    <w:rsid w:val="00F8764E"/>
    <w:rsid w:val="00F90D77"/>
    <w:rsid w:val="00F93AF2"/>
    <w:rsid w:val="00F97331"/>
    <w:rsid w:val="00FA49B2"/>
    <w:rsid w:val="00FA6EB7"/>
    <w:rsid w:val="00FB0C8D"/>
    <w:rsid w:val="00FB27D2"/>
    <w:rsid w:val="00FB2D21"/>
    <w:rsid w:val="00FB3BC9"/>
    <w:rsid w:val="00FB5DE6"/>
    <w:rsid w:val="00FB7F45"/>
    <w:rsid w:val="00FC240E"/>
    <w:rsid w:val="00FC29B9"/>
    <w:rsid w:val="00FC4686"/>
    <w:rsid w:val="00FC4F8E"/>
    <w:rsid w:val="00FC605C"/>
    <w:rsid w:val="00FC6FD3"/>
    <w:rsid w:val="00FD1B6C"/>
    <w:rsid w:val="00FD1EA9"/>
    <w:rsid w:val="00FD4F19"/>
    <w:rsid w:val="00FE0D6D"/>
    <w:rsid w:val="00FE0EC0"/>
    <w:rsid w:val="00FE18C3"/>
    <w:rsid w:val="00FE2E16"/>
    <w:rsid w:val="00FE78FA"/>
    <w:rsid w:val="00FF0301"/>
    <w:rsid w:val="00FF1019"/>
    <w:rsid w:val="00FF5358"/>
    <w:rsid w:val="00FF74AA"/>
    <w:rsid w:val="54081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99A193F8-7707-4920-9F0B-2D05265F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F3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styleId="CommentReference">
    <w:name w:val="annotation reference"/>
    <w:basedOn w:val="DefaultParagraphFont"/>
    <w:uiPriority w:val="99"/>
    <w:semiHidden/>
    <w:unhideWhenUsed/>
    <w:rsid w:val="003A7229"/>
    <w:rPr>
      <w:sz w:val="16"/>
      <w:szCs w:val="16"/>
    </w:rPr>
  </w:style>
  <w:style w:type="paragraph" w:styleId="CommentText">
    <w:name w:val="annotation text"/>
    <w:basedOn w:val="Normal"/>
    <w:link w:val="CommentTextChar"/>
    <w:uiPriority w:val="99"/>
    <w:semiHidden/>
    <w:unhideWhenUsed/>
    <w:rsid w:val="003A7229"/>
    <w:pPr>
      <w:spacing w:line="240" w:lineRule="auto"/>
    </w:pPr>
    <w:rPr>
      <w:szCs w:val="20"/>
    </w:rPr>
  </w:style>
  <w:style w:type="character" w:customStyle="1" w:styleId="CommentTextChar">
    <w:name w:val="Comment Text Char"/>
    <w:basedOn w:val="DefaultParagraphFont"/>
    <w:link w:val="CommentText"/>
    <w:uiPriority w:val="99"/>
    <w:semiHidden/>
    <w:rsid w:val="003A72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A7229"/>
    <w:rPr>
      <w:b/>
      <w:bCs/>
    </w:rPr>
  </w:style>
  <w:style w:type="character" w:customStyle="1" w:styleId="CommentSubjectChar">
    <w:name w:val="Comment Subject Char"/>
    <w:basedOn w:val="CommentTextChar"/>
    <w:link w:val="CommentSubject"/>
    <w:uiPriority w:val="99"/>
    <w:semiHidden/>
    <w:rsid w:val="003A7229"/>
    <w:rPr>
      <w:rFonts w:ascii="Times New Roman" w:hAnsi="Times New Roman"/>
      <w:b/>
      <w:bCs/>
      <w:sz w:val="20"/>
      <w:szCs w:val="20"/>
    </w:rPr>
  </w:style>
  <w:style w:type="paragraph" w:styleId="Header">
    <w:name w:val="header"/>
    <w:basedOn w:val="Normal"/>
    <w:link w:val="HeaderChar"/>
    <w:uiPriority w:val="99"/>
    <w:semiHidden/>
    <w:unhideWhenUsed/>
    <w:rsid w:val="00EE46B6"/>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EE46B6"/>
    <w:rPr>
      <w:rFonts w:ascii="Times New Roman" w:hAnsi="Times New Roman"/>
      <w:sz w:val="20"/>
    </w:rPr>
  </w:style>
  <w:style w:type="paragraph" w:styleId="Footer">
    <w:name w:val="footer"/>
    <w:basedOn w:val="Normal"/>
    <w:link w:val="FooterChar"/>
    <w:uiPriority w:val="99"/>
    <w:semiHidden/>
    <w:unhideWhenUsed/>
    <w:rsid w:val="00EE46B6"/>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EE46B6"/>
    <w:rPr>
      <w:rFonts w:ascii="Times New Roman" w:hAnsi="Times New Roman"/>
      <w:sz w:val="20"/>
    </w:rPr>
  </w:style>
  <w:style w:type="character" w:styleId="UnresolvedMention">
    <w:name w:val="Unresolved Mention"/>
    <w:basedOn w:val="DefaultParagraphFont"/>
    <w:uiPriority w:val="99"/>
    <w:unhideWhenUsed/>
    <w:rsid w:val="00FD1B6C"/>
    <w:rPr>
      <w:color w:val="605E5C"/>
      <w:shd w:val="clear" w:color="auto" w:fill="E1DFDD"/>
    </w:rPr>
  </w:style>
  <w:style w:type="character" w:styleId="Mention">
    <w:name w:val="Mention"/>
    <w:basedOn w:val="DefaultParagraphFont"/>
    <w:uiPriority w:val="99"/>
    <w:unhideWhenUsed/>
    <w:rsid w:val="00FD1B6C"/>
    <w:rPr>
      <w:color w:val="2B579A"/>
      <w:shd w:val="clear" w:color="auto" w:fill="E1DFDD"/>
    </w:rPr>
  </w:style>
  <w:style w:type="paragraph" w:styleId="Revision">
    <w:name w:val="Revision"/>
    <w:hidden/>
    <w:uiPriority w:val="99"/>
    <w:semiHidden/>
    <w:rsid w:val="00410F7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94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5AIRPNAIUNRU-1328258698-7598</_dlc_DocId>
    <HideFromDelve xmlns="71c5aaf6-e6ce-465b-b873-5148d2a4c105">false</HideFromDelve>
    <_dlc_DocIdUrl xmlns="71c5aaf6-e6ce-465b-b873-5148d2a4c105">
      <Url>https://nokia.sharepoint.com/sites/c5g/5gradio/_layouts/15/DocIdRedir.aspx?ID=5AIRPNAIUNRU-1328258698-7598</Url>
      <Description>5AIRPNAIUNRU-1328258698-7598</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34A77D3-72BC-4004-BB1D-2BE3931F47A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E46F98E-9C90-4511-8EEC-9902DBFD4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1622B419-82A6-4AC9-9AF2-10232E9654C4}">
  <ds:schemaRefs>
    <ds:schemaRef ds:uri="http://schemas.microsoft.com/sharepoint/v3/contenttype/forms"/>
  </ds:schemaRefs>
</ds:datastoreItem>
</file>

<file path=customXml/itemProps5.xml><?xml version="1.0" encoding="utf-8"?>
<ds:datastoreItem xmlns:ds="http://schemas.openxmlformats.org/officeDocument/2006/customXml" ds:itemID="{96CF3071-71DE-4D6B-908D-C64CDAF08A69}">
  <ds:schemaRefs>
    <ds:schemaRef ds:uri="http://schemas.microsoft.com/sharepoint/events"/>
  </ds:schemaRefs>
</ds:datastoreItem>
</file>

<file path=customXml/itemProps6.xml><?xml version="1.0" encoding="utf-8"?>
<ds:datastoreItem xmlns:ds="http://schemas.openxmlformats.org/officeDocument/2006/customXml" ds:itemID="{33FD3769-BE2D-4F8F-8960-F77FC50AEC3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2140</Words>
  <Characters>11194</Characters>
  <Application>Microsoft Office Word</Application>
  <DocSecurity>0</DocSecurity>
  <Lines>589</Lines>
  <Paragraphs>370</Paragraphs>
  <ScaleCrop>false</ScaleCrop>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2021-10-22T18:59:00Z</dcterms:created>
  <dcterms:modified xsi:type="dcterms:W3CDTF">2021-10-22T18:59:00Z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e6baf06b-cb25-4cf0-a87d-f5669f62bc4f</vt:lpwstr>
  </property>
</Properties>
</file>