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F6196" w14:textId="5D42758C" w:rsidR="00C70FEF" w:rsidRDefault="00C70FEF" w:rsidP="00C70FEF">
      <w:pPr>
        <w:pStyle w:val="Header"/>
        <w:tabs>
          <w:tab w:val="right" w:pos="9356"/>
          <w:tab w:val="right" w:pos="10206"/>
        </w:tabs>
        <w:rPr>
          <w:rFonts w:cs="Arial"/>
          <w:i/>
          <w:sz w:val="24"/>
        </w:rPr>
      </w:pPr>
      <w:r>
        <w:rPr>
          <w:rFonts w:cs="Arial"/>
          <w:sz w:val="24"/>
        </w:rPr>
        <w:t>TSG-RAN Working Group 4 (Radio) meeting #</w:t>
      </w:r>
      <w:r w:rsidR="00EF0481">
        <w:rPr>
          <w:rFonts w:cs="Arial"/>
          <w:sz w:val="24"/>
        </w:rPr>
        <w:t>10</w:t>
      </w:r>
      <w:r w:rsidR="00544D2E">
        <w:rPr>
          <w:rFonts w:cs="Arial"/>
          <w:sz w:val="24"/>
        </w:rPr>
        <w:t>1</w:t>
      </w:r>
      <w:r>
        <w:rPr>
          <w:rFonts w:cs="Arial"/>
          <w:sz w:val="24"/>
        </w:rPr>
        <w:t>-e</w:t>
      </w:r>
      <w:r>
        <w:rPr>
          <w:rFonts w:cs="Arial"/>
          <w:i/>
          <w:sz w:val="24"/>
        </w:rPr>
        <w:tab/>
      </w:r>
      <w:r w:rsidR="00C4777D" w:rsidRPr="00C4777D">
        <w:rPr>
          <w:rFonts w:cs="Arial"/>
          <w:iCs/>
          <w:sz w:val="24"/>
        </w:rPr>
        <w:t>R4-21</w:t>
      </w:r>
      <w:r w:rsidR="00080A00">
        <w:rPr>
          <w:rFonts w:cs="Arial"/>
          <w:iCs/>
          <w:sz w:val="24"/>
        </w:rPr>
        <w:t>19373</w:t>
      </w:r>
    </w:p>
    <w:p w14:paraId="4CCF9EBE" w14:textId="1A842005" w:rsidR="00C70FEF" w:rsidRDefault="00C70FEF" w:rsidP="00C70FEF">
      <w:pPr>
        <w:pStyle w:val="Header"/>
        <w:tabs>
          <w:tab w:val="right" w:pos="10206"/>
        </w:tabs>
        <w:spacing w:after="120"/>
        <w:rPr>
          <w:rFonts w:cs="Arial"/>
          <w:sz w:val="24"/>
        </w:rPr>
      </w:pPr>
      <w:r>
        <w:rPr>
          <w:rFonts w:cs="Arial"/>
          <w:sz w:val="24"/>
        </w:rPr>
        <w:t xml:space="preserve">Electronic Meeting, </w:t>
      </w:r>
      <w:r w:rsidR="00544D2E">
        <w:rPr>
          <w:sz w:val="24"/>
        </w:rPr>
        <w:t>8</w:t>
      </w:r>
      <w:r w:rsidRPr="004566BD">
        <w:rPr>
          <w:sz w:val="24"/>
          <w:vertAlign w:val="superscript"/>
        </w:rPr>
        <w:t>th</w:t>
      </w:r>
      <w:r>
        <w:rPr>
          <w:sz w:val="24"/>
        </w:rPr>
        <w:t xml:space="preserve"> </w:t>
      </w:r>
      <w:r w:rsidRPr="00AD666F">
        <w:rPr>
          <w:sz w:val="24"/>
        </w:rPr>
        <w:t xml:space="preserve">– </w:t>
      </w:r>
      <w:r w:rsidR="00544D2E">
        <w:rPr>
          <w:sz w:val="24"/>
        </w:rPr>
        <w:t>19</w:t>
      </w:r>
      <w:r w:rsidRPr="004566BD">
        <w:rPr>
          <w:sz w:val="24"/>
          <w:vertAlign w:val="superscript"/>
        </w:rPr>
        <w:t>th</w:t>
      </w:r>
      <w:r>
        <w:rPr>
          <w:sz w:val="24"/>
        </w:rPr>
        <w:t xml:space="preserve"> </w:t>
      </w:r>
      <w:r w:rsidR="00544D2E">
        <w:rPr>
          <w:sz w:val="24"/>
        </w:rPr>
        <w:t>November</w:t>
      </w:r>
      <w:r w:rsidRPr="00AD666F">
        <w:rPr>
          <w:sz w:val="24"/>
        </w:rPr>
        <w:t xml:space="preserve"> </w:t>
      </w:r>
      <w:r>
        <w:rPr>
          <w:sz w:val="24"/>
        </w:rPr>
        <w:t>2021</w:t>
      </w:r>
    </w:p>
    <w:p w14:paraId="5409C467" w14:textId="77777777" w:rsidR="00C70FEF" w:rsidRDefault="00C70FEF" w:rsidP="00C70FEF">
      <w:pPr>
        <w:spacing w:after="120"/>
        <w:ind w:left="1985" w:hanging="1985"/>
        <w:rPr>
          <w:rFonts w:ascii="Arial" w:hAnsi="Arial" w:cs="Arial"/>
          <w:b/>
        </w:rPr>
      </w:pPr>
    </w:p>
    <w:p w14:paraId="15C0740B" w14:textId="39AD7DCE"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sidR="001300E7">
        <w:rPr>
          <w:rFonts w:ascii="Arial" w:hAnsi="Arial" w:cs="Arial"/>
          <w:bCs/>
        </w:rPr>
        <w:t>T-Mobile USA</w:t>
      </w:r>
    </w:p>
    <w:p w14:paraId="13308E8F" w14:textId="3CC079C1" w:rsidR="00C70FEF" w:rsidRPr="00EF0481" w:rsidRDefault="00C70FEF" w:rsidP="00C70FEF">
      <w:pPr>
        <w:spacing w:after="120"/>
        <w:ind w:left="1985" w:hanging="1985"/>
        <w:rPr>
          <w:rFonts w:ascii="Arial" w:hAnsi="Arial" w:cs="Arial"/>
          <w:bCs/>
          <w:color w:val="FF0000"/>
        </w:rPr>
      </w:pPr>
      <w:r>
        <w:rPr>
          <w:rFonts w:ascii="Arial" w:hAnsi="Arial" w:cs="Arial"/>
          <w:b/>
        </w:rPr>
        <w:t>Title:</w:t>
      </w:r>
      <w:r>
        <w:rPr>
          <w:rFonts w:ascii="Arial" w:hAnsi="Arial" w:cs="Arial"/>
          <w:b/>
        </w:rPr>
        <w:tab/>
      </w:r>
      <w:r w:rsidR="001300E7">
        <w:rPr>
          <w:rFonts w:ascii="Arial" w:hAnsi="Arial" w:cs="Arial"/>
          <w:bCs/>
        </w:rPr>
        <w:t>Discussion on the</w:t>
      </w:r>
      <w:r w:rsidR="001B3A48" w:rsidRPr="001B3A48">
        <w:rPr>
          <w:rFonts w:ascii="Arial" w:hAnsi="Arial" w:cs="Arial"/>
          <w:bCs/>
        </w:rPr>
        <w:t xml:space="preserve"> </w:t>
      </w:r>
      <w:proofErr w:type="spellStart"/>
      <w:r w:rsidR="001B3A48" w:rsidRPr="001B3A48">
        <w:rPr>
          <w:rFonts w:ascii="Arial" w:hAnsi="Arial" w:cs="Arial"/>
          <w:bCs/>
        </w:rPr>
        <w:t>widerCBW</w:t>
      </w:r>
      <w:proofErr w:type="spellEnd"/>
      <w:r w:rsidR="001B3A48" w:rsidRPr="001B3A48">
        <w:rPr>
          <w:rFonts w:ascii="Arial" w:hAnsi="Arial" w:cs="Arial"/>
          <w:bCs/>
        </w:rPr>
        <w:t xml:space="preserve"> Approach</w:t>
      </w:r>
    </w:p>
    <w:p w14:paraId="48D9BF24" w14:textId="1FF615BB"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AE34E1" w:rsidRPr="00AE34E1">
        <w:rPr>
          <w:rFonts w:ascii="Arial" w:hAnsi="Arial" w:cs="Arial"/>
          <w:lang w:val="en-US"/>
        </w:rPr>
        <w:t>9.2.2.1</w:t>
      </w:r>
    </w:p>
    <w:p w14:paraId="6486B4F2" w14:textId="77777777"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77777777" w:rsidR="00C70FEF" w:rsidRDefault="00C70FEF" w:rsidP="00C70FEF">
      <w:pPr>
        <w:pStyle w:val="Heading1"/>
      </w:pPr>
      <w:r>
        <w:t>1</w:t>
      </w:r>
      <w:r>
        <w:tab/>
        <w:t>Introduction</w:t>
      </w:r>
    </w:p>
    <w:p w14:paraId="629B1958" w14:textId="01E683DC" w:rsidR="001300E7" w:rsidRDefault="001B3A48" w:rsidP="00EF0481">
      <w:pPr>
        <w:pStyle w:val="BodyText"/>
        <w:rPr>
          <w:lang w:val="en-US"/>
        </w:rPr>
      </w:pPr>
      <w:r>
        <w:rPr>
          <w:lang w:val="en-US"/>
        </w:rPr>
        <w:t xml:space="preserve">The intention of this contribution is to </w:t>
      </w:r>
      <w:r w:rsidR="001300E7">
        <w:rPr>
          <w:lang w:val="en-US"/>
        </w:rPr>
        <w:t xml:space="preserve">respond to the questions in </w:t>
      </w:r>
      <w:r w:rsidR="007373BF">
        <w:rPr>
          <w:lang w:val="en-US"/>
        </w:rPr>
        <w:t xml:space="preserve">the </w:t>
      </w:r>
      <w:r w:rsidR="00D622F9" w:rsidRPr="00D622F9">
        <w:rPr>
          <w:lang w:val="en-US"/>
        </w:rPr>
        <w:t xml:space="preserve">WF on </w:t>
      </w:r>
      <w:proofErr w:type="spellStart"/>
      <w:r w:rsidR="00D622F9" w:rsidRPr="00D622F9">
        <w:rPr>
          <w:lang w:val="en-US"/>
        </w:rPr>
        <w:t>widerCBW</w:t>
      </w:r>
      <w:proofErr w:type="spellEnd"/>
      <w:r w:rsidR="00D622F9" w:rsidRPr="00D622F9">
        <w:rPr>
          <w:lang w:val="en-US"/>
        </w:rPr>
        <w:t xml:space="preserve"> Approach</w:t>
      </w:r>
      <w:r w:rsidR="00D622F9">
        <w:rPr>
          <w:lang w:val="en-US"/>
        </w:rPr>
        <w:t xml:space="preserve"> fro</w:t>
      </w:r>
      <w:r w:rsidR="001D0CE9">
        <w:rPr>
          <w:lang w:val="en-US"/>
        </w:rPr>
        <w:t>m</w:t>
      </w:r>
      <w:r w:rsidR="00D622F9">
        <w:rPr>
          <w:lang w:val="en-US"/>
        </w:rPr>
        <w:t xml:space="preserve"> Ran4#100-e</w:t>
      </w:r>
      <w:r w:rsidR="007373BF">
        <w:rPr>
          <w:lang w:val="en-US"/>
        </w:rPr>
        <w:t xml:space="preserve">  </w:t>
      </w:r>
      <w:r w:rsidR="00CC1EE1">
        <w:rPr>
          <w:lang w:val="en-US"/>
        </w:rPr>
        <w:fldChar w:fldCharType="begin"/>
      </w:r>
      <w:r w:rsidR="00CC1EE1">
        <w:rPr>
          <w:lang w:val="en-US"/>
        </w:rPr>
        <w:instrText xml:space="preserve"> REF _Ref84345468 \r \h </w:instrText>
      </w:r>
      <w:r w:rsidR="00CC1EE1">
        <w:rPr>
          <w:lang w:val="en-US"/>
        </w:rPr>
      </w:r>
      <w:r w:rsidR="00CC1EE1">
        <w:rPr>
          <w:lang w:val="en-US"/>
        </w:rPr>
        <w:fldChar w:fldCharType="separate"/>
      </w:r>
      <w:r w:rsidR="00CC1EE1">
        <w:rPr>
          <w:lang w:val="en-US"/>
        </w:rPr>
        <w:t>[1]</w:t>
      </w:r>
      <w:r w:rsidR="00CC1EE1">
        <w:rPr>
          <w:lang w:val="en-US"/>
        </w:rPr>
        <w:fldChar w:fldCharType="end"/>
      </w:r>
      <w:r w:rsidR="00CC1EE1">
        <w:rPr>
          <w:lang w:val="en-US"/>
        </w:rPr>
        <w:t>.</w:t>
      </w:r>
    </w:p>
    <w:p w14:paraId="68C62BD8" w14:textId="77777777" w:rsidR="001B3A48" w:rsidRDefault="001B3A48" w:rsidP="00EF0481">
      <w:pPr>
        <w:pStyle w:val="BodyText"/>
        <w:rPr>
          <w:lang w:val="en-US"/>
        </w:rPr>
      </w:pPr>
    </w:p>
    <w:p w14:paraId="6F7DA0E8" w14:textId="68A803FE" w:rsidR="00C70FEF" w:rsidRDefault="00C70FEF" w:rsidP="00C70FEF">
      <w:pPr>
        <w:pStyle w:val="Heading1"/>
      </w:pPr>
      <w:r>
        <w:t>2</w:t>
      </w:r>
      <w:r>
        <w:tab/>
      </w:r>
      <w:r w:rsidR="006F657C">
        <w:t>Discussion</w:t>
      </w:r>
    </w:p>
    <w:p w14:paraId="7704DB1E" w14:textId="2B8EC03E" w:rsidR="001B3A48" w:rsidRPr="001B3A48" w:rsidRDefault="00C5392C" w:rsidP="001B3A48">
      <w:pPr>
        <w:rPr>
          <w:bCs/>
          <w:lang w:eastAsia="ko-KR"/>
        </w:rPr>
      </w:pPr>
      <w:r>
        <w:rPr>
          <w:bCs/>
          <w:lang w:eastAsia="ko-KR"/>
        </w:rPr>
        <w:t xml:space="preserve">From </w:t>
      </w:r>
      <w:r>
        <w:rPr>
          <w:bCs/>
          <w:lang w:eastAsia="ko-KR"/>
        </w:rPr>
        <w:fldChar w:fldCharType="begin"/>
      </w:r>
      <w:r>
        <w:rPr>
          <w:bCs/>
          <w:lang w:eastAsia="ko-KR"/>
        </w:rPr>
        <w:instrText xml:space="preserve"> REF _Ref84345468 \r \h </w:instrText>
      </w:r>
      <w:r>
        <w:rPr>
          <w:bCs/>
          <w:lang w:eastAsia="ko-KR"/>
        </w:rPr>
      </w:r>
      <w:r>
        <w:rPr>
          <w:bCs/>
          <w:lang w:eastAsia="ko-KR"/>
        </w:rPr>
        <w:fldChar w:fldCharType="separate"/>
      </w:r>
      <w:r>
        <w:rPr>
          <w:bCs/>
          <w:lang w:eastAsia="ko-KR"/>
        </w:rPr>
        <w:t>[1]</w:t>
      </w:r>
      <w:r>
        <w:rPr>
          <w:bCs/>
          <w:lang w:eastAsia="ko-KR"/>
        </w:rPr>
        <w:fldChar w:fldCharType="end"/>
      </w:r>
      <w:r>
        <w:rPr>
          <w:bCs/>
          <w:lang w:eastAsia="ko-KR"/>
        </w:rPr>
        <w:t>, i</w:t>
      </w:r>
      <w:r w:rsidR="001B3A48" w:rsidRPr="001B3A48">
        <w:rPr>
          <w:bCs/>
          <w:lang w:eastAsia="ko-KR"/>
        </w:rPr>
        <w:t>nterested companies are requested to provide answers to the following questions:</w:t>
      </w:r>
    </w:p>
    <w:p w14:paraId="10570915" w14:textId="05262BAA" w:rsidR="001B3A48" w:rsidRPr="003D40E6" w:rsidRDefault="001B3A48" w:rsidP="00292886">
      <w:pPr>
        <w:pStyle w:val="ListParagraph"/>
        <w:numPr>
          <w:ilvl w:val="0"/>
          <w:numId w:val="18"/>
        </w:numPr>
        <w:rPr>
          <w:bCs/>
          <w:i/>
          <w:iCs/>
          <w:lang w:eastAsia="ko-KR"/>
        </w:rPr>
      </w:pPr>
      <w:r w:rsidRPr="003D40E6">
        <w:rPr>
          <w:bCs/>
          <w:i/>
          <w:iCs/>
          <w:lang w:eastAsia="ko-KR"/>
        </w:rPr>
        <w:t xml:space="preserve">If the SCS-specific carrier broadcast in the SIB covers 728-738 MHz and the 5 MHz at the low end of n12 is the initial BWP and the </w:t>
      </w:r>
      <w:proofErr w:type="spellStart"/>
      <w:r w:rsidRPr="003D40E6">
        <w:rPr>
          <w:bCs/>
          <w:i/>
          <w:iCs/>
          <w:lang w:eastAsia="ko-KR"/>
        </w:rPr>
        <w:t>gNB</w:t>
      </w:r>
      <w:proofErr w:type="spellEnd"/>
      <w:r w:rsidRPr="003D40E6">
        <w:rPr>
          <w:bCs/>
          <w:i/>
          <w:iCs/>
          <w:lang w:eastAsia="ko-KR"/>
        </w:rPr>
        <w:t>, will n12 UEs that don’t support n85 be able to access the network since 728-729 MHz in the cell-specific carrier bandwidth is not part of n12?</w:t>
      </w:r>
      <w:r w:rsidR="00292886" w:rsidRPr="003D40E6">
        <w:rPr>
          <w:bCs/>
          <w:i/>
          <w:iCs/>
          <w:lang w:eastAsia="ko-KR"/>
        </w:rPr>
        <w:t xml:space="preserve">  </w:t>
      </w:r>
      <w:r w:rsidRPr="003D40E6">
        <w:rPr>
          <w:bCs/>
          <w:i/>
          <w:iCs/>
          <w:lang w:eastAsia="ko-KR"/>
        </w:rPr>
        <w:t xml:space="preserve">Alternatively, if cell-specific carrier bandwidth is configured to be 729-734 MHz, can the network then configure n85 capable UEs with UE specific channel bandwidths from 728-738 MHz </w:t>
      </w:r>
    </w:p>
    <w:p w14:paraId="2465C2DF" w14:textId="5B7B2F4C" w:rsidR="000932D0" w:rsidRDefault="001771BC" w:rsidP="00AD221E">
      <w:pPr>
        <w:rPr>
          <w:bCs/>
          <w:lang w:eastAsia="ko-KR"/>
        </w:rPr>
      </w:pPr>
      <w:r>
        <w:rPr>
          <w:bCs/>
          <w:lang w:eastAsia="ko-KR"/>
        </w:rPr>
        <w:t>Th</w:t>
      </w:r>
      <w:r w:rsidR="000932D0">
        <w:rPr>
          <w:bCs/>
          <w:lang w:eastAsia="ko-KR"/>
        </w:rPr>
        <w:t xml:space="preserve">e following note is in </w:t>
      </w:r>
      <w:r w:rsidR="00962F11">
        <w:rPr>
          <w:bCs/>
          <w:lang w:eastAsia="ko-KR"/>
        </w:rPr>
        <w:t xml:space="preserve">38.101-1 Table </w:t>
      </w:r>
      <w:r w:rsidR="003C0F74" w:rsidRPr="003C0F74">
        <w:rPr>
          <w:bCs/>
          <w:lang w:eastAsia="ko-KR"/>
        </w:rPr>
        <w:t>5.4.2.3-</w:t>
      </w:r>
      <w:r w:rsidR="003C0F74">
        <w:rPr>
          <w:bCs/>
          <w:lang w:eastAsia="ko-KR"/>
        </w:rPr>
        <w:t>1:</w:t>
      </w:r>
    </w:p>
    <w:p w14:paraId="6A47F773" w14:textId="77777777" w:rsidR="00962F11" w:rsidRPr="00962F11" w:rsidRDefault="00962F11" w:rsidP="00AD221E">
      <w:pPr>
        <w:pStyle w:val="TAN"/>
        <w:ind w:left="1571"/>
        <w:rPr>
          <w:lang w:eastAsia="ko-KR"/>
        </w:rPr>
      </w:pPr>
      <w:r w:rsidRPr="00962F11">
        <w:rPr>
          <w:lang w:eastAsia="ko-KR"/>
        </w:rPr>
        <w:t>NOTE 1: The channel numbers that designate carrier frequencies so close to the operating band</w:t>
      </w:r>
    </w:p>
    <w:p w14:paraId="740E93E9" w14:textId="4F391A40" w:rsidR="00292886" w:rsidRDefault="00962F11" w:rsidP="000003D3">
      <w:pPr>
        <w:pStyle w:val="TAN"/>
        <w:ind w:left="1571"/>
        <w:rPr>
          <w:lang w:eastAsia="ko-KR"/>
        </w:rPr>
      </w:pPr>
      <w:r w:rsidRPr="00962F11">
        <w:rPr>
          <w:lang w:eastAsia="ko-KR"/>
        </w:rPr>
        <w:t>edges that the carrier extends beyond the operating band edge shall not be used.</w:t>
      </w:r>
    </w:p>
    <w:p w14:paraId="0BC72667" w14:textId="77777777" w:rsidR="000003D3" w:rsidRPr="000003D3" w:rsidRDefault="000003D3" w:rsidP="000003D3">
      <w:pPr>
        <w:pStyle w:val="TAN"/>
        <w:rPr>
          <w:lang w:eastAsia="ko-KR"/>
        </w:rPr>
      </w:pPr>
    </w:p>
    <w:p w14:paraId="0040F9E1" w14:textId="347043BD" w:rsidR="00812AB1" w:rsidRDefault="000003D3" w:rsidP="00AD221E">
      <w:pPr>
        <w:rPr>
          <w:bCs/>
          <w:lang w:eastAsia="ko-KR"/>
        </w:rPr>
      </w:pPr>
      <w:r>
        <w:rPr>
          <w:bCs/>
          <w:lang w:eastAsia="ko-KR"/>
        </w:rPr>
        <w:t xml:space="preserve">This note makes it clear that UEs do not need to support carriers </w:t>
      </w:r>
      <w:r w:rsidR="00BA7C19">
        <w:rPr>
          <w:bCs/>
          <w:lang w:eastAsia="ko-KR"/>
        </w:rPr>
        <w:t xml:space="preserve">that extend beyond the edge of an operating band. </w:t>
      </w:r>
      <w:proofErr w:type="gramStart"/>
      <w:r w:rsidR="00BA7C19">
        <w:rPr>
          <w:bCs/>
          <w:lang w:eastAsia="ko-KR"/>
        </w:rPr>
        <w:t>So</w:t>
      </w:r>
      <w:proofErr w:type="gramEnd"/>
      <w:r w:rsidR="00BA7C19">
        <w:rPr>
          <w:bCs/>
          <w:lang w:eastAsia="ko-KR"/>
        </w:rPr>
        <w:t xml:space="preserve"> an n12 UE does not need to support a carrier BW of </w:t>
      </w:r>
      <w:r w:rsidR="00BA7C19" w:rsidRPr="00BA7C19">
        <w:rPr>
          <w:bCs/>
          <w:lang w:eastAsia="ko-KR"/>
        </w:rPr>
        <w:t>728-738 MHz</w:t>
      </w:r>
      <w:r w:rsidR="00BA7C19">
        <w:rPr>
          <w:bCs/>
          <w:lang w:eastAsia="ko-KR"/>
        </w:rPr>
        <w:t xml:space="preserve"> in the SIB, and such a configuration may result in </w:t>
      </w:r>
      <w:r w:rsidR="00D91AE1">
        <w:rPr>
          <w:bCs/>
          <w:lang w:eastAsia="ko-KR"/>
        </w:rPr>
        <w:t xml:space="preserve">unspecified UE </w:t>
      </w:r>
      <w:proofErr w:type="spellStart"/>
      <w:r w:rsidR="00D91AE1">
        <w:rPr>
          <w:bCs/>
          <w:lang w:eastAsia="ko-KR"/>
        </w:rPr>
        <w:t>behavior</w:t>
      </w:r>
      <w:proofErr w:type="spellEnd"/>
      <w:r w:rsidR="00D91AE1">
        <w:rPr>
          <w:bCs/>
          <w:lang w:eastAsia="ko-KR"/>
        </w:rPr>
        <w:t xml:space="preserve">. </w:t>
      </w:r>
    </w:p>
    <w:p w14:paraId="1A68B4A0" w14:textId="0F239807" w:rsidR="00812AB1" w:rsidRDefault="00812AB1" w:rsidP="00AD221E">
      <w:pPr>
        <w:rPr>
          <w:bCs/>
          <w:lang w:eastAsia="ko-KR"/>
        </w:rPr>
      </w:pPr>
      <w:r>
        <w:rPr>
          <w:bCs/>
          <w:lang w:eastAsia="ko-KR"/>
        </w:rPr>
        <w:t>Also, from 38.104</w:t>
      </w:r>
      <w:r w:rsidR="00B80BCB">
        <w:rPr>
          <w:bCs/>
          <w:lang w:eastAsia="ko-KR"/>
        </w:rPr>
        <w:t>:</w:t>
      </w:r>
    </w:p>
    <w:p w14:paraId="695B753F" w14:textId="77777777" w:rsidR="00E213E6" w:rsidRPr="00E213E6" w:rsidRDefault="00E213E6" w:rsidP="00E213E6">
      <w:pPr>
        <w:ind w:left="284"/>
      </w:pPr>
      <w:r w:rsidRPr="00E213E6">
        <w:rPr>
          <w:b/>
        </w:rPr>
        <w:t>Base Station RF Bandwidth</w:t>
      </w:r>
      <w:r w:rsidRPr="00E213E6">
        <w:t xml:space="preserve">: RF bandwidth in which a base station transmits and/or receives single or multiple carrier(s) </w:t>
      </w:r>
      <w:r w:rsidRPr="00E213E6">
        <w:rPr>
          <w:highlight w:val="yellow"/>
        </w:rPr>
        <w:t xml:space="preserve">within a supported </w:t>
      </w:r>
      <w:r w:rsidRPr="00E213E6">
        <w:rPr>
          <w:i/>
          <w:highlight w:val="yellow"/>
        </w:rPr>
        <w:t>operating band</w:t>
      </w:r>
    </w:p>
    <w:p w14:paraId="74ADCE45" w14:textId="77777777" w:rsidR="00E213E6" w:rsidRPr="00E213E6" w:rsidRDefault="00E213E6" w:rsidP="00E213E6">
      <w:pPr>
        <w:keepLines/>
        <w:ind w:left="1419" w:hanging="851"/>
      </w:pPr>
      <w:r w:rsidRPr="00E213E6">
        <w:t>NOTE:</w:t>
      </w:r>
      <w:r w:rsidRPr="00E213E6">
        <w:tab/>
        <w:t xml:space="preserve">In single carrier operation, the </w:t>
      </w:r>
      <w:r w:rsidRPr="00E213E6">
        <w:rPr>
          <w:i/>
        </w:rPr>
        <w:t>Base Station RF Bandwidth</w:t>
      </w:r>
      <w:r w:rsidRPr="00E213E6">
        <w:t xml:space="preserve"> is equal to the </w:t>
      </w:r>
      <w:r w:rsidRPr="00E213E6">
        <w:rPr>
          <w:i/>
        </w:rPr>
        <w:t>BS channel bandwidth</w:t>
      </w:r>
      <w:r w:rsidRPr="00E213E6">
        <w:t>.</w:t>
      </w:r>
    </w:p>
    <w:p w14:paraId="40391806" w14:textId="01D968F0" w:rsidR="00E213E6" w:rsidRDefault="00E213E6" w:rsidP="00AD221E">
      <w:pPr>
        <w:rPr>
          <w:bCs/>
          <w:lang w:eastAsia="ko-KR"/>
        </w:rPr>
      </w:pPr>
      <w:proofErr w:type="gramStart"/>
      <w:r>
        <w:rPr>
          <w:bCs/>
          <w:lang w:eastAsia="ko-KR"/>
        </w:rPr>
        <w:t>And also</w:t>
      </w:r>
      <w:proofErr w:type="gramEnd"/>
      <w:r>
        <w:rPr>
          <w:bCs/>
          <w:lang w:eastAsia="ko-KR"/>
        </w:rPr>
        <w:t xml:space="preserve"> from 38.104:</w:t>
      </w:r>
    </w:p>
    <w:p w14:paraId="2B55EA7D" w14:textId="77777777" w:rsidR="00812AB1" w:rsidRPr="00812AB1" w:rsidRDefault="00812AB1" w:rsidP="00E213E6">
      <w:pPr>
        <w:ind w:left="568"/>
        <w:rPr>
          <w:rFonts w:eastAsia="SimSun"/>
        </w:rPr>
      </w:pPr>
      <w:r w:rsidRPr="00812AB1">
        <w:rPr>
          <w:rFonts w:eastAsia="SimSun"/>
        </w:rPr>
        <w:t xml:space="preserve">The </w:t>
      </w:r>
      <w:r w:rsidRPr="00812AB1">
        <w:rPr>
          <w:rFonts w:eastAsia="SimSun"/>
          <w:i/>
          <w:kern w:val="2"/>
        </w:rPr>
        <w:t>BS channel bandwidth</w:t>
      </w:r>
      <w:r w:rsidRPr="00812AB1">
        <w:rPr>
          <w:rFonts w:eastAsia="SimSun"/>
        </w:rPr>
        <w:t xml:space="preserve"> supports a single NR RF carrier in the uplink or downlink at the Base Station. Different </w:t>
      </w:r>
      <w:r w:rsidRPr="00812AB1">
        <w:rPr>
          <w:rFonts w:eastAsia="SimSun"/>
          <w:i/>
          <w:kern w:val="2"/>
        </w:rPr>
        <w:t>UE channel bandwidths</w:t>
      </w:r>
      <w:r w:rsidRPr="00812AB1">
        <w:rPr>
          <w:rFonts w:eastAsia="SimSun"/>
        </w:rPr>
        <w:t xml:space="preserve"> may be supported within the same spectrum for transmitting to and receiving from UEs connected to the BS</w:t>
      </w:r>
      <w:r w:rsidRPr="00812AB1">
        <w:rPr>
          <w:rFonts w:eastAsia="SimSun"/>
          <w:highlight w:val="yellow"/>
        </w:rPr>
        <w:t xml:space="preserve">. The placement of the </w:t>
      </w:r>
      <w:r w:rsidRPr="00812AB1">
        <w:rPr>
          <w:rFonts w:eastAsia="SimSun"/>
          <w:i/>
          <w:kern w:val="2"/>
          <w:highlight w:val="yellow"/>
        </w:rPr>
        <w:t>UE channel bandwidth</w:t>
      </w:r>
      <w:r w:rsidRPr="00812AB1">
        <w:rPr>
          <w:rFonts w:eastAsia="SimSun"/>
          <w:highlight w:val="yellow"/>
        </w:rPr>
        <w:t xml:space="preserve"> is flexible but can only be completely within the </w:t>
      </w:r>
      <w:r w:rsidRPr="00812AB1">
        <w:rPr>
          <w:rFonts w:eastAsia="SimSun"/>
          <w:i/>
          <w:kern w:val="2"/>
          <w:highlight w:val="yellow"/>
        </w:rPr>
        <w:t>BS channel bandwidth</w:t>
      </w:r>
      <w:r w:rsidRPr="00812AB1">
        <w:rPr>
          <w:rFonts w:eastAsia="SimSun"/>
          <w:highlight w:val="yellow"/>
        </w:rPr>
        <w:t>.</w:t>
      </w:r>
      <w:r w:rsidRPr="00812AB1">
        <w:t xml:space="preserve"> The BS shall be able to transmit to and/or receive from one or more UE bandwidth parts that are smaller than or equal to the number of carrier resource blocks on the RF carrier, in any part of the carrier resource blocks.</w:t>
      </w:r>
    </w:p>
    <w:p w14:paraId="70709071" w14:textId="63617983" w:rsidR="00CC55B0" w:rsidRPr="00CC55B0" w:rsidRDefault="00CC55B0" w:rsidP="00AD221E">
      <w:pPr>
        <w:rPr>
          <w:b/>
          <w:lang w:eastAsia="ko-KR"/>
        </w:rPr>
      </w:pPr>
      <w:bookmarkStart w:id="0" w:name="_Hlk85817556"/>
      <w:r w:rsidRPr="00CC55B0">
        <w:rPr>
          <w:b/>
          <w:lang w:eastAsia="ko-KR"/>
        </w:rPr>
        <w:t xml:space="preserve">Observation 1: UEs </w:t>
      </w:r>
      <w:r w:rsidR="00A30462">
        <w:rPr>
          <w:b/>
          <w:lang w:eastAsia="ko-KR"/>
        </w:rPr>
        <w:t>cannot be expected t</w:t>
      </w:r>
      <w:r w:rsidRPr="00CC55B0">
        <w:rPr>
          <w:b/>
          <w:lang w:eastAsia="ko-KR"/>
        </w:rPr>
        <w:t>o support carriers that extend beyond the edge of an operating band.</w:t>
      </w:r>
    </w:p>
    <w:p w14:paraId="1CB5FD00" w14:textId="77777777" w:rsidR="00292886" w:rsidRPr="00292886" w:rsidRDefault="00292886" w:rsidP="00292886">
      <w:pPr>
        <w:pStyle w:val="ListParagraph"/>
        <w:ind w:left="1080"/>
        <w:rPr>
          <w:bCs/>
          <w:lang w:eastAsia="ko-KR"/>
        </w:rPr>
      </w:pPr>
    </w:p>
    <w:p w14:paraId="1A901A9E" w14:textId="39848F30" w:rsidR="001B3A48" w:rsidRPr="003D40E6" w:rsidRDefault="001B3A48" w:rsidP="00292886">
      <w:pPr>
        <w:pStyle w:val="ListParagraph"/>
        <w:numPr>
          <w:ilvl w:val="0"/>
          <w:numId w:val="18"/>
        </w:numPr>
        <w:rPr>
          <w:bCs/>
          <w:i/>
          <w:iCs/>
          <w:lang w:eastAsia="ko-KR"/>
        </w:rPr>
      </w:pPr>
      <w:r w:rsidRPr="003D40E6">
        <w:rPr>
          <w:bCs/>
          <w:i/>
          <w:iCs/>
          <w:lang w:eastAsia="ko-KR"/>
        </w:rPr>
        <w:lastRenderedPageBreak/>
        <w:t xml:space="preserve">If it is possible to configure n85 UEs with UE specific carrier of 728-738 MHz when the cell specific carrier broadcast in the SIB is 729-734 MHz, will it be possible to ensure the RBs for the 728-738 MHz carrier align with the RBs for the 729-234 MHz Carrier? </w:t>
      </w:r>
    </w:p>
    <w:p w14:paraId="2D75E7E9" w14:textId="1594203A" w:rsidR="00F32125" w:rsidRDefault="00E62FC6" w:rsidP="00F32125">
      <w:pPr>
        <w:rPr>
          <w:bCs/>
          <w:lang w:eastAsia="ko-KR"/>
        </w:rPr>
      </w:pPr>
      <w:r>
        <w:rPr>
          <w:bCs/>
          <w:lang w:eastAsia="ko-KR"/>
        </w:rPr>
        <w:t xml:space="preserve">The </w:t>
      </w:r>
      <w:proofErr w:type="spellStart"/>
      <w:r>
        <w:rPr>
          <w:bCs/>
          <w:lang w:eastAsia="ko-KR"/>
        </w:rPr>
        <w:t>center</w:t>
      </w:r>
      <w:proofErr w:type="spellEnd"/>
      <w:r>
        <w:rPr>
          <w:bCs/>
          <w:lang w:eastAsia="ko-KR"/>
        </w:rPr>
        <w:t xml:space="preserve"> frequency of a</w:t>
      </w:r>
      <w:r w:rsidR="00AB3965">
        <w:rPr>
          <w:bCs/>
          <w:lang w:eastAsia="ko-KR"/>
        </w:rPr>
        <w:t xml:space="preserve"> 5 MHz carrier in </w:t>
      </w:r>
      <w:r w:rsidR="00AB3965" w:rsidRPr="00AB3965">
        <w:rPr>
          <w:bCs/>
          <w:lang w:eastAsia="ko-KR"/>
        </w:rPr>
        <w:t>729-734 MHz</w:t>
      </w:r>
      <w:r w:rsidR="00AB3965">
        <w:rPr>
          <w:bCs/>
          <w:lang w:eastAsia="ko-KR"/>
        </w:rPr>
        <w:t xml:space="preserve"> will be </w:t>
      </w:r>
      <w:r w:rsidR="00630BC8">
        <w:rPr>
          <w:bCs/>
          <w:lang w:eastAsia="ko-KR"/>
        </w:rPr>
        <w:t xml:space="preserve">731.5 </w:t>
      </w:r>
      <w:proofErr w:type="spellStart"/>
      <w:r w:rsidR="00630BC8">
        <w:rPr>
          <w:bCs/>
          <w:lang w:eastAsia="ko-KR"/>
        </w:rPr>
        <w:t>MHz.</w:t>
      </w:r>
      <w:proofErr w:type="spellEnd"/>
      <w:r w:rsidR="00630BC8">
        <w:rPr>
          <w:bCs/>
          <w:lang w:eastAsia="ko-KR"/>
        </w:rPr>
        <w:t xml:space="preserve"> The </w:t>
      </w:r>
      <w:proofErr w:type="spellStart"/>
      <w:r w:rsidR="00630BC8">
        <w:rPr>
          <w:bCs/>
          <w:lang w:eastAsia="ko-KR"/>
        </w:rPr>
        <w:t>center</w:t>
      </w:r>
      <w:proofErr w:type="spellEnd"/>
      <w:r w:rsidR="00630BC8">
        <w:rPr>
          <w:bCs/>
          <w:lang w:eastAsia="ko-KR"/>
        </w:rPr>
        <w:t xml:space="preserve"> frequency of a 10 MHz carrier from 728-738 MHz will be </w:t>
      </w:r>
      <w:r w:rsidR="004C709C">
        <w:rPr>
          <w:bCs/>
          <w:lang w:eastAsia="ko-KR"/>
        </w:rPr>
        <w:t xml:space="preserve">733 </w:t>
      </w:r>
      <w:proofErr w:type="spellStart"/>
      <w:r w:rsidR="004C709C">
        <w:rPr>
          <w:bCs/>
          <w:lang w:eastAsia="ko-KR"/>
        </w:rPr>
        <w:t>MHz.</w:t>
      </w:r>
      <w:proofErr w:type="spellEnd"/>
      <w:r w:rsidR="004C709C">
        <w:rPr>
          <w:bCs/>
          <w:lang w:eastAsia="ko-KR"/>
        </w:rPr>
        <w:t xml:space="preserve"> So, the offset will be 1.5 </w:t>
      </w:r>
      <w:proofErr w:type="spellStart"/>
      <w:r w:rsidR="004C709C">
        <w:rPr>
          <w:bCs/>
          <w:lang w:eastAsia="ko-KR"/>
        </w:rPr>
        <w:t>MHz.</w:t>
      </w:r>
      <w:proofErr w:type="spellEnd"/>
      <w:r w:rsidR="004C709C">
        <w:rPr>
          <w:bCs/>
          <w:lang w:eastAsia="ko-KR"/>
        </w:rPr>
        <w:t xml:space="preserve"> the </w:t>
      </w:r>
      <w:proofErr w:type="spellStart"/>
      <w:r w:rsidR="004C709C">
        <w:rPr>
          <w:bCs/>
          <w:lang w:eastAsia="ko-KR"/>
        </w:rPr>
        <w:t>center</w:t>
      </w:r>
      <w:proofErr w:type="spellEnd"/>
      <w:r w:rsidR="004C709C">
        <w:rPr>
          <w:bCs/>
          <w:lang w:eastAsia="ko-KR"/>
        </w:rPr>
        <w:t xml:space="preserve"> frequencies would need to be offset by </w:t>
      </w:r>
      <w:r w:rsidR="00D306D4">
        <w:rPr>
          <w:bCs/>
          <w:lang w:eastAsia="ko-KR"/>
        </w:rPr>
        <w:t xml:space="preserve">multiple of 900 MHz so that PRBs align. A </w:t>
      </w:r>
      <w:proofErr w:type="spellStart"/>
      <w:r w:rsidR="00D306D4">
        <w:rPr>
          <w:bCs/>
          <w:lang w:eastAsia="ko-KR"/>
        </w:rPr>
        <w:t>center</w:t>
      </w:r>
      <w:proofErr w:type="spellEnd"/>
      <w:r w:rsidR="00D306D4">
        <w:rPr>
          <w:bCs/>
          <w:lang w:eastAsia="ko-KR"/>
        </w:rPr>
        <w:t xml:space="preserve"> frequency offset of </w:t>
      </w:r>
      <w:r w:rsidR="005D2302">
        <w:rPr>
          <w:bCs/>
          <w:lang w:eastAsia="ko-KR"/>
        </w:rPr>
        <w:t>1.5 MHz will not have PRBs aligned.</w:t>
      </w:r>
    </w:p>
    <w:p w14:paraId="6EA51C85" w14:textId="7A00AE1D" w:rsidR="005D2302" w:rsidRPr="005D2302" w:rsidRDefault="005D2302" w:rsidP="00F32125">
      <w:pPr>
        <w:rPr>
          <w:b/>
          <w:lang w:eastAsia="ko-KR"/>
        </w:rPr>
      </w:pPr>
      <w:r w:rsidRPr="00CC55B0">
        <w:rPr>
          <w:b/>
          <w:lang w:eastAsia="ko-KR"/>
        </w:rPr>
        <w:t xml:space="preserve">Observation </w:t>
      </w:r>
      <w:r>
        <w:rPr>
          <w:b/>
          <w:lang w:eastAsia="ko-KR"/>
        </w:rPr>
        <w:t>2</w:t>
      </w:r>
      <w:r w:rsidRPr="00CC55B0">
        <w:rPr>
          <w:b/>
          <w:lang w:eastAsia="ko-KR"/>
        </w:rPr>
        <w:t xml:space="preserve">: </w:t>
      </w:r>
      <w:r w:rsidR="00FB099E">
        <w:rPr>
          <w:b/>
          <w:lang w:eastAsia="ko-KR"/>
        </w:rPr>
        <w:t xml:space="preserve">The PRBs of a 10 MHz carrier </w:t>
      </w:r>
      <w:r w:rsidR="00F940E1">
        <w:rPr>
          <w:b/>
          <w:lang w:eastAsia="ko-KR"/>
        </w:rPr>
        <w:t xml:space="preserve">covering </w:t>
      </w:r>
      <w:r w:rsidR="00FB099E" w:rsidRPr="00FB099E">
        <w:rPr>
          <w:b/>
          <w:lang w:eastAsia="ko-KR"/>
        </w:rPr>
        <w:t>728-738 MHz</w:t>
      </w:r>
      <w:r w:rsidR="00F940E1">
        <w:rPr>
          <w:b/>
          <w:lang w:eastAsia="ko-KR"/>
        </w:rPr>
        <w:t xml:space="preserve"> will not align with the PRBs of a 5 MHz carrier in </w:t>
      </w:r>
      <w:r w:rsidR="00FB099E" w:rsidRPr="00FB099E">
        <w:rPr>
          <w:b/>
          <w:lang w:eastAsia="ko-KR"/>
        </w:rPr>
        <w:t xml:space="preserve">729-734 </w:t>
      </w:r>
      <w:proofErr w:type="spellStart"/>
      <w:r w:rsidR="00FB099E" w:rsidRPr="00FB099E">
        <w:rPr>
          <w:b/>
          <w:lang w:eastAsia="ko-KR"/>
        </w:rPr>
        <w:t>MHz</w:t>
      </w:r>
      <w:r w:rsidRPr="00CC55B0">
        <w:rPr>
          <w:b/>
          <w:lang w:eastAsia="ko-KR"/>
        </w:rPr>
        <w:t>.</w:t>
      </w:r>
      <w:proofErr w:type="spellEnd"/>
    </w:p>
    <w:p w14:paraId="73099DC6" w14:textId="77777777" w:rsidR="00292886" w:rsidRPr="003D40E6" w:rsidRDefault="00292886" w:rsidP="00292886">
      <w:pPr>
        <w:pStyle w:val="ListParagraph"/>
        <w:ind w:left="1080"/>
        <w:rPr>
          <w:bCs/>
          <w:i/>
          <w:iCs/>
          <w:lang w:eastAsia="ko-KR"/>
        </w:rPr>
      </w:pPr>
    </w:p>
    <w:p w14:paraId="3C46C3FA" w14:textId="606562D2" w:rsidR="00292886" w:rsidRPr="003D40E6" w:rsidRDefault="00292886" w:rsidP="00292886">
      <w:pPr>
        <w:pStyle w:val="ListParagraph"/>
        <w:numPr>
          <w:ilvl w:val="0"/>
          <w:numId w:val="18"/>
        </w:numPr>
        <w:rPr>
          <w:bCs/>
          <w:i/>
          <w:iCs/>
          <w:lang w:eastAsia="ko-KR"/>
        </w:rPr>
      </w:pPr>
      <w:r w:rsidRPr="003D40E6">
        <w:rPr>
          <w:bCs/>
          <w:i/>
          <w:iCs/>
          <w:lang w:eastAsia="ko-KR"/>
        </w:rPr>
        <w:t xml:space="preserve">For further discussion on </w:t>
      </w:r>
      <w:proofErr w:type="spellStart"/>
      <w:r w:rsidRPr="003D40E6">
        <w:rPr>
          <w:bCs/>
          <w:i/>
          <w:iCs/>
          <w:lang w:eastAsia="ko-KR"/>
        </w:rPr>
        <w:t>widerCBW</w:t>
      </w:r>
      <w:proofErr w:type="spellEnd"/>
      <w:r w:rsidRPr="003D40E6">
        <w:rPr>
          <w:bCs/>
          <w:i/>
          <w:iCs/>
          <w:lang w:eastAsia="ko-KR"/>
        </w:rPr>
        <w:t xml:space="preserve"> placement is optimized to be contained in the band or meeting interference level in adjacent channels</w:t>
      </w:r>
    </w:p>
    <w:p w14:paraId="2C8CF5B8" w14:textId="6A5164B8" w:rsidR="00997C3F" w:rsidRPr="00936C54" w:rsidRDefault="00BA7743" w:rsidP="00997C3F">
      <w:pPr>
        <w:rPr>
          <w:b/>
          <w:lang w:eastAsia="ko-KR"/>
        </w:rPr>
      </w:pPr>
      <w:bookmarkStart w:id="1" w:name="_Hlk84348482"/>
      <w:r w:rsidRPr="00936C54">
        <w:rPr>
          <w:b/>
          <w:lang w:eastAsia="ko-KR"/>
        </w:rPr>
        <w:t xml:space="preserve">Observation 3: </w:t>
      </w:r>
      <w:r w:rsidR="00997C3F" w:rsidRPr="00936C54">
        <w:rPr>
          <w:b/>
          <w:lang w:eastAsia="ko-KR"/>
        </w:rPr>
        <w:t>Because a carrier cannot extend beyond the edge of a band</w:t>
      </w:r>
      <w:r w:rsidRPr="00936C54">
        <w:rPr>
          <w:b/>
          <w:lang w:eastAsia="ko-KR"/>
        </w:rPr>
        <w:t xml:space="preserve">, the wider CBW placement needs to be contained in the band. </w:t>
      </w:r>
    </w:p>
    <w:bookmarkEnd w:id="1"/>
    <w:p w14:paraId="666B86AC" w14:textId="77777777" w:rsidR="00292886" w:rsidRPr="00292886" w:rsidRDefault="00292886" w:rsidP="00292886">
      <w:pPr>
        <w:pStyle w:val="ListParagraph"/>
        <w:rPr>
          <w:bCs/>
          <w:lang w:eastAsia="ko-KR"/>
        </w:rPr>
      </w:pPr>
    </w:p>
    <w:p w14:paraId="596DDAB0" w14:textId="4B6D15B6" w:rsidR="00292886" w:rsidRPr="003D40E6" w:rsidRDefault="00292886" w:rsidP="00292886">
      <w:pPr>
        <w:pStyle w:val="ListParagraph"/>
        <w:numPr>
          <w:ilvl w:val="0"/>
          <w:numId w:val="18"/>
        </w:numPr>
        <w:rPr>
          <w:bCs/>
          <w:i/>
          <w:iCs/>
          <w:lang w:eastAsia="ko-KR"/>
        </w:rPr>
      </w:pPr>
      <w:r w:rsidRPr="003D40E6">
        <w:rPr>
          <w:bCs/>
          <w:i/>
          <w:iCs/>
          <w:lang w:eastAsia="ko-KR"/>
        </w:rPr>
        <w:t xml:space="preserve">Simulation or analysis results to verify the level of potential degradation to </w:t>
      </w:r>
      <w:r w:rsidR="0032777B" w:rsidRPr="003D40E6">
        <w:rPr>
          <w:bCs/>
          <w:i/>
          <w:iCs/>
          <w:lang w:eastAsia="ko-KR"/>
        </w:rPr>
        <w:t xml:space="preserve">UE </w:t>
      </w:r>
      <w:r w:rsidRPr="003D40E6">
        <w:rPr>
          <w:bCs/>
          <w:i/>
          <w:iCs/>
          <w:lang w:eastAsia="ko-KR"/>
        </w:rPr>
        <w:t>performance of ACS/block due to lack of UE dedicated channel filter</w:t>
      </w:r>
      <w:r w:rsidR="0032777B" w:rsidRPr="003D40E6">
        <w:rPr>
          <w:bCs/>
          <w:i/>
          <w:iCs/>
          <w:lang w:eastAsia="ko-KR"/>
        </w:rPr>
        <w:t xml:space="preserve">. (DL only direction for </w:t>
      </w:r>
      <w:proofErr w:type="spellStart"/>
      <w:r w:rsidR="0032777B" w:rsidRPr="003D40E6">
        <w:rPr>
          <w:bCs/>
          <w:i/>
          <w:iCs/>
          <w:lang w:eastAsia="ko-KR"/>
        </w:rPr>
        <w:t>irregularBW</w:t>
      </w:r>
      <w:proofErr w:type="spellEnd"/>
      <w:r w:rsidR="0032777B" w:rsidRPr="003D40E6">
        <w:rPr>
          <w:bCs/>
          <w:i/>
          <w:iCs/>
          <w:lang w:eastAsia="ko-KR"/>
        </w:rPr>
        <w:t>)</w:t>
      </w:r>
    </w:p>
    <w:p w14:paraId="5B861DFD" w14:textId="77777777" w:rsidR="00292886" w:rsidRPr="003D40E6" w:rsidRDefault="00292886" w:rsidP="00292886">
      <w:pPr>
        <w:pStyle w:val="ListParagraph"/>
        <w:rPr>
          <w:bCs/>
          <w:i/>
          <w:iCs/>
          <w:lang w:eastAsia="ko-KR"/>
        </w:rPr>
      </w:pPr>
    </w:p>
    <w:p w14:paraId="532B0B42" w14:textId="600F53D6" w:rsidR="00292886" w:rsidRPr="003D40E6" w:rsidRDefault="00292886" w:rsidP="00292886">
      <w:pPr>
        <w:pStyle w:val="ListParagraph"/>
        <w:numPr>
          <w:ilvl w:val="0"/>
          <w:numId w:val="18"/>
        </w:numPr>
        <w:overflowPunct w:val="0"/>
        <w:autoSpaceDE w:val="0"/>
        <w:autoSpaceDN w:val="0"/>
        <w:adjustRightInd w:val="0"/>
        <w:contextualSpacing w:val="0"/>
        <w:textAlignment w:val="baseline"/>
        <w:rPr>
          <w:rFonts w:eastAsiaTheme="minorEastAsia"/>
          <w:i/>
          <w:iCs/>
          <w:lang w:val="en-US" w:eastAsia="zh-CN"/>
        </w:rPr>
      </w:pPr>
      <w:r w:rsidRPr="003D40E6">
        <w:rPr>
          <w:rFonts w:eastAsiaTheme="minorEastAsia"/>
          <w:i/>
          <w:iCs/>
          <w:lang w:val="en-US" w:eastAsia="zh-CN"/>
        </w:rPr>
        <w:t>Confirm DL and UL filter</w:t>
      </w:r>
      <w:r w:rsidR="00A963C5" w:rsidRPr="003D40E6">
        <w:rPr>
          <w:rFonts w:eastAsiaTheme="minorEastAsia"/>
          <w:i/>
          <w:iCs/>
          <w:lang w:val="en-US" w:eastAsia="zh-CN"/>
        </w:rPr>
        <w:t xml:space="preserve"> assumptions (for both </w:t>
      </w:r>
      <w:proofErr w:type="spellStart"/>
      <w:r w:rsidR="00A963C5" w:rsidRPr="003D40E6">
        <w:rPr>
          <w:rFonts w:eastAsiaTheme="minorEastAsia"/>
          <w:i/>
          <w:iCs/>
          <w:lang w:val="en-US" w:eastAsia="zh-CN"/>
        </w:rPr>
        <w:t>gNB</w:t>
      </w:r>
      <w:proofErr w:type="spellEnd"/>
      <w:r w:rsidR="00A963C5" w:rsidRPr="003D40E6">
        <w:rPr>
          <w:rFonts w:eastAsiaTheme="minorEastAsia"/>
          <w:i/>
          <w:iCs/>
          <w:lang w:val="en-US" w:eastAsia="zh-CN"/>
        </w:rPr>
        <w:t xml:space="preserve"> and UE)</w:t>
      </w:r>
      <w:r w:rsidRPr="003D40E6">
        <w:rPr>
          <w:rFonts w:eastAsiaTheme="minorEastAsia"/>
          <w:i/>
          <w:iCs/>
          <w:lang w:val="en-US" w:eastAsia="zh-CN"/>
        </w:rPr>
        <w:t xml:space="preserve"> and RB placement </w:t>
      </w:r>
      <w:proofErr w:type="spellStart"/>
      <w:r w:rsidR="0032777B" w:rsidRPr="003D40E6">
        <w:rPr>
          <w:rFonts w:eastAsiaTheme="minorEastAsia"/>
          <w:i/>
          <w:iCs/>
          <w:lang w:val="en-US" w:eastAsia="zh-CN"/>
        </w:rPr>
        <w:t>e.g</w:t>
      </w:r>
      <w:proofErr w:type="spellEnd"/>
      <w:r w:rsidR="0032777B" w:rsidRPr="003D40E6">
        <w:rPr>
          <w:rFonts w:eastAsiaTheme="minorEastAsia"/>
          <w:i/>
          <w:iCs/>
          <w:lang w:val="en-US" w:eastAsia="zh-CN"/>
        </w:rPr>
        <w:t xml:space="preserve"> </w:t>
      </w:r>
      <w:r w:rsidRPr="003D40E6">
        <w:rPr>
          <w:rFonts w:eastAsiaTheme="minorEastAsia"/>
          <w:i/>
          <w:iCs/>
          <w:lang w:val="en-US" w:eastAsia="zh-CN"/>
        </w:rPr>
        <w:t>should have</w:t>
      </w:r>
      <w:r w:rsidR="0032777B" w:rsidRPr="003D40E6">
        <w:rPr>
          <w:rFonts w:eastAsiaTheme="minorEastAsia"/>
          <w:i/>
          <w:iCs/>
          <w:lang w:val="en-US" w:eastAsia="zh-CN"/>
        </w:rPr>
        <w:t xml:space="preserve"> (or have not)</w:t>
      </w:r>
      <w:r w:rsidRPr="003D40E6">
        <w:rPr>
          <w:rFonts w:eastAsiaTheme="minorEastAsia"/>
          <w:i/>
          <w:iCs/>
          <w:lang w:val="en-US" w:eastAsia="zh-CN"/>
        </w:rPr>
        <w:t xml:space="preserve"> same center.  </w:t>
      </w:r>
      <w:proofErr w:type="spellStart"/>
      <w:r w:rsidRPr="003D40E6">
        <w:rPr>
          <w:rFonts w:eastAsiaTheme="minorEastAsia"/>
          <w:i/>
          <w:iCs/>
          <w:lang w:val="en-US" w:eastAsia="zh-CN"/>
        </w:rPr>
        <w:t>WiderCBW</w:t>
      </w:r>
      <w:proofErr w:type="spellEnd"/>
      <w:r w:rsidRPr="003D40E6">
        <w:rPr>
          <w:rFonts w:eastAsiaTheme="minorEastAsia"/>
          <w:i/>
          <w:iCs/>
          <w:lang w:val="en-US" w:eastAsia="zh-CN"/>
        </w:rPr>
        <w:t xml:space="preserve"> (DL), </w:t>
      </w:r>
      <w:proofErr w:type="spellStart"/>
      <w:r w:rsidRPr="003D40E6">
        <w:rPr>
          <w:rFonts w:eastAsiaTheme="minorEastAsia"/>
          <w:i/>
          <w:iCs/>
          <w:lang w:val="en-US" w:eastAsia="zh-CN"/>
        </w:rPr>
        <w:t>smallerCBW</w:t>
      </w:r>
      <w:proofErr w:type="spellEnd"/>
      <w:r w:rsidRPr="003D40E6">
        <w:rPr>
          <w:rFonts w:eastAsiaTheme="minorEastAsia"/>
          <w:i/>
          <w:iCs/>
          <w:lang w:val="en-US" w:eastAsia="zh-CN"/>
        </w:rPr>
        <w:t xml:space="preserve"> (UL) and irregular bandwidths all contain same center point.</w:t>
      </w:r>
    </w:p>
    <w:p w14:paraId="7CB465B2" w14:textId="190FB750" w:rsidR="0032777B" w:rsidRPr="003D40E6" w:rsidRDefault="00292886" w:rsidP="0032777B">
      <w:pPr>
        <w:pStyle w:val="ListParagraph"/>
        <w:numPr>
          <w:ilvl w:val="1"/>
          <w:numId w:val="18"/>
        </w:numPr>
        <w:overflowPunct w:val="0"/>
        <w:autoSpaceDE w:val="0"/>
        <w:autoSpaceDN w:val="0"/>
        <w:adjustRightInd w:val="0"/>
        <w:contextualSpacing w:val="0"/>
        <w:textAlignment w:val="baseline"/>
        <w:rPr>
          <w:rFonts w:eastAsiaTheme="minorEastAsia"/>
          <w:i/>
          <w:iCs/>
          <w:lang w:val="en-US" w:eastAsia="zh-CN"/>
        </w:rPr>
      </w:pPr>
      <w:r w:rsidRPr="003D40E6">
        <w:rPr>
          <w:rFonts w:eastAsiaTheme="minorEastAsia"/>
          <w:i/>
          <w:iCs/>
          <w:lang w:val="en-US" w:eastAsia="zh-CN"/>
        </w:rPr>
        <w:t>Consider raster point may not align, shift to (right or left) next point relative to center.</w:t>
      </w:r>
    </w:p>
    <w:p w14:paraId="0AF8253F" w14:textId="5C0B0DA8" w:rsidR="00936C54" w:rsidRDefault="009A7B69" w:rsidP="00936C54">
      <w:pPr>
        <w:overflowPunct w:val="0"/>
        <w:autoSpaceDE w:val="0"/>
        <w:autoSpaceDN w:val="0"/>
        <w:adjustRightInd w:val="0"/>
        <w:textAlignment w:val="baseline"/>
        <w:rPr>
          <w:rFonts w:eastAsiaTheme="minorEastAsia"/>
          <w:iCs/>
          <w:lang w:val="en-US" w:eastAsia="zh-CN"/>
        </w:rPr>
      </w:pPr>
      <w:r>
        <w:rPr>
          <w:rFonts w:eastAsiaTheme="minorEastAsia"/>
          <w:iCs/>
          <w:lang w:val="en-US" w:eastAsia="zh-CN"/>
        </w:rPr>
        <w:t>Because carriers cannot extend beyond the edge of the band</w:t>
      </w:r>
      <w:r w:rsidR="002C02A2">
        <w:rPr>
          <w:rFonts w:eastAsiaTheme="minorEastAsia"/>
          <w:iCs/>
          <w:lang w:val="en-US" w:eastAsia="zh-CN"/>
        </w:rPr>
        <w:t xml:space="preserve">, if an operator owns spectrum at the edge of the band the UL and DL can only be centered </w:t>
      </w:r>
      <w:r w:rsidR="001D7216">
        <w:rPr>
          <w:rFonts w:eastAsiaTheme="minorEastAsia"/>
          <w:iCs/>
          <w:lang w:val="en-US" w:eastAsia="zh-CN"/>
        </w:rPr>
        <w:t xml:space="preserve">if the operator owns </w:t>
      </w:r>
      <w:r w:rsidR="00DA7556">
        <w:rPr>
          <w:rFonts w:eastAsiaTheme="minorEastAsia"/>
          <w:iCs/>
          <w:lang w:val="en-US" w:eastAsia="zh-CN"/>
        </w:rPr>
        <w:t>BW1/2+BW2/2</w:t>
      </w:r>
      <w:r w:rsidR="00D12DDB">
        <w:rPr>
          <w:rFonts w:eastAsiaTheme="minorEastAsia"/>
          <w:iCs/>
          <w:lang w:val="en-US" w:eastAsia="zh-CN"/>
        </w:rPr>
        <w:t xml:space="preserve"> of spectrum. For instance, i</w:t>
      </w:r>
      <w:r w:rsidR="000B7780">
        <w:rPr>
          <w:rFonts w:eastAsiaTheme="minorEastAsia"/>
          <w:iCs/>
          <w:lang w:val="en-US" w:eastAsia="zh-CN"/>
        </w:rPr>
        <w:t>f a 5 MHz</w:t>
      </w:r>
      <w:r w:rsidR="00AA5ACB">
        <w:rPr>
          <w:rFonts w:eastAsiaTheme="minorEastAsia"/>
          <w:iCs/>
          <w:lang w:val="en-US" w:eastAsia="zh-CN"/>
        </w:rPr>
        <w:t xml:space="preserve"> UL carrier</w:t>
      </w:r>
      <w:r w:rsidR="000B7780">
        <w:rPr>
          <w:rFonts w:eastAsiaTheme="minorEastAsia"/>
          <w:iCs/>
          <w:lang w:val="en-US" w:eastAsia="zh-CN"/>
        </w:rPr>
        <w:t xml:space="preserve"> and </w:t>
      </w:r>
      <w:r w:rsidR="00AA5ACB">
        <w:rPr>
          <w:rFonts w:eastAsiaTheme="minorEastAsia"/>
          <w:iCs/>
          <w:lang w:val="en-US" w:eastAsia="zh-CN"/>
        </w:rPr>
        <w:t>1</w:t>
      </w:r>
      <w:r w:rsidR="000B7780">
        <w:rPr>
          <w:rFonts w:eastAsiaTheme="minorEastAsia"/>
          <w:iCs/>
          <w:lang w:val="en-US" w:eastAsia="zh-CN"/>
        </w:rPr>
        <w:t xml:space="preserve">0 MHz </w:t>
      </w:r>
      <w:r w:rsidR="00AA5ACB">
        <w:rPr>
          <w:rFonts w:eastAsiaTheme="minorEastAsia"/>
          <w:iCs/>
          <w:lang w:val="en-US" w:eastAsia="zh-CN"/>
        </w:rPr>
        <w:t xml:space="preserve">DL </w:t>
      </w:r>
      <w:r w:rsidR="000B7780">
        <w:rPr>
          <w:rFonts w:eastAsiaTheme="minorEastAsia"/>
          <w:iCs/>
          <w:lang w:val="en-US" w:eastAsia="zh-CN"/>
        </w:rPr>
        <w:t xml:space="preserve">carrier were to be </w:t>
      </w:r>
      <w:r w:rsidR="00AA5ACB">
        <w:rPr>
          <w:rFonts w:eastAsiaTheme="minorEastAsia"/>
          <w:iCs/>
          <w:lang w:val="en-US" w:eastAsia="zh-CN"/>
        </w:rPr>
        <w:t xml:space="preserve">aligned at the bottom of the </w:t>
      </w:r>
      <w:r w:rsidR="002A11EE">
        <w:rPr>
          <w:rFonts w:eastAsiaTheme="minorEastAsia"/>
          <w:iCs/>
          <w:lang w:val="en-US" w:eastAsia="zh-CN"/>
        </w:rPr>
        <w:t>n85 downlink, the operator would need to own 7.5 MHz of spectrum at the bottom of the band, so that the DL could be centered at 7</w:t>
      </w:r>
      <w:r w:rsidR="00B940F0">
        <w:rPr>
          <w:rFonts w:eastAsiaTheme="minorEastAsia"/>
          <w:iCs/>
          <w:lang w:val="en-US" w:eastAsia="zh-CN"/>
        </w:rPr>
        <w:t xml:space="preserve">33 MHz and the UL also at 733 </w:t>
      </w:r>
      <w:proofErr w:type="spellStart"/>
      <w:r w:rsidR="00B940F0">
        <w:rPr>
          <w:rFonts w:eastAsiaTheme="minorEastAsia"/>
          <w:iCs/>
          <w:lang w:val="en-US" w:eastAsia="zh-CN"/>
        </w:rPr>
        <w:t>MHz.</w:t>
      </w:r>
      <w:proofErr w:type="spellEnd"/>
      <w:r w:rsidR="00B940F0">
        <w:rPr>
          <w:rFonts w:eastAsiaTheme="minorEastAsia"/>
          <w:iCs/>
          <w:lang w:val="en-US" w:eastAsia="zh-CN"/>
        </w:rPr>
        <w:t xml:space="preserve"> </w:t>
      </w:r>
    </w:p>
    <w:p w14:paraId="2F17C019" w14:textId="263A8F5D" w:rsidR="00B940F0" w:rsidRDefault="00B940F0" w:rsidP="00B940F0">
      <w:pPr>
        <w:rPr>
          <w:b/>
          <w:lang w:eastAsia="ko-KR"/>
        </w:rPr>
      </w:pPr>
      <w:r w:rsidRPr="00936C54">
        <w:rPr>
          <w:b/>
          <w:lang w:eastAsia="ko-KR"/>
        </w:rPr>
        <w:t xml:space="preserve">Observation </w:t>
      </w:r>
      <w:r>
        <w:rPr>
          <w:b/>
          <w:lang w:eastAsia="ko-KR"/>
        </w:rPr>
        <w:t>4</w:t>
      </w:r>
      <w:r w:rsidRPr="00936C54">
        <w:rPr>
          <w:b/>
          <w:lang w:eastAsia="ko-KR"/>
        </w:rPr>
        <w:t xml:space="preserve">: </w:t>
      </w:r>
      <w:r w:rsidRPr="00B940F0">
        <w:rPr>
          <w:b/>
          <w:lang w:eastAsia="ko-KR"/>
        </w:rPr>
        <w:t xml:space="preserve">Because carriers cannot extend beyond the edge of the band, if an operator owns spectrum at the edge of the band the UL and DL can only be </w:t>
      </w:r>
      <w:proofErr w:type="spellStart"/>
      <w:r w:rsidRPr="00B940F0">
        <w:rPr>
          <w:b/>
          <w:lang w:eastAsia="ko-KR"/>
        </w:rPr>
        <w:t>centered</w:t>
      </w:r>
      <w:proofErr w:type="spellEnd"/>
      <w:r w:rsidRPr="00B940F0">
        <w:rPr>
          <w:b/>
          <w:lang w:eastAsia="ko-KR"/>
        </w:rPr>
        <w:t xml:space="preserve"> if the operator owns BW1/2+BW2/2 of spectrum.</w:t>
      </w:r>
      <w:r>
        <w:rPr>
          <w:b/>
          <w:lang w:eastAsia="ko-KR"/>
        </w:rPr>
        <w:t xml:space="preserve"> Therefor</w:t>
      </w:r>
      <w:r w:rsidR="00577294">
        <w:rPr>
          <w:b/>
          <w:lang w:eastAsia="ko-KR"/>
        </w:rPr>
        <w:t xml:space="preserve">e, a 5 MHz UL and 10MHz DL can only be aligned at the edge of a band if an operator owns </w:t>
      </w:r>
      <w:r w:rsidR="001B2548">
        <w:rPr>
          <w:b/>
          <w:lang w:eastAsia="ko-KR"/>
        </w:rPr>
        <w:t>at least 7.5 MHz of spectrum</w:t>
      </w:r>
    </w:p>
    <w:p w14:paraId="2F9AB6C8" w14:textId="240B22C8" w:rsidR="001B2548" w:rsidRPr="00B940F0" w:rsidRDefault="001B2548" w:rsidP="00B940F0">
      <w:pPr>
        <w:rPr>
          <w:b/>
          <w:lang w:eastAsia="ko-KR"/>
        </w:rPr>
      </w:pPr>
      <w:r>
        <w:rPr>
          <w:b/>
          <w:lang w:eastAsia="ko-KR"/>
        </w:rPr>
        <w:t xml:space="preserve">Observation 5: Because of Observation </w:t>
      </w:r>
      <w:r w:rsidR="00E60CFA">
        <w:rPr>
          <w:b/>
          <w:lang w:eastAsia="ko-KR"/>
        </w:rPr>
        <w:t>4</w:t>
      </w:r>
      <w:r>
        <w:rPr>
          <w:b/>
          <w:lang w:eastAsia="ko-KR"/>
        </w:rPr>
        <w:t xml:space="preserve">, </w:t>
      </w:r>
      <w:r w:rsidR="003C7C5A">
        <w:rPr>
          <w:b/>
          <w:lang w:eastAsia="ko-KR"/>
        </w:rPr>
        <w:t xml:space="preserve">the use of the next wider BW approach with </w:t>
      </w:r>
      <w:proofErr w:type="spellStart"/>
      <w:r w:rsidR="003C7C5A">
        <w:rPr>
          <w:b/>
          <w:lang w:eastAsia="ko-KR"/>
        </w:rPr>
        <w:t>centered</w:t>
      </w:r>
      <w:proofErr w:type="spellEnd"/>
      <w:r w:rsidR="003C7C5A">
        <w:rPr>
          <w:b/>
          <w:lang w:eastAsia="ko-KR"/>
        </w:rPr>
        <w:t xml:space="preserve"> UL and DL will not be compatible with carriers narrower than 7.5 MHz</w:t>
      </w:r>
      <w:r w:rsidR="00EF5797">
        <w:rPr>
          <w:b/>
          <w:lang w:eastAsia="ko-KR"/>
        </w:rPr>
        <w:t xml:space="preserve"> </w:t>
      </w:r>
    </w:p>
    <w:p w14:paraId="1DF0EE1D" w14:textId="3A8EEFC9" w:rsidR="00BD0B48" w:rsidRPr="003D40E6" w:rsidRDefault="00BD0B48" w:rsidP="00BD0B48">
      <w:pPr>
        <w:pStyle w:val="ListParagraph"/>
        <w:numPr>
          <w:ilvl w:val="0"/>
          <w:numId w:val="18"/>
        </w:numPr>
        <w:rPr>
          <w:bCs/>
          <w:i/>
          <w:iCs/>
          <w:lang w:eastAsia="ko-KR"/>
        </w:rPr>
      </w:pPr>
      <w:r w:rsidRPr="003D40E6">
        <w:rPr>
          <w:bCs/>
          <w:i/>
          <w:iCs/>
          <w:lang w:eastAsia="ko-KR"/>
        </w:rPr>
        <w:t xml:space="preserve">For the case of 7MHz irregular BW, 10 MHz (52 RB) is indicated in the SIB1. If UE use 10 MHz CBW for the initial </w:t>
      </w:r>
      <w:proofErr w:type="gramStart"/>
      <w:r w:rsidRPr="003D40E6">
        <w:rPr>
          <w:bCs/>
          <w:i/>
          <w:iCs/>
          <w:lang w:eastAsia="ko-KR"/>
        </w:rPr>
        <w:t>access</w:t>
      </w:r>
      <w:proofErr w:type="gramEnd"/>
      <w:r w:rsidRPr="003D40E6">
        <w:rPr>
          <w:bCs/>
          <w:i/>
          <w:iCs/>
          <w:lang w:eastAsia="ko-KR"/>
        </w:rPr>
        <w:t xml:space="preserve"> there is an interference issue with operation in adjacent spectrum. How to avoid UE to adopt 10 MHz?</w:t>
      </w:r>
    </w:p>
    <w:p w14:paraId="45814F99" w14:textId="18339B9C" w:rsidR="00792174" w:rsidRDefault="00824859" w:rsidP="006F2E41">
      <w:pPr>
        <w:rPr>
          <w:bCs/>
          <w:lang w:eastAsia="ko-KR"/>
        </w:rPr>
      </w:pPr>
      <w:r>
        <w:rPr>
          <w:bCs/>
          <w:lang w:eastAsia="ko-KR"/>
        </w:rPr>
        <w:t>If the uplink is configured with a 10 MHz carrier bandwidth and a 5 MHz initial BWP, our understanding is that the UE RF requirements are based on the carrier bandwidth if the UE supports the carrier bandwidth</w:t>
      </w:r>
      <w:r w:rsidR="00F30452">
        <w:rPr>
          <w:bCs/>
          <w:lang w:eastAsia="ko-KR"/>
        </w:rPr>
        <w:t xml:space="preserve"> in the SIB. If the UE does not support the carrier bandwidth in the SIB, the UE can configure </w:t>
      </w:r>
      <w:r w:rsidR="005171AD">
        <w:rPr>
          <w:bCs/>
          <w:lang w:eastAsia="ko-KR"/>
        </w:rPr>
        <w:t xml:space="preserve">itself for a carrier bandwidth at least as wide as the initial BWP but not larger than the carrier bandwidth. </w:t>
      </w:r>
      <w:r>
        <w:rPr>
          <w:bCs/>
          <w:lang w:eastAsia="ko-KR"/>
        </w:rPr>
        <w:t xml:space="preserve"> </w:t>
      </w:r>
      <w:r w:rsidR="00500AC9">
        <w:rPr>
          <w:bCs/>
          <w:lang w:eastAsia="ko-KR"/>
        </w:rPr>
        <w:t>There is no</w:t>
      </w:r>
      <w:r w:rsidR="00CA7501">
        <w:rPr>
          <w:bCs/>
          <w:lang w:eastAsia="ko-KR"/>
        </w:rPr>
        <w:t xml:space="preserve"> guarantee that emissions are met for initial access if there is a 10 MHz uplink carrier bandwidth with a 5 MHz initial BWP and the licensed bandwidth is 7 </w:t>
      </w:r>
      <w:proofErr w:type="spellStart"/>
      <w:r w:rsidR="00CA7501">
        <w:rPr>
          <w:bCs/>
          <w:lang w:eastAsia="ko-KR"/>
        </w:rPr>
        <w:t>MHz.</w:t>
      </w:r>
      <w:proofErr w:type="spellEnd"/>
      <w:r w:rsidR="00CA7501">
        <w:rPr>
          <w:bCs/>
          <w:lang w:eastAsia="ko-KR"/>
        </w:rPr>
        <w:t xml:space="preserve"> </w:t>
      </w:r>
    </w:p>
    <w:p w14:paraId="003EB0DF" w14:textId="0EE5805F" w:rsidR="00CA7501" w:rsidRDefault="00CA7501" w:rsidP="006F2E41">
      <w:pPr>
        <w:rPr>
          <w:b/>
          <w:lang w:eastAsia="ko-KR"/>
        </w:rPr>
      </w:pPr>
      <w:r w:rsidRPr="00CA7501">
        <w:rPr>
          <w:b/>
          <w:lang w:eastAsia="ko-KR"/>
        </w:rPr>
        <w:t xml:space="preserve">Observation 6: </w:t>
      </w:r>
      <w:r w:rsidR="00500AC9">
        <w:rPr>
          <w:b/>
          <w:lang w:eastAsia="ko-KR"/>
        </w:rPr>
        <w:t>There is no</w:t>
      </w:r>
      <w:r w:rsidRPr="00CA7501">
        <w:rPr>
          <w:b/>
          <w:lang w:eastAsia="ko-KR"/>
        </w:rPr>
        <w:t xml:space="preserve"> guarantee that emissions are met for initial access if there is a 10 MHz uplink carrier bandwidth with a 5 MHz initial B</w:t>
      </w:r>
      <w:r w:rsidRPr="00CA7501">
        <w:rPr>
          <w:b/>
          <w:lang w:eastAsia="ko-KR"/>
        </w:rPr>
        <w:t xml:space="preserve">WP if the licensed bandwidth is 7 </w:t>
      </w:r>
      <w:proofErr w:type="spellStart"/>
      <w:r w:rsidRPr="00CA7501">
        <w:rPr>
          <w:b/>
          <w:lang w:eastAsia="ko-KR"/>
        </w:rPr>
        <w:t>MHz.</w:t>
      </w:r>
      <w:proofErr w:type="spellEnd"/>
      <w:r w:rsidRPr="00CA7501">
        <w:rPr>
          <w:b/>
          <w:lang w:eastAsia="ko-KR"/>
        </w:rPr>
        <w:t xml:space="preserve"> </w:t>
      </w:r>
    </w:p>
    <w:p w14:paraId="07E006F5" w14:textId="609CF7B5" w:rsidR="00C055B6" w:rsidRDefault="00992BC5" w:rsidP="00C055B6">
      <w:pPr>
        <w:rPr>
          <w:bCs/>
          <w:lang w:eastAsia="ko-KR"/>
        </w:rPr>
      </w:pPr>
      <w:r>
        <w:rPr>
          <w:bCs/>
          <w:lang w:eastAsia="ko-KR"/>
        </w:rPr>
        <w:t xml:space="preserve">Alternatively, it might be possible to configure a 10 MHz DL carrier BW and a 5 MHz UL carrier BW in the SIB, so that the UE initial access </w:t>
      </w:r>
      <w:r w:rsidR="00FA1133">
        <w:rPr>
          <w:bCs/>
          <w:lang w:eastAsia="ko-KR"/>
        </w:rPr>
        <w:t>will meet emissions requirements</w:t>
      </w:r>
      <w:r w:rsidR="001C29F3">
        <w:rPr>
          <w:bCs/>
          <w:lang w:eastAsia="ko-KR"/>
        </w:rPr>
        <w:t xml:space="preserve">. </w:t>
      </w:r>
      <w:r w:rsidR="00FA1133">
        <w:rPr>
          <w:bCs/>
          <w:lang w:eastAsia="ko-KR"/>
        </w:rPr>
        <w:t xml:space="preserve">However, having a 10 MHz DL carrier bandwidth and 5 </w:t>
      </w:r>
      <w:r w:rsidR="00FA1133">
        <w:rPr>
          <w:bCs/>
          <w:lang w:eastAsia="ko-KR"/>
        </w:rPr>
        <w:lastRenderedPageBreak/>
        <w:t xml:space="preserve">MHz uplink carrier bandwidth in the SIB would be an asymmetric bandwidth configuration. Since only a few bands </w:t>
      </w:r>
      <w:r w:rsidR="00BD2C31">
        <w:rPr>
          <w:bCs/>
          <w:lang w:eastAsia="ko-KR"/>
        </w:rPr>
        <w:t xml:space="preserve">currently have </w:t>
      </w:r>
      <w:r w:rsidR="008627F8">
        <w:rPr>
          <w:bCs/>
          <w:lang w:eastAsia="ko-KR"/>
        </w:rPr>
        <w:t xml:space="preserve">5 MHz UL and 10 MHz downlink </w:t>
      </w:r>
      <w:r w:rsidR="00531DA6">
        <w:rPr>
          <w:bCs/>
          <w:lang w:eastAsia="ko-KR"/>
        </w:rPr>
        <w:t xml:space="preserve">in mandatory asymmetric BCS in Table </w:t>
      </w:r>
      <w:r w:rsidR="00BC7894" w:rsidRPr="00BC7894">
        <w:rPr>
          <w:bCs/>
          <w:lang w:eastAsia="ko-KR"/>
        </w:rPr>
        <w:t>5.3.6-1</w:t>
      </w:r>
      <w:r w:rsidR="00BC7894">
        <w:rPr>
          <w:bCs/>
          <w:lang w:eastAsia="ko-KR"/>
        </w:rPr>
        <w:t xml:space="preserve">: n71, n92, </w:t>
      </w:r>
      <w:r w:rsidR="00F55777">
        <w:rPr>
          <w:bCs/>
          <w:lang w:eastAsia="ko-KR"/>
        </w:rPr>
        <w:t>and n94</w:t>
      </w:r>
      <w:r w:rsidR="000369B3">
        <w:rPr>
          <w:bCs/>
          <w:lang w:eastAsia="ko-KR"/>
        </w:rPr>
        <w:t>.</w:t>
      </w:r>
      <w:r w:rsidR="00C055B6">
        <w:rPr>
          <w:bCs/>
          <w:lang w:eastAsia="ko-KR"/>
        </w:rPr>
        <w:t xml:space="preserve"> Therefore, for most bands, including n12, n85 and n26 it will not be safe to broadcast an asymmetric UL/DL configuration in the SIB. </w:t>
      </w:r>
    </w:p>
    <w:p w14:paraId="6454CC87" w14:textId="4995F722" w:rsidR="00C963BF" w:rsidRPr="00B52FE1" w:rsidRDefault="00C963BF" w:rsidP="00C963BF">
      <w:pPr>
        <w:rPr>
          <w:b/>
          <w:lang w:eastAsia="ko-KR"/>
        </w:rPr>
      </w:pPr>
      <w:r w:rsidRPr="00B52FE1">
        <w:rPr>
          <w:b/>
          <w:lang w:eastAsia="ko-KR"/>
        </w:rPr>
        <w:t xml:space="preserve">Observation </w:t>
      </w:r>
      <w:r w:rsidR="00B52FE1" w:rsidRPr="00B52FE1">
        <w:rPr>
          <w:b/>
          <w:lang w:eastAsia="ko-KR"/>
        </w:rPr>
        <w:t>7</w:t>
      </w:r>
      <w:r w:rsidRPr="00B52FE1">
        <w:rPr>
          <w:b/>
          <w:lang w:eastAsia="ko-KR"/>
        </w:rPr>
        <w:t>: Because 5</w:t>
      </w:r>
      <w:r w:rsidRPr="00B52FE1">
        <w:rPr>
          <w:b/>
          <w:lang w:eastAsia="ko-KR"/>
        </w:rPr>
        <w:t xml:space="preserve"> </w:t>
      </w:r>
      <w:r w:rsidRPr="00B52FE1">
        <w:rPr>
          <w:b/>
          <w:lang w:eastAsia="ko-KR"/>
        </w:rPr>
        <w:t xml:space="preserve">MHz </w:t>
      </w:r>
      <w:r w:rsidRPr="00B52FE1">
        <w:rPr>
          <w:b/>
          <w:lang w:eastAsia="ko-KR"/>
        </w:rPr>
        <w:t xml:space="preserve">UL / 10 MHz DL </w:t>
      </w:r>
      <w:r w:rsidRPr="00B52FE1">
        <w:rPr>
          <w:b/>
          <w:lang w:eastAsia="ko-KR"/>
        </w:rPr>
        <w:t xml:space="preserve">asymmetric bandwidth configurations are not mandatory for most bands, broadcasting an asymmetric UL/DL configuration </w:t>
      </w:r>
      <w:r w:rsidR="00EE5C35" w:rsidRPr="00B52FE1">
        <w:rPr>
          <w:b/>
          <w:lang w:eastAsia="ko-KR"/>
        </w:rPr>
        <w:t>will likely not be compatible with existing UEs.</w:t>
      </w:r>
    </w:p>
    <w:p w14:paraId="077E6C4F" w14:textId="0FCBA560" w:rsidR="00432C47" w:rsidRDefault="00EE5C35" w:rsidP="006F2E41">
      <w:pPr>
        <w:rPr>
          <w:bCs/>
          <w:lang w:eastAsia="ko-KR"/>
        </w:rPr>
      </w:pPr>
      <w:r>
        <w:rPr>
          <w:bCs/>
          <w:lang w:eastAsia="ko-KR"/>
        </w:rPr>
        <w:t>It is our understanding that e</w:t>
      </w:r>
      <w:r w:rsidR="00B02610">
        <w:rPr>
          <w:bCs/>
          <w:lang w:eastAsia="ko-KR"/>
        </w:rPr>
        <w:t xml:space="preserve">ven if symmetric initial UL/DL BWPs are </w:t>
      </w:r>
      <w:r>
        <w:rPr>
          <w:bCs/>
          <w:lang w:eastAsia="ko-KR"/>
        </w:rPr>
        <w:t>configured</w:t>
      </w:r>
      <w:r w:rsidR="003651FA">
        <w:rPr>
          <w:bCs/>
          <w:lang w:eastAsia="ko-KR"/>
        </w:rPr>
        <w:t>, since the RF requirements are based on the carrier bandwidth</w:t>
      </w:r>
      <w:r w:rsidR="00F077C5">
        <w:rPr>
          <w:bCs/>
          <w:lang w:eastAsia="ko-KR"/>
        </w:rPr>
        <w:t>s and not the BWPs,</w:t>
      </w:r>
      <w:r w:rsidR="00514823">
        <w:rPr>
          <w:bCs/>
          <w:lang w:eastAsia="ko-KR"/>
        </w:rPr>
        <w:t xml:space="preserve"> </w:t>
      </w:r>
      <w:r w:rsidR="00432C47">
        <w:rPr>
          <w:bCs/>
          <w:lang w:eastAsia="ko-KR"/>
        </w:rPr>
        <w:t>it likely doesn’t help to have symmetric initial BWPs</w:t>
      </w:r>
      <w:r w:rsidR="00F55182">
        <w:rPr>
          <w:bCs/>
          <w:lang w:eastAsia="ko-KR"/>
        </w:rPr>
        <w:t xml:space="preserve"> if the carrier bandwidths are asymmetric</w:t>
      </w:r>
      <w:r w:rsidR="00432C47">
        <w:rPr>
          <w:bCs/>
          <w:lang w:eastAsia="ko-KR"/>
        </w:rPr>
        <w:t xml:space="preserve">. </w:t>
      </w:r>
    </w:p>
    <w:p w14:paraId="662A5EFB" w14:textId="703E86EF" w:rsidR="00432C47" w:rsidRPr="0021370E" w:rsidRDefault="0021370E" w:rsidP="006F2E41">
      <w:pPr>
        <w:rPr>
          <w:b/>
          <w:lang w:eastAsia="ko-KR"/>
        </w:rPr>
      </w:pPr>
      <w:r w:rsidRPr="0021370E">
        <w:rPr>
          <w:b/>
          <w:lang w:eastAsia="ko-KR"/>
        </w:rPr>
        <w:t>Proposal</w:t>
      </w:r>
      <w:r w:rsidR="00F55182">
        <w:rPr>
          <w:b/>
          <w:lang w:eastAsia="ko-KR"/>
        </w:rPr>
        <w:t xml:space="preserve"> 1</w:t>
      </w:r>
      <w:r w:rsidRPr="0021370E">
        <w:rPr>
          <w:b/>
          <w:lang w:eastAsia="ko-KR"/>
        </w:rPr>
        <w:t xml:space="preserve">: It would be good to get confirmation from UE/chip vendors that an asymmetric UL/DL carrier bandwidth configuration in the SIB is what determines if the configuration is symmetric or not symmetric, not the initial BWP. </w:t>
      </w:r>
    </w:p>
    <w:bookmarkEnd w:id="0"/>
    <w:p w14:paraId="74795B7B" w14:textId="559984AB" w:rsidR="00465C39" w:rsidRPr="006F2E41" w:rsidRDefault="00465C39" w:rsidP="006F2E41">
      <w:pPr>
        <w:rPr>
          <w:bCs/>
          <w:lang w:eastAsia="ko-KR"/>
        </w:rPr>
      </w:pPr>
    </w:p>
    <w:p w14:paraId="7F6689BD" w14:textId="0281FCF2" w:rsidR="00502A0E" w:rsidRDefault="00502A0E" w:rsidP="00502A0E">
      <w:pPr>
        <w:pStyle w:val="Heading1"/>
      </w:pPr>
      <w:r>
        <w:t>3</w:t>
      </w:r>
      <w:r>
        <w:tab/>
      </w:r>
      <w:r>
        <w:t>Summary</w:t>
      </w:r>
    </w:p>
    <w:p w14:paraId="14894FF9" w14:textId="77777777" w:rsidR="00B52FE1" w:rsidRPr="00CC55B0" w:rsidRDefault="00B52FE1" w:rsidP="00B52FE1">
      <w:pPr>
        <w:rPr>
          <w:b/>
          <w:lang w:eastAsia="ko-KR"/>
        </w:rPr>
      </w:pPr>
      <w:r w:rsidRPr="00CC55B0">
        <w:rPr>
          <w:b/>
          <w:lang w:eastAsia="ko-KR"/>
        </w:rPr>
        <w:t xml:space="preserve">Observation 1: UEs </w:t>
      </w:r>
      <w:r>
        <w:rPr>
          <w:b/>
          <w:lang w:eastAsia="ko-KR"/>
        </w:rPr>
        <w:t>cannot be expected t</w:t>
      </w:r>
      <w:r w:rsidRPr="00CC55B0">
        <w:rPr>
          <w:b/>
          <w:lang w:eastAsia="ko-KR"/>
        </w:rPr>
        <w:t>o support carriers that extend beyond the edge of an operating band.</w:t>
      </w:r>
    </w:p>
    <w:p w14:paraId="7F42F0BC" w14:textId="77777777" w:rsidR="00B52FE1" w:rsidRPr="005D2302" w:rsidRDefault="00B52FE1" w:rsidP="00B52FE1">
      <w:pPr>
        <w:rPr>
          <w:b/>
          <w:lang w:eastAsia="ko-KR"/>
        </w:rPr>
      </w:pPr>
      <w:r w:rsidRPr="00CC55B0">
        <w:rPr>
          <w:b/>
          <w:lang w:eastAsia="ko-KR"/>
        </w:rPr>
        <w:t xml:space="preserve">Observation </w:t>
      </w:r>
      <w:r>
        <w:rPr>
          <w:b/>
          <w:lang w:eastAsia="ko-KR"/>
        </w:rPr>
        <w:t>2</w:t>
      </w:r>
      <w:r w:rsidRPr="00CC55B0">
        <w:rPr>
          <w:b/>
          <w:lang w:eastAsia="ko-KR"/>
        </w:rPr>
        <w:t xml:space="preserve">: </w:t>
      </w:r>
      <w:r>
        <w:rPr>
          <w:b/>
          <w:lang w:eastAsia="ko-KR"/>
        </w:rPr>
        <w:t xml:space="preserve">The PRBs of a 10 MHz carrier covering </w:t>
      </w:r>
      <w:r w:rsidRPr="00FB099E">
        <w:rPr>
          <w:b/>
          <w:lang w:eastAsia="ko-KR"/>
        </w:rPr>
        <w:t>728-738 MHz</w:t>
      </w:r>
      <w:r>
        <w:rPr>
          <w:b/>
          <w:lang w:eastAsia="ko-KR"/>
        </w:rPr>
        <w:t xml:space="preserve"> will not align with the PRBs of a 5 MHz carrier in </w:t>
      </w:r>
      <w:r w:rsidRPr="00FB099E">
        <w:rPr>
          <w:b/>
          <w:lang w:eastAsia="ko-KR"/>
        </w:rPr>
        <w:t xml:space="preserve">729-734 </w:t>
      </w:r>
      <w:proofErr w:type="spellStart"/>
      <w:r w:rsidRPr="00FB099E">
        <w:rPr>
          <w:b/>
          <w:lang w:eastAsia="ko-KR"/>
        </w:rPr>
        <w:t>MHz</w:t>
      </w:r>
      <w:r w:rsidRPr="00CC55B0">
        <w:rPr>
          <w:b/>
          <w:lang w:eastAsia="ko-KR"/>
        </w:rPr>
        <w:t>.</w:t>
      </w:r>
      <w:proofErr w:type="spellEnd"/>
    </w:p>
    <w:p w14:paraId="4D9FC411" w14:textId="27769442" w:rsidR="00B52FE1" w:rsidRDefault="00B52FE1" w:rsidP="00B52FE1">
      <w:pPr>
        <w:rPr>
          <w:rFonts w:eastAsiaTheme="minorEastAsia"/>
          <w:iCs/>
          <w:lang w:val="en-US" w:eastAsia="zh-CN"/>
        </w:rPr>
      </w:pPr>
      <w:r w:rsidRPr="00936C54">
        <w:rPr>
          <w:b/>
          <w:lang w:eastAsia="ko-KR"/>
        </w:rPr>
        <w:t xml:space="preserve">Observation 3: Because a carrier cannot extend beyond the edge of a band, the wider CBW placement needs to be contained in the band. </w:t>
      </w:r>
    </w:p>
    <w:p w14:paraId="05319406" w14:textId="77777777" w:rsidR="00B52FE1" w:rsidRDefault="00B52FE1" w:rsidP="00B52FE1">
      <w:pPr>
        <w:rPr>
          <w:b/>
          <w:lang w:eastAsia="ko-KR"/>
        </w:rPr>
      </w:pPr>
      <w:r w:rsidRPr="00936C54">
        <w:rPr>
          <w:b/>
          <w:lang w:eastAsia="ko-KR"/>
        </w:rPr>
        <w:t xml:space="preserve">Observation </w:t>
      </w:r>
      <w:r>
        <w:rPr>
          <w:b/>
          <w:lang w:eastAsia="ko-KR"/>
        </w:rPr>
        <w:t>4</w:t>
      </w:r>
      <w:r w:rsidRPr="00936C54">
        <w:rPr>
          <w:b/>
          <w:lang w:eastAsia="ko-KR"/>
        </w:rPr>
        <w:t xml:space="preserve">: </w:t>
      </w:r>
      <w:r w:rsidRPr="00B940F0">
        <w:rPr>
          <w:b/>
          <w:lang w:eastAsia="ko-KR"/>
        </w:rPr>
        <w:t xml:space="preserve">Because carriers cannot extend beyond the edge of the band, if an operator owns spectrum at the edge of the band the UL and DL can only be </w:t>
      </w:r>
      <w:proofErr w:type="spellStart"/>
      <w:r w:rsidRPr="00B940F0">
        <w:rPr>
          <w:b/>
          <w:lang w:eastAsia="ko-KR"/>
        </w:rPr>
        <w:t>centered</w:t>
      </w:r>
      <w:proofErr w:type="spellEnd"/>
      <w:r w:rsidRPr="00B940F0">
        <w:rPr>
          <w:b/>
          <w:lang w:eastAsia="ko-KR"/>
        </w:rPr>
        <w:t xml:space="preserve"> if the operator owns BW1/2+BW2/2 of spectrum.</w:t>
      </w:r>
      <w:r>
        <w:rPr>
          <w:b/>
          <w:lang w:eastAsia="ko-KR"/>
        </w:rPr>
        <w:t xml:space="preserve"> Therefore, a 5 MHz UL and 10MHz DL can only be aligned at the edge of a band if an operator owns at least 7.5 MHz of spectrum</w:t>
      </w:r>
    </w:p>
    <w:p w14:paraId="49EB4D75" w14:textId="5D11D671" w:rsidR="00B52FE1" w:rsidRDefault="00B52FE1" w:rsidP="00B52FE1">
      <w:pPr>
        <w:rPr>
          <w:bCs/>
          <w:lang w:eastAsia="ko-KR"/>
        </w:rPr>
      </w:pPr>
      <w:r>
        <w:rPr>
          <w:b/>
          <w:lang w:eastAsia="ko-KR"/>
        </w:rPr>
        <w:t xml:space="preserve">Observation 5: Because of Observation 4, the use of the next wider BW approach with </w:t>
      </w:r>
      <w:proofErr w:type="spellStart"/>
      <w:r>
        <w:rPr>
          <w:b/>
          <w:lang w:eastAsia="ko-KR"/>
        </w:rPr>
        <w:t>centered</w:t>
      </w:r>
      <w:proofErr w:type="spellEnd"/>
      <w:r>
        <w:rPr>
          <w:b/>
          <w:lang w:eastAsia="ko-KR"/>
        </w:rPr>
        <w:t xml:space="preserve"> UL and DL will not be compatible with carriers narrower than 7.5 MHz </w:t>
      </w:r>
    </w:p>
    <w:p w14:paraId="63075A71" w14:textId="77777777" w:rsidR="00B52FE1" w:rsidRDefault="00B52FE1" w:rsidP="00B52FE1">
      <w:pPr>
        <w:rPr>
          <w:b/>
          <w:lang w:eastAsia="ko-KR"/>
        </w:rPr>
      </w:pPr>
      <w:r w:rsidRPr="00CA7501">
        <w:rPr>
          <w:b/>
          <w:lang w:eastAsia="ko-KR"/>
        </w:rPr>
        <w:t xml:space="preserve">Observation 6: </w:t>
      </w:r>
      <w:r>
        <w:rPr>
          <w:b/>
          <w:lang w:eastAsia="ko-KR"/>
        </w:rPr>
        <w:t>There is no</w:t>
      </w:r>
      <w:r w:rsidRPr="00CA7501">
        <w:rPr>
          <w:b/>
          <w:lang w:eastAsia="ko-KR"/>
        </w:rPr>
        <w:t xml:space="preserve"> guarantee that emissions are met for initial access if there is a 10 MHz uplink carrier bandwidth with a 5 MHz initial BWP if the licensed bandwidth is 7 </w:t>
      </w:r>
      <w:proofErr w:type="spellStart"/>
      <w:r w:rsidRPr="00CA7501">
        <w:rPr>
          <w:b/>
          <w:lang w:eastAsia="ko-KR"/>
        </w:rPr>
        <w:t>MHz.</w:t>
      </w:r>
      <w:proofErr w:type="spellEnd"/>
      <w:r w:rsidRPr="00CA7501">
        <w:rPr>
          <w:b/>
          <w:lang w:eastAsia="ko-KR"/>
        </w:rPr>
        <w:t xml:space="preserve"> </w:t>
      </w:r>
    </w:p>
    <w:p w14:paraId="38664648" w14:textId="4D9D91BA" w:rsidR="00B52FE1" w:rsidRPr="00B52FE1" w:rsidRDefault="00B52FE1" w:rsidP="00B52FE1">
      <w:pPr>
        <w:rPr>
          <w:b/>
          <w:lang w:eastAsia="ko-KR"/>
        </w:rPr>
      </w:pPr>
      <w:r w:rsidRPr="00B52FE1">
        <w:rPr>
          <w:b/>
          <w:lang w:eastAsia="ko-KR"/>
        </w:rPr>
        <w:t xml:space="preserve">Observation </w:t>
      </w:r>
      <w:r w:rsidRPr="00B52FE1">
        <w:rPr>
          <w:b/>
          <w:lang w:eastAsia="ko-KR"/>
        </w:rPr>
        <w:t>7</w:t>
      </w:r>
      <w:r w:rsidRPr="00B52FE1">
        <w:rPr>
          <w:b/>
          <w:lang w:eastAsia="ko-KR"/>
        </w:rPr>
        <w:t>: Because 5 MHz UL / 10 MHz DL asymmetric bandwidth configurations are not mandatory for most bands, broadcasting an asymmetric UL/DL configuration will likely not be compatible with existing UEs.</w:t>
      </w:r>
    </w:p>
    <w:p w14:paraId="768C311C" w14:textId="77777777" w:rsidR="00B52FE1" w:rsidRPr="0021370E" w:rsidRDefault="00B52FE1" w:rsidP="00B52FE1">
      <w:pPr>
        <w:rPr>
          <w:b/>
          <w:lang w:eastAsia="ko-KR"/>
        </w:rPr>
      </w:pPr>
      <w:r w:rsidRPr="0021370E">
        <w:rPr>
          <w:b/>
          <w:lang w:eastAsia="ko-KR"/>
        </w:rPr>
        <w:t>Proposal</w:t>
      </w:r>
      <w:r>
        <w:rPr>
          <w:b/>
          <w:lang w:eastAsia="ko-KR"/>
        </w:rPr>
        <w:t xml:space="preserve"> 1</w:t>
      </w:r>
      <w:r w:rsidRPr="0021370E">
        <w:rPr>
          <w:b/>
          <w:lang w:eastAsia="ko-KR"/>
        </w:rPr>
        <w:t xml:space="preserve">: It would be good to get confirmation from UE/chip vendors that an asymmetric UL/DL carrier bandwidth configuration in the SIB is what determines if the configuration is symmetric or not symmetric, not the initial BWP. </w:t>
      </w:r>
    </w:p>
    <w:p w14:paraId="72A42373" w14:textId="77777777" w:rsidR="00BD0B48" w:rsidRPr="00B52FE1" w:rsidRDefault="00BD0B48" w:rsidP="00B52FE1">
      <w:pPr>
        <w:rPr>
          <w:rFonts w:eastAsiaTheme="minorEastAsia"/>
          <w:bCs/>
          <w:lang w:val="en-CA" w:eastAsia="ko-KR"/>
        </w:rPr>
      </w:pPr>
    </w:p>
    <w:p w14:paraId="78D2FF06" w14:textId="326E333B" w:rsidR="00105084" w:rsidRDefault="00502A0E" w:rsidP="00105084">
      <w:pPr>
        <w:pStyle w:val="Heading1"/>
      </w:pPr>
      <w:r>
        <w:t>4</w:t>
      </w:r>
      <w:r w:rsidR="00105084">
        <w:tab/>
      </w:r>
      <w:r w:rsidR="00105084" w:rsidRPr="00CE0424">
        <w:t>References</w:t>
      </w:r>
    </w:p>
    <w:p w14:paraId="4AEE298B" w14:textId="16F4AAED" w:rsidR="00592B17" w:rsidRDefault="00F96EF0" w:rsidP="009F6DE0">
      <w:pPr>
        <w:pStyle w:val="ListParagraph"/>
        <w:numPr>
          <w:ilvl w:val="0"/>
          <w:numId w:val="8"/>
        </w:numPr>
      </w:pPr>
      <w:bookmarkStart w:id="2" w:name="_Ref84345468"/>
      <w:r w:rsidRPr="00F96EF0">
        <w:t>R4-2114998</w:t>
      </w:r>
      <w:r w:rsidR="001B3A48">
        <w:t>, “</w:t>
      </w:r>
      <w:r w:rsidR="006D7E17" w:rsidRPr="006D7E17">
        <w:t xml:space="preserve">WF on </w:t>
      </w:r>
      <w:proofErr w:type="spellStart"/>
      <w:r w:rsidR="006D7E17" w:rsidRPr="006D7E17">
        <w:t>widerCBW</w:t>
      </w:r>
      <w:proofErr w:type="spellEnd"/>
      <w:r w:rsidR="006D7E17" w:rsidRPr="006D7E17">
        <w:t xml:space="preserve"> Approach</w:t>
      </w:r>
      <w:r w:rsidR="001B3A48">
        <w:t>”, Ericsson</w:t>
      </w:r>
      <w:bookmarkEnd w:id="2"/>
    </w:p>
    <w:p w14:paraId="15E7BF14" w14:textId="434E1333" w:rsidR="001B3A48" w:rsidRPr="001B3A48" w:rsidRDefault="001B3A48" w:rsidP="009F6DE0">
      <w:pPr>
        <w:pStyle w:val="ListParagraph"/>
        <w:numPr>
          <w:ilvl w:val="0"/>
          <w:numId w:val="8"/>
        </w:numPr>
      </w:pPr>
    </w:p>
    <w:sectPr w:rsidR="001B3A48" w:rsidRPr="001B3A48"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1A851" w14:textId="77777777" w:rsidR="007A4641" w:rsidRDefault="007A4641" w:rsidP="00F932B6">
      <w:pPr>
        <w:spacing w:after="0"/>
      </w:pPr>
      <w:r>
        <w:separator/>
      </w:r>
    </w:p>
  </w:endnote>
  <w:endnote w:type="continuationSeparator" w:id="0">
    <w:p w14:paraId="6A3135C6" w14:textId="77777777" w:rsidR="007A4641" w:rsidRDefault="007A4641" w:rsidP="00F932B6">
      <w:pPr>
        <w:spacing w:after="0"/>
      </w:pPr>
      <w:r>
        <w:continuationSeparator/>
      </w:r>
    </w:p>
  </w:endnote>
  <w:endnote w:type="continuationNotice" w:id="1">
    <w:p w14:paraId="0C5A1FFF" w14:textId="77777777" w:rsidR="007A4641" w:rsidRDefault="007A4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4AF80" w14:textId="77777777" w:rsidR="007A4641" w:rsidRDefault="007A4641" w:rsidP="00F932B6">
      <w:pPr>
        <w:spacing w:after="0"/>
      </w:pPr>
      <w:r>
        <w:separator/>
      </w:r>
    </w:p>
  </w:footnote>
  <w:footnote w:type="continuationSeparator" w:id="0">
    <w:p w14:paraId="06DA1EE7" w14:textId="77777777" w:rsidR="007A4641" w:rsidRDefault="007A4641" w:rsidP="00F932B6">
      <w:pPr>
        <w:spacing w:after="0"/>
      </w:pPr>
      <w:r>
        <w:continuationSeparator/>
      </w:r>
    </w:p>
  </w:footnote>
  <w:footnote w:type="continuationNotice" w:id="1">
    <w:p w14:paraId="4A0DCE24" w14:textId="77777777" w:rsidR="007A4641" w:rsidRDefault="007A46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1162"/>
    <w:multiLevelType w:val="hybridMultilevel"/>
    <w:tmpl w:val="2596382A"/>
    <w:lvl w:ilvl="0" w:tplc="01F67936">
      <w:start w:val="1"/>
      <w:numFmt w:val="decimal"/>
      <w:lvlText w:val="[1]%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07F022B6"/>
    <w:multiLevelType w:val="hybridMultilevel"/>
    <w:tmpl w:val="AEBABC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4B5183"/>
    <w:multiLevelType w:val="hybridMultilevel"/>
    <w:tmpl w:val="B3A8DB2A"/>
    <w:lvl w:ilvl="0" w:tplc="889068C4">
      <w:start w:val="1"/>
      <w:numFmt w:val="bullet"/>
      <w:lvlText w:val="•"/>
      <w:lvlJc w:val="left"/>
      <w:pPr>
        <w:tabs>
          <w:tab w:val="num" w:pos="720"/>
        </w:tabs>
        <w:ind w:left="720" w:hanging="360"/>
      </w:pPr>
      <w:rPr>
        <w:rFonts w:ascii="Arial" w:hAnsi="Arial" w:hint="default"/>
      </w:rPr>
    </w:lvl>
    <w:lvl w:ilvl="1" w:tplc="C5003C88">
      <w:numFmt w:val="bullet"/>
      <w:lvlText w:val="•"/>
      <w:lvlJc w:val="left"/>
      <w:pPr>
        <w:tabs>
          <w:tab w:val="num" w:pos="1440"/>
        </w:tabs>
        <w:ind w:left="1440" w:hanging="360"/>
      </w:pPr>
      <w:rPr>
        <w:rFonts w:ascii="Arial" w:hAnsi="Arial" w:hint="default"/>
      </w:rPr>
    </w:lvl>
    <w:lvl w:ilvl="2" w:tplc="86D2B34A" w:tentative="1">
      <w:start w:val="1"/>
      <w:numFmt w:val="bullet"/>
      <w:lvlText w:val="•"/>
      <w:lvlJc w:val="left"/>
      <w:pPr>
        <w:tabs>
          <w:tab w:val="num" w:pos="2160"/>
        </w:tabs>
        <w:ind w:left="2160" w:hanging="360"/>
      </w:pPr>
      <w:rPr>
        <w:rFonts w:ascii="Arial" w:hAnsi="Arial" w:hint="default"/>
      </w:rPr>
    </w:lvl>
    <w:lvl w:ilvl="3" w:tplc="C9AC5F22" w:tentative="1">
      <w:start w:val="1"/>
      <w:numFmt w:val="bullet"/>
      <w:lvlText w:val="•"/>
      <w:lvlJc w:val="left"/>
      <w:pPr>
        <w:tabs>
          <w:tab w:val="num" w:pos="2880"/>
        </w:tabs>
        <w:ind w:left="2880" w:hanging="360"/>
      </w:pPr>
      <w:rPr>
        <w:rFonts w:ascii="Arial" w:hAnsi="Arial" w:hint="default"/>
      </w:rPr>
    </w:lvl>
    <w:lvl w:ilvl="4" w:tplc="3094061E" w:tentative="1">
      <w:start w:val="1"/>
      <w:numFmt w:val="bullet"/>
      <w:lvlText w:val="•"/>
      <w:lvlJc w:val="left"/>
      <w:pPr>
        <w:tabs>
          <w:tab w:val="num" w:pos="3600"/>
        </w:tabs>
        <w:ind w:left="3600" w:hanging="360"/>
      </w:pPr>
      <w:rPr>
        <w:rFonts w:ascii="Arial" w:hAnsi="Arial" w:hint="default"/>
      </w:rPr>
    </w:lvl>
    <w:lvl w:ilvl="5" w:tplc="13FAD9AA" w:tentative="1">
      <w:start w:val="1"/>
      <w:numFmt w:val="bullet"/>
      <w:lvlText w:val="•"/>
      <w:lvlJc w:val="left"/>
      <w:pPr>
        <w:tabs>
          <w:tab w:val="num" w:pos="4320"/>
        </w:tabs>
        <w:ind w:left="4320" w:hanging="360"/>
      </w:pPr>
      <w:rPr>
        <w:rFonts w:ascii="Arial" w:hAnsi="Arial" w:hint="default"/>
      </w:rPr>
    </w:lvl>
    <w:lvl w:ilvl="6" w:tplc="F096329C" w:tentative="1">
      <w:start w:val="1"/>
      <w:numFmt w:val="bullet"/>
      <w:lvlText w:val="•"/>
      <w:lvlJc w:val="left"/>
      <w:pPr>
        <w:tabs>
          <w:tab w:val="num" w:pos="5040"/>
        </w:tabs>
        <w:ind w:left="5040" w:hanging="360"/>
      </w:pPr>
      <w:rPr>
        <w:rFonts w:ascii="Arial" w:hAnsi="Arial" w:hint="default"/>
      </w:rPr>
    </w:lvl>
    <w:lvl w:ilvl="7" w:tplc="F358F7FE" w:tentative="1">
      <w:start w:val="1"/>
      <w:numFmt w:val="bullet"/>
      <w:lvlText w:val="•"/>
      <w:lvlJc w:val="left"/>
      <w:pPr>
        <w:tabs>
          <w:tab w:val="num" w:pos="5760"/>
        </w:tabs>
        <w:ind w:left="5760" w:hanging="360"/>
      </w:pPr>
      <w:rPr>
        <w:rFonts w:ascii="Arial" w:hAnsi="Arial" w:hint="default"/>
      </w:rPr>
    </w:lvl>
    <w:lvl w:ilvl="8" w:tplc="52ACF5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3B78A8"/>
    <w:multiLevelType w:val="hybridMultilevel"/>
    <w:tmpl w:val="2690ED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9D2AF2"/>
    <w:multiLevelType w:val="hybridMultilevel"/>
    <w:tmpl w:val="9B70B3CA"/>
    <w:lvl w:ilvl="0" w:tplc="E946AB6E">
      <w:start w:val="1"/>
      <w:numFmt w:val="bullet"/>
      <w:lvlText w:val="•"/>
      <w:lvlJc w:val="left"/>
      <w:pPr>
        <w:tabs>
          <w:tab w:val="num" w:pos="720"/>
        </w:tabs>
        <w:ind w:left="720" w:hanging="360"/>
      </w:pPr>
      <w:rPr>
        <w:rFonts w:ascii="Arial" w:hAnsi="Arial" w:hint="default"/>
      </w:rPr>
    </w:lvl>
    <w:lvl w:ilvl="1" w:tplc="36E8DE46">
      <w:numFmt w:val="bullet"/>
      <w:lvlText w:val="•"/>
      <w:lvlJc w:val="left"/>
      <w:pPr>
        <w:tabs>
          <w:tab w:val="num" w:pos="1440"/>
        </w:tabs>
        <w:ind w:left="1440" w:hanging="360"/>
      </w:pPr>
      <w:rPr>
        <w:rFonts w:ascii="Arial" w:hAnsi="Arial" w:hint="default"/>
      </w:rPr>
    </w:lvl>
    <w:lvl w:ilvl="2" w:tplc="A39C0C7A" w:tentative="1">
      <w:start w:val="1"/>
      <w:numFmt w:val="bullet"/>
      <w:lvlText w:val="•"/>
      <w:lvlJc w:val="left"/>
      <w:pPr>
        <w:tabs>
          <w:tab w:val="num" w:pos="2160"/>
        </w:tabs>
        <w:ind w:left="2160" w:hanging="360"/>
      </w:pPr>
      <w:rPr>
        <w:rFonts w:ascii="Arial" w:hAnsi="Arial" w:hint="default"/>
      </w:rPr>
    </w:lvl>
    <w:lvl w:ilvl="3" w:tplc="DF6814DE" w:tentative="1">
      <w:start w:val="1"/>
      <w:numFmt w:val="bullet"/>
      <w:lvlText w:val="•"/>
      <w:lvlJc w:val="left"/>
      <w:pPr>
        <w:tabs>
          <w:tab w:val="num" w:pos="2880"/>
        </w:tabs>
        <w:ind w:left="2880" w:hanging="360"/>
      </w:pPr>
      <w:rPr>
        <w:rFonts w:ascii="Arial" w:hAnsi="Arial" w:hint="default"/>
      </w:rPr>
    </w:lvl>
    <w:lvl w:ilvl="4" w:tplc="F6A01F3A" w:tentative="1">
      <w:start w:val="1"/>
      <w:numFmt w:val="bullet"/>
      <w:lvlText w:val="•"/>
      <w:lvlJc w:val="left"/>
      <w:pPr>
        <w:tabs>
          <w:tab w:val="num" w:pos="3600"/>
        </w:tabs>
        <w:ind w:left="3600" w:hanging="360"/>
      </w:pPr>
      <w:rPr>
        <w:rFonts w:ascii="Arial" w:hAnsi="Arial" w:hint="default"/>
      </w:rPr>
    </w:lvl>
    <w:lvl w:ilvl="5" w:tplc="53065DDA" w:tentative="1">
      <w:start w:val="1"/>
      <w:numFmt w:val="bullet"/>
      <w:lvlText w:val="•"/>
      <w:lvlJc w:val="left"/>
      <w:pPr>
        <w:tabs>
          <w:tab w:val="num" w:pos="4320"/>
        </w:tabs>
        <w:ind w:left="4320" w:hanging="360"/>
      </w:pPr>
      <w:rPr>
        <w:rFonts w:ascii="Arial" w:hAnsi="Arial" w:hint="default"/>
      </w:rPr>
    </w:lvl>
    <w:lvl w:ilvl="6" w:tplc="E68E93A4" w:tentative="1">
      <w:start w:val="1"/>
      <w:numFmt w:val="bullet"/>
      <w:lvlText w:val="•"/>
      <w:lvlJc w:val="left"/>
      <w:pPr>
        <w:tabs>
          <w:tab w:val="num" w:pos="5040"/>
        </w:tabs>
        <w:ind w:left="5040" w:hanging="360"/>
      </w:pPr>
      <w:rPr>
        <w:rFonts w:ascii="Arial" w:hAnsi="Arial" w:hint="default"/>
      </w:rPr>
    </w:lvl>
    <w:lvl w:ilvl="7" w:tplc="6694BEF2" w:tentative="1">
      <w:start w:val="1"/>
      <w:numFmt w:val="bullet"/>
      <w:lvlText w:val="•"/>
      <w:lvlJc w:val="left"/>
      <w:pPr>
        <w:tabs>
          <w:tab w:val="num" w:pos="5760"/>
        </w:tabs>
        <w:ind w:left="5760" w:hanging="360"/>
      </w:pPr>
      <w:rPr>
        <w:rFonts w:ascii="Arial" w:hAnsi="Arial" w:hint="default"/>
      </w:rPr>
    </w:lvl>
    <w:lvl w:ilvl="8" w:tplc="054A23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437C2D"/>
    <w:multiLevelType w:val="hybridMultilevel"/>
    <w:tmpl w:val="4AAE7E58"/>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A791354"/>
    <w:multiLevelType w:val="hybridMultilevel"/>
    <w:tmpl w:val="54E431F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F372F6"/>
    <w:multiLevelType w:val="hybridMultilevel"/>
    <w:tmpl w:val="56324940"/>
    <w:lvl w:ilvl="0" w:tplc="4CC6DE50">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442181"/>
    <w:multiLevelType w:val="hybridMultilevel"/>
    <w:tmpl w:val="56324940"/>
    <w:lvl w:ilvl="0" w:tplc="4CC6DE50">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030C8A"/>
    <w:multiLevelType w:val="hybridMultilevel"/>
    <w:tmpl w:val="56324940"/>
    <w:lvl w:ilvl="0" w:tplc="4CC6DE50">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5"/>
  </w:num>
  <w:num w:numId="3">
    <w:abstractNumId w:val="3"/>
  </w:num>
  <w:num w:numId="4">
    <w:abstractNumId w:val="2"/>
  </w:num>
  <w:num w:numId="5">
    <w:abstractNumId w:val="9"/>
  </w:num>
  <w:num w:numId="6">
    <w:abstractNumId w:val="0"/>
  </w:num>
  <w:num w:numId="7">
    <w:abstractNumId w:val="10"/>
  </w:num>
  <w:num w:numId="8">
    <w:abstractNumId w:val="8"/>
  </w:num>
  <w:num w:numId="9">
    <w:abstractNumId w:val="13"/>
  </w:num>
  <w:num w:numId="10">
    <w:abstractNumId w:val="14"/>
  </w:num>
  <w:num w:numId="11">
    <w:abstractNumId w:val="7"/>
  </w:num>
  <w:num w:numId="12">
    <w:abstractNumId w:val="16"/>
  </w:num>
  <w:num w:numId="13">
    <w:abstractNumId w:val="17"/>
  </w:num>
  <w:num w:numId="14">
    <w:abstractNumId w:val="12"/>
  </w:num>
  <w:num w:numId="15">
    <w:abstractNumId w:val="4"/>
  </w:num>
  <w:num w:numId="16">
    <w:abstractNumId w:val="6"/>
  </w:num>
  <w:num w:numId="17">
    <w:abstractNumId w:val="1"/>
  </w:num>
  <w:num w:numId="18">
    <w:abstractNumId w:val="18"/>
  </w:num>
  <w:num w:numId="19">
    <w:abstractNumId w:val="5"/>
  </w:num>
  <w:num w:numId="20">
    <w:abstractNumId w:val="1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FEF"/>
    <w:rsid w:val="000003D3"/>
    <w:rsid w:val="00001094"/>
    <w:rsid w:val="0001294F"/>
    <w:rsid w:val="00016F9F"/>
    <w:rsid w:val="000240BE"/>
    <w:rsid w:val="00025FD6"/>
    <w:rsid w:val="000369B3"/>
    <w:rsid w:val="00037C40"/>
    <w:rsid w:val="00046568"/>
    <w:rsid w:val="0004658B"/>
    <w:rsid w:val="000678A1"/>
    <w:rsid w:val="00067A79"/>
    <w:rsid w:val="00073727"/>
    <w:rsid w:val="00080A00"/>
    <w:rsid w:val="00081621"/>
    <w:rsid w:val="00084EBE"/>
    <w:rsid w:val="0008793B"/>
    <w:rsid w:val="000932D0"/>
    <w:rsid w:val="000B2EB1"/>
    <w:rsid w:val="000B7780"/>
    <w:rsid w:val="000B7ED6"/>
    <w:rsid w:val="000C73F1"/>
    <w:rsid w:val="000D6A3B"/>
    <w:rsid w:val="000F0E90"/>
    <w:rsid w:val="000F56B2"/>
    <w:rsid w:val="000F7138"/>
    <w:rsid w:val="00102808"/>
    <w:rsid w:val="00103E3B"/>
    <w:rsid w:val="00104285"/>
    <w:rsid w:val="00105084"/>
    <w:rsid w:val="001101E4"/>
    <w:rsid w:val="001148BC"/>
    <w:rsid w:val="001208E0"/>
    <w:rsid w:val="001300E7"/>
    <w:rsid w:val="00131789"/>
    <w:rsid w:val="001332B4"/>
    <w:rsid w:val="0015382B"/>
    <w:rsid w:val="00154190"/>
    <w:rsid w:val="00164002"/>
    <w:rsid w:val="00171537"/>
    <w:rsid w:val="001723C7"/>
    <w:rsid w:val="00173AD6"/>
    <w:rsid w:val="0017632A"/>
    <w:rsid w:val="001771BC"/>
    <w:rsid w:val="00192198"/>
    <w:rsid w:val="001926D3"/>
    <w:rsid w:val="00193C70"/>
    <w:rsid w:val="001A1BE7"/>
    <w:rsid w:val="001A2F76"/>
    <w:rsid w:val="001B05CE"/>
    <w:rsid w:val="001B1081"/>
    <w:rsid w:val="001B14B6"/>
    <w:rsid w:val="001B2124"/>
    <w:rsid w:val="001B2548"/>
    <w:rsid w:val="001B3037"/>
    <w:rsid w:val="001B3A48"/>
    <w:rsid w:val="001B4E88"/>
    <w:rsid w:val="001C00C9"/>
    <w:rsid w:val="001C29F3"/>
    <w:rsid w:val="001D0CE9"/>
    <w:rsid w:val="001D699E"/>
    <w:rsid w:val="001D7216"/>
    <w:rsid w:val="001E1316"/>
    <w:rsid w:val="001F3467"/>
    <w:rsid w:val="001F4F46"/>
    <w:rsid w:val="0020187E"/>
    <w:rsid w:val="00211E7A"/>
    <w:rsid w:val="0021370E"/>
    <w:rsid w:val="002159D1"/>
    <w:rsid w:val="0022007A"/>
    <w:rsid w:val="002233A3"/>
    <w:rsid w:val="00223E1B"/>
    <w:rsid w:val="00227714"/>
    <w:rsid w:val="002312E8"/>
    <w:rsid w:val="00233A2E"/>
    <w:rsid w:val="00240420"/>
    <w:rsid w:val="00242B32"/>
    <w:rsid w:val="00243796"/>
    <w:rsid w:val="00244BDC"/>
    <w:rsid w:val="00247B32"/>
    <w:rsid w:val="00247F8C"/>
    <w:rsid w:val="00253810"/>
    <w:rsid w:val="00254DF8"/>
    <w:rsid w:val="0025502C"/>
    <w:rsid w:val="00255F0A"/>
    <w:rsid w:val="002613DB"/>
    <w:rsid w:val="00277024"/>
    <w:rsid w:val="00282A7E"/>
    <w:rsid w:val="00287760"/>
    <w:rsid w:val="00292886"/>
    <w:rsid w:val="0029591A"/>
    <w:rsid w:val="00297333"/>
    <w:rsid w:val="002A11EE"/>
    <w:rsid w:val="002A1ACE"/>
    <w:rsid w:val="002A22D8"/>
    <w:rsid w:val="002A49A0"/>
    <w:rsid w:val="002C02A2"/>
    <w:rsid w:val="002C4F33"/>
    <w:rsid w:val="002D4A34"/>
    <w:rsid w:val="002E0862"/>
    <w:rsid w:val="002E215D"/>
    <w:rsid w:val="002E66B1"/>
    <w:rsid w:val="00300DB6"/>
    <w:rsid w:val="0030277D"/>
    <w:rsid w:val="00307197"/>
    <w:rsid w:val="003176C6"/>
    <w:rsid w:val="0032777B"/>
    <w:rsid w:val="00335F06"/>
    <w:rsid w:val="00340F00"/>
    <w:rsid w:val="0034227A"/>
    <w:rsid w:val="0035393E"/>
    <w:rsid w:val="003560B0"/>
    <w:rsid w:val="0036205D"/>
    <w:rsid w:val="003651FA"/>
    <w:rsid w:val="00374D3A"/>
    <w:rsid w:val="0038245F"/>
    <w:rsid w:val="00382EAA"/>
    <w:rsid w:val="003849EB"/>
    <w:rsid w:val="003A1B33"/>
    <w:rsid w:val="003A470B"/>
    <w:rsid w:val="003A571A"/>
    <w:rsid w:val="003A6238"/>
    <w:rsid w:val="003B0333"/>
    <w:rsid w:val="003B0FD4"/>
    <w:rsid w:val="003B686D"/>
    <w:rsid w:val="003B6A5D"/>
    <w:rsid w:val="003C0F74"/>
    <w:rsid w:val="003C2B28"/>
    <w:rsid w:val="003C5277"/>
    <w:rsid w:val="003C7C5A"/>
    <w:rsid w:val="003D1307"/>
    <w:rsid w:val="003D3962"/>
    <w:rsid w:val="003D40E6"/>
    <w:rsid w:val="003E0436"/>
    <w:rsid w:val="003F3CE7"/>
    <w:rsid w:val="00402F1F"/>
    <w:rsid w:val="00404E14"/>
    <w:rsid w:val="0041545E"/>
    <w:rsid w:val="004207C3"/>
    <w:rsid w:val="00432C47"/>
    <w:rsid w:val="00450985"/>
    <w:rsid w:val="00451570"/>
    <w:rsid w:val="00457A71"/>
    <w:rsid w:val="00465688"/>
    <w:rsid w:val="00465C39"/>
    <w:rsid w:val="00473B55"/>
    <w:rsid w:val="0047609F"/>
    <w:rsid w:val="00483B02"/>
    <w:rsid w:val="004865E6"/>
    <w:rsid w:val="00486890"/>
    <w:rsid w:val="00487D9C"/>
    <w:rsid w:val="0049266E"/>
    <w:rsid w:val="00492937"/>
    <w:rsid w:val="004A220B"/>
    <w:rsid w:val="004A6C7E"/>
    <w:rsid w:val="004B6AEF"/>
    <w:rsid w:val="004C05B8"/>
    <w:rsid w:val="004C709C"/>
    <w:rsid w:val="004C7549"/>
    <w:rsid w:val="004D4651"/>
    <w:rsid w:val="004E337A"/>
    <w:rsid w:val="004F0199"/>
    <w:rsid w:val="004F043F"/>
    <w:rsid w:val="00500AC9"/>
    <w:rsid w:val="00502A0E"/>
    <w:rsid w:val="00507577"/>
    <w:rsid w:val="00514823"/>
    <w:rsid w:val="0051671D"/>
    <w:rsid w:val="005171AD"/>
    <w:rsid w:val="00531DA6"/>
    <w:rsid w:val="00536AB4"/>
    <w:rsid w:val="00540B7A"/>
    <w:rsid w:val="00544D2E"/>
    <w:rsid w:val="00551A32"/>
    <w:rsid w:val="005571EA"/>
    <w:rsid w:val="00577294"/>
    <w:rsid w:val="0058612B"/>
    <w:rsid w:val="005865F5"/>
    <w:rsid w:val="00592B17"/>
    <w:rsid w:val="005932F1"/>
    <w:rsid w:val="005934D6"/>
    <w:rsid w:val="00593BB1"/>
    <w:rsid w:val="005A5B0C"/>
    <w:rsid w:val="005C40FD"/>
    <w:rsid w:val="005D0C78"/>
    <w:rsid w:val="005D2302"/>
    <w:rsid w:val="005D2690"/>
    <w:rsid w:val="005F2F25"/>
    <w:rsid w:val="00600868"/>
    <w:rsid w:val="00610F7F"/>
    <w:rsid w:val="006201C0"/>
    <w:rsid w:val="0062524D"/>
    <w:rsid w:val="00625ED6"/>
    <w:rsid w:val="00626767"/>
    <w:rsid w:val="0062757A"/>
    <w:rsid w:val="00630BC8"/>
    <w:rsid w:val="00631544"/>
    <w:rsid w:val="00634920"/>
    <w:rsid w:val="006519B9"/>
    <w:rsid w:val="00651DB4"/>
    <w:rsid w:val="006577ED"/>
    <w:rsid w:val="00660CF3"/>
    <w:rsid w:val="00664AB6"/>
    <w:rsid w:val="006660C8"/>
    <w:rsid w:val="0066706C"/>
    <w:rsid w:val="006743C6"/>
    <w:rsid w:val="0067756B"/>
    <w:rsid w:val="0068143D"/>
    <w:rsid w:val="006819B3"/>
    <w:rsid w:val="00684228"/>
    <w:rsid w:val="00694E40"/>
    <w:rsid w:val="006B2E3E"/>
    <w:rsid w:val="006B3F8F"/>
    <w:rsid w:val="006B5109"/>
    <w:rsid w:val="006B599F"/>
    <w:rsid w:val="006C0726"/>
    <w:rsid w:val="006C1423"/>
    <w:rsid w:val="006D5396"/>
    <w:rsid w:val="006D7E17"/>
    <w:rsid w:val="006E0599"/>
    <w:rsid w:val="006F2E41"/>
    <w:rsid w:val="006F3A6C"/>
    <w:rsid w:val="006F657C"/>
    <w:rsid w:val="00702DB5"/>
    <w:rsid w:val="007054D5"/>
    <w:rsid w:val="00706B46"/>
    <w:rsid w:val="00706C11"/>
    <w:rsid w:val="007079EB"/>
    <w:rsid w:val="0071760B"/>
    <w:rsid w:val="00736C27"/>
    <w:rsid w:val="007373BF"/>
    <w:rsid w:val="00740180"/>
    <w:rsid w:val="00756E71"/>
    <w:rsid w:val="00770558"/>
    <w:rsid w:val="007729DF"/>
    <w:rsid w:val="00782F58"/>
    <w:rsid w:val="00792174"/>
    <w:rsid w:val="0079510D"/>
    <w:rsid w:val="007A4641"/>
    <w:rsid w:val="007B3EF1"/>
    <w:rsid w:val="007B69AE"/>
    <w:rsid w:val="007D639D"/>
    <w:rsid w:val="007D6CF9"/>
    <w:rsid w:val="007E479E"/>
    <w:rsid w:val="007F4798"/>
    <w:rsid w:val="008011B4"/>
    <w:rsid w:val="008059ED"/>
    <w:rsid w:val="0081086D"/>
    <w:rsid w:val="008124DA"/>
    <w:rsid w:val="00812AB1"/>
    <w:rsid w:val="0082320F"/>
    <w:rsid w:val="00824859"/>
    <w:rsid w:val="00831493"/>
    <w:rsid w:val="00833A37"/>
    <w:rsid w:val="00842E77"/>
    <w:rsid w:val="00844744"/>
    <w:rsid w:val="00855572"/>
    <w:rsid w:val="00856179"/>
    <w:rsid w:val="0086214A"/>
    <w:rsid w:val="008627F8"/>
    <w:rsid w:val="00864B2D"/>
    <w:rsid w:val="00874C01"/>
    <w:rsid w:val="00877ABB"/>
    <w:rsid w:val="00891073"/>
    <w:rsid w:val="008A34E6"/>
    <w:rsid w:val="008A5CAF"/>
    <w:rsid w:val="008B0A92"/>
    <w:rsid w:val="008B1718"/>
    <w:rsid w:val="008B76DE"/>
    <w:rsid w:val="008C04E8"/>
    <w:rsid w:val="008C17FB"/>
    <w:rsid w:val="008D7E79"/>
    <w:rsid w:val="008E1879"/>
    <w:rsid w:val="008E6D95"/>
    <w:rsid w:val="0090195D"/>
    <w:rsid w:val="00907AF4"/>
    <w:rsid w:val="00913DBD"/>
    <w:rsid w:val="00922B16"/>
    <w:rsid w:val="00923CAB"/>
    <w:rsid w:val="00926B6A"/>
    <w:rsid w:val="0093622B"/>
    <w:rsid w:val="00936C54"/>
    <w:rsid w:val="0094088A"/>
    <w:rsid w:val="009469EE"/>
    <w:rsid w:val="00954852"/>
    <w:rsid w:val="00962F11"/>
    <w:rsid w:val="0096423A"/>
    <w:rsid w:val="009648DA"/>
    <w:rsid w:val="00964C11"/>
    <w:rsid w:val="00980068"/>
    <w:rsid w:val="009841B0"/>
    <w:rsid w:val="00984F27"/>
    <w:rsid w:val="00986CD3"/>
    <w:rsid w:val="00987667"/>
    <w:rsid w:val="009927BB"/>
    <w:rsid w:val="00992BC5"/>
    <w:rsid w:val="00997777"/>
    <w:rsid w:val="00997C3F"/>
    <w:rsid w:val="009A2A38"/>
    <w:rsid w:val="009A7B69"/>
    <w:rsid w:val="009A7CB8"/>
    <w:rsid w:val="009C1317"/>
    <w:rsid w:val="009C217F"/>
    <w:rsid w:val="009C5DB7"/>
    <w:rsid w:val="009D4206"/>
    <w:rsid w:val="009E37CC"/>
    <w:rsid w:val="009F6DE0"/>
    <w:rsid w:val="00A04CF4"/>
    <w:rsid w:val="00A064DF"/>
    <w:rsid w:val="00A218E2"/>
    <w:rsid w:val="00A26342"/>
    <w:rsid w:val="00A30462"/>
    <w:rsid w:val="00A3569B"/>
    <w:rsid w:val="00A35D59"/>
    <w:rsid w:val="00A40817"/>
    <w:rsid w:val="00A41F24"/>
    <w:rsid w:val="00A436B4"/>
    <w:rsid w:val="00A563E3"/>
    <w:rsid w:val="00A570F7"/>
    <w:rsid w:val="00A963C5"/>
    <w:rsid w:val="00AA12F9"/>
    <w:rsid w:val="00AA3DF2"/>
    <w:rsid w:val="00AA57FE"/>
    <w:rsid w:val="00AA5ACB"/>
    <w:rsid w:val="00AA5D71"/>
    <w:rsid w:val="00AB3965"/>
    <w:rsid w:val="00AB4960"/>
    <w:rsid w:val="00AB63F5"/>
    <w:rsid w:val="00AD221E"/>
    <w:rsid w:val="00AD3BC7"/>
    <w:rsid w:val="00AD52FB"/>
    <w:rsid w:val="00AD6C41"/>
    <w:rsid w:val="00AD7F64"/>
    <w:rsid w:val="00AE34E1"/>
    <w:rsid w:val="00AF1850"/>
    <w:rsid w:val="00B02146"/>
    <w:rsid w:val="00B02610"/>
    <w:rsid w:val="00B0664E"/>
    <w:rsid w:val="00B071AE"/>
    <w:rsid w:val="00B12797"/>
    <w:rsid w:val="00B16AFA"/>
    <w:rsid w:val="00B17B52"/>
    <w:rsid w:val="00B17BD6"/>
    <w:rsid w:val="00B22060"/>
    <w:rsid w:val="00B33BE4"/>
    <w:rsid w:val="00B35310"/>
    <w:rsid w:val="00B43E5C"/>
    <w:rsid w:val="00B526A0"/>
    <w:rsid w:val="00B526E0"/>
    <w:rsid w:val="00B52FE1"/>
    <w:rsid w:val="00B54E5F"/>
    <w:rsid w:val="00B63FCF"/>
    <w:rsid w:val="00B70646"/>
    <w:rsid w:val="00B8072E"/>
    <w:rsid w:val="00B80BCB"/>
    <w:rsid w:val="00B92837"/>
    <w:rsid w:val="00B940F0"/>
    <w:rsid w:val="00BA7743"/>
    <w:rsid w:val="00BA7C19"/>
    <w:rsid w:val="00BC18DB"/>
    <w:rsid w:val="00BC38CC"/>
    <w:rsid w:val="00BC4A3E"/>
    <w:rsid w:val="00BC4FBA"/>
    <w:rsid w:val="00BC7894"/>
    <w:rsid w:val="00BD0B48"/>
    <w:rsid w:val="00BD2C31"/>
    <w:rsid w:val="00BD506C"/>
    <w:rsid w:val="00BD7369"/>
    <w:rsid w:val="00BF1799"/>
    <w:rsid w:val="00BF76FB"/>
    <w:rsid w:val="00BF7AB2"/>
    <w:rsid w:val="00C055B6"/>
    <w:rsid w:val="00C14D87"/>
    <w:rsid w:val="00C15664"/>
    <w:rsid w:val="00C20F1B"/>
    <w:rsid w:val="00C23439"/>
    <w:rsid w:val="00C273E1"/>
    <w:rsid w:val="00C315A5"/>
    <w:rsid w:val="00C31703"/>
    <w:rsid w:val="00C35D29"/>
    <w:rsid w:val="00C413E1"/>
    <w:rsid w:val="00C44785"/>
    <w:rsid w:val="00C44CDC"/>
    <w:rsid w:val="00C4777D"/>
    <w:rsid w:val="00C51648"/>
    <w:rsid w:val="00C5244D"/>
    <w:rsid w:val="00C5392C"/>
    <w:rsid w:val="00C54709"/>
    <w:rsid w:val="00C64EDF"/>
    <w:rsid w:val="00C70FEF"/>
    <w:rsid w:val="00C87698"/>
    <w:rsid w:val="00C95A90"/>
    <w:rsid w:val="00C963BF"/>
    <w:rsid w:val="00C973C8"/>
    <w:rsid w:val="00CA0B57"/>
    <w:rsid w:val="00CA29BC"/>
    <w:rsid w:val="00CA5D7C"/>
    <w:rsid w:val="00CA7501"/>
    <w:rsid w:val="00CC1EE1"/>
    <w:rsid w:val="00CC1F03"/>
    <w:rsid w:val="00CC497A"/>
    <w:rsid w:val="00CC55B0"/>
    <w:rsid w:val="00CC6036"/>
    <w:rsid w:val="00CD0A89"/>
    <w:rsid w:val="00CD2CA9"/>
    <w:rsid w:val="00CD4728"/>
    <w:rsid w:val="00CD52BB"/>
    <w:rsid w:val="00CD59DD"/>
    <w:rsid w:val="00CD67D1"/>
    <w:rsid w:val="00CE225C"/>
    <w:rsid w:val="00CE4840"/>
    <w:rsid w:val="00CE6AEC"/>
    <w:rsid w:val="00CF2A71"/>
    <w:rsid w:val="00CF320D"/>
    <w:rsid w:val="00D00071"/>
    <w:rsid w:val="00D00174"/>
    <w:rsid w:val="00D06E27"/>
    <w:rsid w:val="00D106CD"/>
    <w:rsid w:val="00D12DDB"/>
    <w:rsid w:val="00D175A2"/>
    <w:rsid w:val="00D306D4"/>
    <w:rsid w:val="00D40D01"/>
    <w:rsid w:val="00D420B0"/>
    <w:rsid w:val="00D5205F"/>
    <w:rsid w:val="00D622F9"/>
    <w:rsid w:val="00D64F81"/>
    <w:rsid w:val="00D6751A"/>
    <w:rsid w:val="00D715E9"/>
    <w:rsid w:val="00D72D56"/>
    <w:rsid w:val="00D83C84"/>
    <w:rsid w:val="00D84F59"/>
    <w:rsid w:val="00D8515E"/>
    <w:rsid w:val="00D9018B"/>
    <w:rsid w:val="00D91A41"/>
    <w:rsid w:val="00D91AE1"/>
    <w:rsid w:val="00DA7556"/>
    <w:rsid w:val="00DB146B"/>
    <w:rsid w:val="00DB725C"/>
    <w:rsid w:val="00DC08EB"/>
    <w:rsid w:val="00DC1CD5"/>
    <w:rsid w:val="00DC75A1"/>
    <w:rsid w:val="00DC7E01"/>
    <w:rsid w:val="00DD00A8"/>
    <w:rsid w:val="00DD523E"/>
    <w:rsid w:val="00DE0255"/>
    <w:rsid w:val="00DE1321"/>
    <w:rsid w:val="00DF1081"/>
    <w:rsid w:val="00E00D20"/>
    <w:rsid w:val="00E04D77"/>
    <w:rsid w:val="00E1078E"/>
    <w:rsid w:val="00E15D70"/>
    <w:rsid w:val="00E213E6"/>
    <w:rsid w:val="00E243F2"/>
    <w:rsid w:val="00E33169"/>
    <w:rsid w:val="00E401B8"/>
    <w:rsid w:val="00E43870"/>
    <w:rsid w:val="00E4611F"/>
    <w:rsid w:val="00E47185"/>
    <w:rsid w:val="00E52277"/>
    <w:rsid w:val="00E54AE8"/>
    <w:rsid w:val="00E60CFA"/>
    <w:rsid w:val="00E62DDE"/>
    <w:rsid w:val="00E62FC6"/>
    <w:rsid w:val="00E710C9"/>
    <w:rsid w:val="00E87C47"/>
    <w:rsid w:val="00E94A00"/>
    <w:rsid w:val="00E95C7C"/>
    <w:rsid w:val="00E975F8"/>
    <w:rsid w:val="00EA5F73"/>
    <w:rsid w:val="00EA61A7"/>
    <w:rsid w:val="00EA6291"/>
    <w:rsid w:val="00EB162D"/>
    <w:rsid w:val="00ED1F6F"/>
    <w:rsid w:val="00ED4908"/>
    <w:rsid w:val="00EE5C35"/>
    <w:rsid w:val="00EF0481"/>
    <w:rsid w:val="00EF2E99"/>
    <w:rsid w:val="00EF4087"/>
    <w:rsid w:val="00EF48BF"/>
    <w:rsid w:val="00EF5797"/>
    <w:rsid w:val="00F077C5"/>
    <w:rsid w:val="00F123B4"/>
    <w:rsid w:val="00F13882"/>
    <w:rsid w:val="00F22CE2"/>
    <w:rsid w:val="00F27E9C"/>
    <w:rsid w:val="00F30452"/>
    <w:rsid w:val="00F31444"/>
    <w:rsid w:val="00F32125"/>
    <w:rsid w:val="00F40B7B"/>
    <w:rsid w:val="00F419FB"/>
    <w:rsid w:val="00F52431"/>
    <w:rsid w:val="00F55182"/>
    <w:rsid w:val="00F55777"/>
    <w:rsid w:val="00F60339"/>
    <w:rsid w:val="00F61563"/>
    <w:rsid w:val="00F70DE5"/>
    <w:rsid w:val="00F932B6"/>
    <w:rsid w:val="00F940E1"/>
    <w:rsid w:val="00F96EF0"/>
    <w:rsid w:val="00FA1133"/>
    <w:rsid w:val="00FA63FA"/>
    <w:rsid w:val="00FB099E"/>
    <w:rsid w:val="00FB5CE8"/>
    <w:rsid w:val="00FB6EF4"/>
    <w:rsid w:val="00FC2C18"/>
    <w:rsid w:val="00FC6792"/>
    <w:rsid w:val="00FD46FD"/>
    <w:rsid w:val="00FD524F"/>
    <w:rsid w:val="00FE17C7"/>
    <w:rsid w:val="00FE31AF"/>
    <w:rsid w:val="04605D6A"/>
    <w:rsid w:val="0641F1E5"/>
    <w:rsid w:val="1829FD2B"/>
    <w:rsid w:val="33BC7EB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5205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9C217F"/>
    <w:rPr>
      <w:sz w:val="16"/>
      <w:szCs w:val="16"/>
    </w:rPr>
  </w:style>
  <w:style w:type="paragraph" w:styleId="CommentText">
    <w:name w:val="annotation text"/>
    <w:basedOn w:val="Normal"/>
    <w:link w:val="CommentTextChar"/>
    <w:unhideWhenUsed/>
    <w:qFormat/>
    <w:rsid w:val="009C217F"/>
  </w:style>
  <w:style w:type="character" w:customStyle="1" w:styleId="CommentTextChar">
    <w:name w:val="Comment Text Char"/>
    <w:basedOn w:val="DefaultParagraphFont"/>
    <w:link w:val="CommentText"/>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paragraph" w:customStyle="1" w:styleId="B1">
    <w:name w:val="B1"/>
    <w:basedOn w:val="List"/>
    <w:link w:val="B1Char1"/>
    <w:qFormat/>
    <w:rsid w:val="00AB4960"/>
    <w:pPr>
      <w:overflowPunct w:val="0"/>
      <w:autoSpaceDE w:val="0"/>
      <w:autoSpaceDN w:val="0"/>
      <w:adjustRightInd w:val="0"/>
      <w:ind w:left="568" w:hanging="284"/>
      <w:contextualSpacing w:val="0"/>
      <w:textAlignment w:val="baseline"/>
    </w:pPr>
    <w:rPr>
      <w:rFonts w:eastAsia="SimSun"/>
      <w:lang w:eastAsia="en-GB"/>
    </w:rPr>
  </w:style>
  <w:style w:type="character" w:customStyle="1" w:styleId="B1Char1">
    <w:name w:val="B1 Char1"/>
    <w:link w:val="B1"/>
    <w:qFormat/>
    <w:locked/>
    <w:rsid w:val="00AB4960"/>
    <w:rPr>
      <w:rFonts w:ascii="Times New Roman" w:eastAsia="SimSun" w:hAnsi="Times New Roman" w:cs="Times New Roman"/>
      <w:sz w:val="20"/>
      <w:szCs w:val="20"/>
      <w:lang w:val="en-GB" w:eastAsia="en-GB"/>
    </w:rPr>
  </w:style>
  <w:style w:type="paragraph" w:styleId="List">
    <w:name w:val="List"/>
    <w:basedOn w:val="Normal"/>
    <w:uiPriority w:val="99"/>
    <w:semiHidden/>
    <w:unhideWhenUsed/>
    <w:rsid w:val="00AB4960"/>
    <w:pPr>
      <w:ind w:left="360" w:hanging="36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F7AB2"/>
    <w:rPr>
      <w:rFonts w:ascii="Times New Roman" w:eastAsia="Times New Roman" w:hAnsi="Times New Roman" w:cs="Times New Roman"/>
      <w:sz w:val="20"/>
      <w:szCs w:val="20"/>
      <w:lang w:val="en-GB"/>
    </w:rPr>
  </w:style>
  <w:style w:type="paragraph" w:customStyle="1" w:styleId="Reference">
    <w:name w:val="Reference"/>
    <w:basedOn w:val="BodyText"/>
    <w:rsid w:val="0020187E"/>
    <w:pPr>
      <w:numPr>
        <w:numId w:val="14"/>
      </w:numPr>
      <w:spacing w:line="259" w:lineRule="auto"/>
      <w:jc w:val="both"/>
    </w:pPr>
    <w:rPr>
      <w:rFonts w:ascii="Arial" w:eastAsiaTheme="minorHAnsi" w:hAnsi="Arial" w:cstheme="minorBidi"/>
      <w:szCs w:val="22"/>
      <w:lang w:val="en-US" w:eastAsia="zh-CN"/>
    </w:rPr>
  </w:style>
  <w:style w:type="table" w:customStyle="1" w:styleId="TableGrid1">
    <w:name w:val="Table Grid1"/>
    <w:basedOn w:val="TableNormal"/>
    <w:next w:val="TableGrid"/>
    <w:uiPriority w:val="39"/>
    <w:rsid w:val="0077055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487D9C"/>
    <w:rPr>
      <w:rFonts w:ascii="Arial" w:hAnsi="Arial" w:cs="Arial"/>
      <w:sz w:val="18"/>
      <w:lang w:val="en-GB"/>
    </w:rPr>
  </w:style>
  <w:style w:type="paragraph" w:customStyle="1" w:styleId="TAC">
    <w:name w:val="TAC"/>
    <w:basedOn w:val="Normal"/>
    <w:link w:val="TACChar"/>
    <w:qFormat/>
    <w:rsid w:val="00487D9C"/>
    <w:pPr>
      <w:keepNext/>
      <w:keepLines/>
      <w:spacing w:after="0"/>
      <w:jc w:val="center"/>
    </w:pPr>
    <w:rPr>
      <w:rFonts w:ascii="Arial" w:eastAsiaTheme="minorHAnsi" w:hAnsi="Arial" w:cs="Arial"/>
      <w:sz w:val="18"/>
      <w:szCs w:val="22"/>
    </w:rPr>
  </w:style>
  <w:style w:type="character" w:customStyle="1" w:styleId="THChar">
    <w:name w:val="TH Char"/>
    <w:link w:val="TH"/>
    <w:qFormat/>
    <w:locked/>
    <w:rsid w:val="00487D9C"/>
    <w:rPr>
      <w:rFonts w:ascii="Arial" w:hAnsi="Arial" w:cs="Arial"/>
      <w:b/>
      <w:lang w:val="en-GB"/>
    </w:rPr>
  </w:style>
  <w:style w:type="paragraph" w:customStyle="1" w:styleId="TH">
    <w:name w:val="TH"/>
    <w:basedOn w:val="Normal"/>
    <w:link w:val="THChar"/>
    <w:qFormat/>
    <w:rsid w:val="00487D9C"/>
    <w:pPr>
      <w:keepNext/>
      <w:keepLines/>
      <w:spacing w:before="60"/>
      <w:jc w:val="center"/>
    </w:pPr>
    <w:rPr>
      <w:rFonts w:ascii="Arial" w:eastAsiaTheme="minorHAnsi" w:hAnsi="Arial" w:cs="Arial"/>
      <w:b/>
      <w:sz w:val="22"/>
      <w:szCs w:val="22"/>
    </w:rPr>
  </w:style>
  <w:style w:type="paragraph" w:customStyle="1" w:styleId="TAH">
    <w:name w:val="TAH"/>
    <w:basedOn w:val="TAC"/>
    <w:link w:val="TAHCar"/>
    <w:uiPriority w:val="99"/>
    <w:qFormat/>
    <w:rsid w:val="00487D9C"/>
    <w:rPr>
      <w:b/>
    </w:rPr>
  </w:style>
  <w:style w:type="character" w:customStyle="1" w:styleId="TAHCar">
    <w:name w:val="TAH Car"/>
    <w:link w:val="TAH"/>
    <w:uiPriority w:val="99"/>
    <w:qFormat/>
    <w:locked/>
    <w:rsid w:val="00487D9C"/>
    <w:rPr>
      <w:rFonts w:ascii="Arial" w:hAnsi="Arial" w:cs="Arial"/>
      <w:b/>
      <w:sz w:val="18"/>
      <w:lang w:val="en-GB"/>
    </w:rPr>
  </w:style>
  <w:style w:type="character" w:customStyle="1" w:styleId="TANChar">
    <w:name w:val="TAN Char"/>
    <w:link w:val="TAN"/>
    <w:qFormat/>
    <w:locked/>
    <w:rsid w:val="009A2A38"/>
    <w:rPr>
      <w:rFonts w:ascii="Arial" w:hAnsi="Arial" w:cs="Arial"/>
      <w:sz w:val="18"/>
      <w:lang w:val="en-GB"/>
    </w:rPr>
  </w:style>
  <w:style w:type="paragraph" w:customStyle="1" w:styleId="TAN">
    <w:name w:val="TAN"/>
    <w:basedOn w:val="Normal"/>
    <w:link w:val="TANChar"/>
    <w:qFormat/>
    <w:rsid w:val="009A2A38"/>
    <w:pPr>
      <w:keepNext/>
      <w:keepLines/>
      <w:spacing w:after="0"/>
      <w:ind w:left="851" w:hanging="851"/>
    </w:pPr>
    <w:rPr>
      <w:rFonts w:ascii="Arial" w:eastAsiaTheme="minorHAnsi" w:hAnsi="Arial" w:cs="Arial"/>
      <w:sz w:val="18"/>
      <w:szCs w:val="22"/>
    </w:rPr>
  </w:style>
  <w:style w:type="character" w:customStyle="1" w:styleId="Heading3Char">
    <w:name w:val="Heading 3 Char"/>
    <w:basedOn w:val="DefaultParagraphFont"/>
    <w:link w:val="Heading3"/>
    <w:uiPriority w:val="9"/>
    <w:semiHidden/>
    <w:rsid w:val="00D5205F"/>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45704">
      <w:bodyDiv w:val="1"/>
      <w:marLeft w:val="0"/>
      <w:marRight w:val="0"/>
      <w:marTop w:val="0"/>
      <w:marBottom w:val="0"/>
      <w:divBdr>
        <w:top w:val="none" w:sz="0" w:space="0" w:color="auto"/>
        <w:left w:val="none" w:sz="0" w:space="0" w:color="auto"/>
        <w:bottom w:val="none" w:sz="0" w:space="0" w:color="auto"/>
        <w:right w:val="none" w:sz="0" w:space="0" w:color="auto"/>
      </w:divBdr>
    </w:div>
    <w:div w:id="319966507">
      <w:bodyDiv w:val="1"/>
      <w:marLeft w:val="0"/>
      <w:marRight w:val="0"/>
      <w:marTop w:val="0"/>
      <w:marBottom w:val="0"/>
      <w:divBdr>
        <w:top w:val="none" w:sz="0" w:space="0" w:color="auto"/>
        <w:left w:val="none" w:sz="0" w:space="0" w:color="auto"/>
        <w:bottom w:val="none" w:sz="0" w:space="0" w:color="auto"/>
        <w:right w:val="none" w:sz="0" w:space="0" w:color="auto"/>
      </w:divBdr>
      <w:divsChild>
        <w:div w:id="1959146364">
          <w:marLeft w:val="360"/>
          <w:marRight w:val="0"/>
          <w:marTop w:val="200"/>
          <w:marBottom w:val="0"/>
          <w:divBdr>
            <w:top w:val="none" w:sz="0" w:space="0" w:color="auto"/>
            <w:left w:val="none" w:sz="0" w:space="0" w:color="auto"/>
            <w:bottom w:val="none" w:sz="0" w:space="0" w:color="auto"/>
            <w:right w:val="none" w:sz="0" w:space="0" w:color="auto"/>
          </w:divBdr>
        </w:div>
        <w:div w:id="1305163162">
          <w:marLeft w:val="1080"/>
          <w:marRight w:val="0"/>
          <w:marTop w:val="100"/>
          <w:marBottom w:val="0"/>
          <w:divBdr>
            <w:top w:val="none" w:sz="0" w:space="0" w:color="auto"/>
            <w:left w:val="none" w:sz="0" w:space="0" w:color="auto"/>
            <w:bottom w:val="none" w:sz="0" w:space="0" w:color="auto"/>
            <w:right w:val="none" w:sz="0" w:space="0" w:color="auto"/>
          </w:divBdr>
        </w:div>
        <w:div w:id="1301230148">
          <w:marLeft w:val="1080"/>
          <w:marRight w:val="0"/>
          <w:marTop w:val="100"/>
          <w:marBottom w:val="0"/>
          <w:divBdr>
            <w:top w:val="none" w:sz="0" w:space="0" w:color="auto"/>
            <w:left w:val="none" w:sz="0" w:space="0" w:color="auto"/>
            <w:bottom w:val="none" w:sz="0" w:space="0" w:color="auto"/>
            <w:right w:val="none" w:sz="0" w:space="0" w:color="auto"/>
          </w:divBdr>
        </w:div>
        <w:div w:id="1305818066">
          <w:marLeft w:val="1080"/>
          <w:marRight w:val="0"/>
          <w:marTop w:val="100"/>
          <w:marBottom w:val="0"/>
          <w:divBdr>
            <w:top w:val="none" w:sz="0" w:space="0" w:color="auto"/>
            <w:left w:val="none" w:sz="0" w:space="0" w:color="auto"/>
            <w:bottom w:val="none" w:sz="0" w:space="0" w:color="auto"/>
            <w:right w:val="none" w:sz="0" w:space="0" w:color="auto"/>
          </w:divBdr>
        </w:div>
      </w:divsChild>
    </w:div>
    <w:div w:id="343485457">
      <w:bodyDiv w:val="1"/>
      <w:marLeft w:val="0"/>
      <w:marRight w:val="0"/>
      <w:marTop w:val="0"/>
      <w:marBottom w:val="0"/>
      <w:divBdr>
        <w:top w:val="none" w:sz="0" w:space="0" w:color="auto"/>
        <w:left w:val="none" w:sz="0" w:space="0" w:color="auto"/>
        <w:bottom w:val="none" w:sz="0" w:space="0" w:color="auto"/>
        <w:right w:val="none" w:sz="0" w:space="0" w:color="auto"/>
      </w:divBdr>
      <w:divsChild>
        <w:div w:id="312877531">
          <w:marLeft w:val="360"/>
          <w:marRight w:val="0"/>
          <w:marTop w:val="200"/>
          <w:marBottom w:val="0"/>
          <w:divBdr>
            <w:top w:val="none" w:sz="0" w:space="0" w:color="auto"/>
            <w:left w:val="none" w:sz="0" w:space="0" w:color="auto"/>
            <w:bottom w:val="none" w:sz="0" w:space="0" w:color="auto"/>
            <w:right w:val="none" w:sz="0" w:space="0" w:color="auto"/>
          </w:divBdr>
        </w:div>
        <w:div w:id="2027245567">
          <w:marLeft w:val="1080"/>
          <w:marRight w:val="0"/>
          <w:marTop w:val="100"/>
          <w:marBottom w:val="0"/>
          <w:divBdr>
            <w:top w:val="none" w:sz="0" w:space="0" w:color="auto"/>
            <w:left w:val="none" w:sz="0" w:space="0" w:color="auto"/>
            <w:bottom w:val="none" w:sz="0" w:space="0" w:color="auto"/>
            <w:right w:val="none" w:sz="0" w:space="0" w:color="auto"/>
          </w:divBdr>
        </w:div>
        <w:div w:id="825895451">
          <w:marLeft w:val="1080"/>
          <w:marRight w:val="0"/>
          <w:marTop w:val="100"/>
          <w:marBottom w:val="0"/>
          <w:divBdr>
            <w:top w:val="none" w:sz="0" w:space="0" w:color="auto"/>
            <w:left w:val="none" w:sz="0" w:space="0" w:color="auto"/>
            <w:bottom w:val="none" w:sz="0" w:space="0" w:color="auto"/>
            <w:right w:val="none" w:sz="0" w:space="0" w:color="auto"/>
          </w:divBdr>
        </w:div>
        <w:div w:id="419064533">
          <w:marLeft w:val="1080"/>
          <w:marRight w:val="0"/>
          <w:marTop w:val="100"/>
          <w:marBottom w:val="0"/>
          <w:divBdr>
            <w:top w:val="none" w:sz="0" w:space="0" w:color="auto"/>
            <w:left w:val="none" w:sz="0" w:space="0" w:color="auto"/>
            <w:bottom w:val="none" w:sz="0" w:space="0" w:color="auto"/>
            <w:right w:val="none" w:sz="0" w:space="0" w:color="auto"/>
          </w:divBdr>
        </w:div>
      </w:divsChild>
    </w:div>
    <w:div w:id="898052045">
      <w:bodyDiv w:val="1"/>
      <w:marLeft w:val="0"/>
      <w:marRight w:val="0"/>
      <w:marTop w:val="0"/>
      <w:marBottom w:val="0"/>
      <w:divBdr>
        <w:top w:val="none" w:sz="0" w:space="0" w:color="auto"/>
        <w:left w:val="none" w:sz="0" w:space="0" w:color="auto"/>
        <w:bottom w:val="none" w:sz="0" w:space="0" w:color="auto"/>
        <w:right w:val="none" w:sz="0" w:space="0" w:color="auto"/>
      </w:divBdr>
      <w:divsChild>
        <w:div w:id="1475946566">
          <w:marLeft w:val="360"/>
          <w:marRight w:val="0"/>
          <w:marTop w:val="200"/>
          <w:marBottom w:val="0"/>
          <w:divBdr>
            <w:top w:val="none" w:sz="0" w:space="0" w:color="auto"/>
            <w:left w:val="none" w:sz="0" w:space="0" w:color="auto"/>
            <w:bottom w:val="none" w:sz="0" w:space="0" w:color="auto"/>
            <w:right w:val="none" w:sz="0" w:space="0" w:color="auto"/>
          </w:divBdr>
        </w:div>
        <w:div w:id="123667887">
          <w:marLeft w:val="1080"/>
          <w:marRight w:val="0"/>
          <w:marTop w:val="100"/>
          <w:marBottom w:val="0"/>
          <w:divBdr>
            <w:top w:val="none" w:sz="0" w:space="0" w:color="auto"/>
            <w:left w:val="none" w:sz="0" w:space="0" w:color="auto"/>
            <w:bottom w:val="none" w:sz="0" w:space="0" w:color="auto"/>
            <w:right w:val="none" w:sz="0" w:space="0" w:color="auto"/>
          </w:divBdr>
        </w:div>
        <w:div w:id="1632130107">
          <w:marLeft w:val="1080"/>
          <w:marRight w:val="0"/>
          <w:marTop w:val="100"/>
          <w:marBottom w:val="0"/>
          <w:divBdr>
            <w:top w:val="none" w:sz="0" w:space="0" w:color="auto"/>
            <w:left w:val="none" w:sz="0" w:space="0" w:color="auto"/>
            <w:bottom w:val="none" w:sz="0" w:space="0" w:color="auto"/>
            <w:right w:val="none" w:sz="0" w:space="0" w:color="auto"/>
          </w:divBdr>
        </w:div>
        <w:div w:id="1620530333">
          <w:marLeft w:val="1080"/>
          <w:marRight w:val="0"/>
          <w:marTop w:val="100"/>
          <w:marBottom w:val="0"/>
          <w:divBdr>
            <w:top w:val="none" w:sz="0" w:space="0" w:color="auto"/>
            <w:left w:val="none" w:sz="0" w:space="0" w:color="auto"/>
            <w:bottom w:val="none" w:sz="0" w:space="0" w:color="auto"/>
            <w:right w:val="none" w:sz="0" w:space="0" w:color="auto"/>
          </w:divBdr>
        </w:div>
      </w:divsChild>
    </w:div>
    <w:div w:id="1170482299">
      <w:bodyDiv w:val="1"/>
      <w:marLeft w:val="0"/>
      <w:marRight w:val="0"/>
      <w:marTop w:val="0"/>
      <w:marBottom w:val="0"/>
      <w:divBdr>
        <w:top w:val="none" w:sz="0" w:space="0" w:color="auto"/>
        <w:left w:val="none" w:sz="0" w:space="0" w:color="auto"/>
        <w:bottom w:val="none" w:sz="0" w:space="0" w:color="auto"/>
        <w:right w:val="none" w:sz="0" w:space="0" w:color="auto"/>
      </w:divBdr>
    </w:div>
    <w:div w:id="1266694621">
      <w:bodyDiv w:val="1"/>
      <w:marLeft w:val="0"/>
      <w:marRight w:val="0"/>
      <w:marTop w:val="0"/>
      <w:marBottom w:val="0"/>
      <w:divBdr>
        <w:top w:val="none" w:sz="0" w:space="0" w:color="auto"/>
        <w:left w:val="none" w:sz="0" w:space="0" w:color="auto"/>
        <w:bottom w:val="none" w:sz="0" w:space="0" w:color="auto"/>
        <w:right w:val="none" w:sz="0" w:space="0" w:color="auto"/>
      </w:divBdr>
    </w:div>
    <w:div w:id="1606694152">
      <w:bodyDiv w:val="1"/>
      <w:marLeft w:val="0"/>
      <w:marRight w:val="0"/>
      <w:marTop w:val="0"/>
      <w:marBottom w:val="0"/>
      <w:divBdr>
        <w:top w:val="none" w:sz="0" w:space="0" w:color="auto"/>
        <w:left w:val="none" w:sz="0" w:space="0" w:color="auto"/>
        <w:bottom w:val="none" w:sz="0" w:space="0" w:color="auto"/>
        <w:right w:val="none" w:sz="0" w:space="0" w:color="auto"/>
      </w:divBdr>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7388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2D45432-5130-4D4E-9BED-77172B151236}">
  <ds:schemaRefs>
    <ds:schemaRef ds:uri="http://schemas.openxmlformats.org/officeDocument/2006/bibliography"/>
  </ds:schemaRefs>
</ds:datastoreItem>
</file>

<file path=customXml/itemProps3.xml><?xml version="1.0" encoding="utf-8"?>
<ds:datastoreItem xmlns:ds="http://schemas.openxmlformats.org/officeDocument/2006/customXml" ds:itemID="{1449A45F-2525-4A45-99C8-0590B836B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870BD1-80CD-4909-A5A3-40C0DDDC6E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1209</TotalTime>
  <Pages>3</Pages>
  <Words>1303</Words>
  <Characters>7430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TMUS</cp:lastModifiedBy>
  <cp:revision>106</cp:revision>
  <dcterms:created xsi:type="dcterms:W3CDTF">2021-10-05T20:52:00Z</dcterms:created>
  <dcterms:modified xsi:type="dcterms:W3CDTF">2021-10-22T21:53:00Z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(2)GpFFxGUoAeBPFwC/qcmqEHNQHa3+VOkYkqM/T2snKKddB7nYOopjDmiRW+N0DM6B5ZrQZpjp
ePk9IPxU2M6+9oWS7R2nWziE6rVzvPvjFrnfsZydXmTeXd1ogiF0Z/ka8eP3Hq4fzKRZ7Ike
qJ5q1aKIR2IDhcp7Up8fLoqjBtwc34z0AZ9g/y16T/HwdGCSjcXsq+V0uhXJwbzxaqVC352L
aVcxBXA2uErWLxB3ut</vt:lpwstr>
  </property>
  <property fmtid="{D5CDD505-2E9C-101B-9397-08002B2CF9AE}" pid="4" name="_2015_ms_pID_7253431">
    <vt:lpwstr>nohdOnNRou0VLtTWe9kjgaJtPNht+5Rb+mA40bA7uSfCql0qXloWhU
fy3bt6bU3KUcpTksnvXWXh7jkYQUOiBCKqNQVntmdEOUHZa2Rj34TOxT5NsH8cPDcXWNsjEt
/TwAkBkCVhXx2iZS+b7nFCK4tOCB4xtjJUPiUZ3rge4sHtQMbEAuVu99RXA8oKecT9NUeP/k
aOXT80MDCa+bUyd9</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1629767607</vt:lpwstr>
  </property>
</Properties>
</file>