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79082E">
        <w:rPr>
          <w:rFonts w:ascii="Arial" w:hAnsi="Arial" w:cs="Arial"/>
          <w:b/>
          <w:sz w:val="24"/>
          <w:lang w:val="en-US" w:eastAsia="zh-CN"/>
        </w:rPr>
        <w:t>1</w:t>
      </w:r>
      <w:r w:rsidR="00046F36">
        <w:rPr>
          <w:rFonts w:ascii="Arial" w:hAnsi="Arial" w:cs="Arial"/>
          <w:b/>
          <w:sz w:val="24"/>
          <w:lang w:val="en-US" w:eastAsia="zh-CN"/>
        </w:rPr>
        <w:t>-e</w:t>
      </w:r>
      <w:r w:rsidRPr="005E5BB3">
        <w:rPr>
          <w:rFonts w:ascii="Arial" w:hAnsi="Arial" w:cs="Arial"/>
          <w:b/>
          <w:i/>
          <w:sz w:val="24"/>
          <w:lang w:eastAsia="zh-CN"/>
        </w:rPr>
        <w:tab/>
      </w:r>
      <w:r w:rsidR="00444336" w:rsidRPr="00444336">
        <w:rPr>
          <w:rFonts w:ascii="Arial" w:hAnsi="Arial" w:cs="Arial"/>
          <w:b/>
          <w:sz w:val="24"/>
          <w:lang w:val="en-US" w:eastAsia="zh-CN"/>
        </w:rPr>
        <w:t>R4-2119364</w:t>
      </w:r>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C325E8">
        <w:rPr>
          <w:rFonts w:cs="Arial"/>
          <w:noProof w:val="0"/>
          <w:sz w:val="24"/>
          <w:lang w:val="en-GB"/>
        </w:rPr>
        <w:t>1</w:t>
      </w:r>
      <w:r w:rsidR="005C73D4">
        <w:rPr>
          <w:rFonts w:cs="Arial"/>
          <w:noProof w:val="0"/>
          <w:sz w:val="24"/>
          <w:lang w:val="en-GB"/>
        </w:rPr>
        <w:t xml:space="preserve"> – </w:t>
      </w:r>
      <w:r w:rsidR="00C325E8">
        <w:rPr>
          <w:rFonts w:cs="Arial"/>
          <w:noProof w:val="0"/>
          <w:sz w:val="24"/>
          <w:lang w:val="en-GB"/>
        </w:rPr>
        <w:t>12</w:t>
      </w:r>
      <w:r w:rsidR="003876DB">
        <w:rPr>
          <w:rFonts w:cs="Arial"/>
          <w:noProof w:val="0"/>
          <w:sz w:val="24"/>
          <w:lang w:val="en-GB"/>
        </w:rPr>
        <w:t xml:space="preserve"> </w:t>
      </w:r>
      <w:r w:rsidR="00C325E8">
        <w:rPr>
          <w:rFonts w:cs="Arial"/>
          <w:noProof w:val="0"/>
          <w:sz w:val="24"/>
          <w:lang w:val="en-GB"/>
        </w:rPr>
        <w:t>November</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6376C" w:rsidRPr="0066376C">
        <w:rPr>
          <w:rFonts w:ascii="Arial" w:eastAsia="宋体" w:hAnsi="Arial"/>
          <w:b/>
          <w:sz w:val="24"/>
          <w:lang w:val="en-US" w:eastAsia="zh-CN"/>
        </w:rPr>
        <w:t>Initial discussion on RRM impacts of SDT</w:t>
      </w:r>
      <w:r w:rsidR="00C22611" w:rsidRPr="00C22611">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66376C">
        <w:rPr>
          <w:rFonts w:ascii="Arial" w:eastAsia="宋体" w:hAnsi="Arial"/>
          <w:b/>
          <w:sz w:val="24"/>
          <w:lang w:val="en-US" w:eastAsia="zh-CN"/>
        </w:rPr>
        <w:t>8.25.2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79082E">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AA15C7" w:rsidRDefault="0066376C" w:rsidP="002A0F53">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The </w:t>
      </w:r>
      <w:r w:rsidR="00410E84">
        <w:rPr>
          <w:rFonts w:eastAsia="宋体"/>
          <w:lang w:eastAsia="zh-CN"/>
        </w:rPr>
        <w:t xml:space="preserve">Rel-17 </w:t>
      </w:r>
      <w:r>
        <w:rPr>
          <w:rFonts w:eastAsia="宋体"/>
          <w:lang w:eastAsia="zh-CN"/>
        </w:rPr>
        <w:t xml:space="preserve">WI of </w:t>
      </w:r>
      <w:r w:rsidRPr="0066376C">
        <w:rPr>
          <w:rFonts w:eastAsia="宋体"/>
          <w:lang w:eastAsia="zh-CN"/>
        </w:rPr>
        <w:t>small</w:t>
      </w:r>
      <w:r>
        <w:rPr>
          <w:rFonts w:eastAsia="宋体"/>
          <w:lang w:eastAsia="zh-CN"/>
        </w:rPr>
        <w:t xml:space="preserve"> </w:t>
      </w:r>
      <w:r w:rsidRPr="0066376C">
        <w:rPr>
          <w:rFonts w:eastAsia="宋体"/>
          <w:lang w:eastAsia="zh-CN"/>
        </w:rPr>
        <w:t>data transmissions in INACTIVE state</w:t>
      </w:r>
      <w:r>
        <w:rPr>
          <w:rFonts w:eastAsia="宋体"/>
          <w:lang w:eastAsia="zh-CN"/>
        </w:rPr>
        <w:t xml:space="preserve"> [1]</w:t>
      </w:r>
      <w:r w:rsidR="00410E84">
        <w:rPr>
          <w:rFonts w:eastAsia="宋体"/>
          <w:lang w:eastAsia="zh-CN"/>
        </w:rPr>
        <w:t xml:space="preserve"> has been started since August 2020, with RAN4 related objective in the WID as follows. </w:t>
      </w:r>
    </w:p>
    <w:tbl>
      <w:tblPr>
        <w:tblStyle w:val="af4"/>
        <w:tblW w:w="0" w:type="auto"/>
        <w:tblLook w:val="04A0" w:firstRow="1" w:lastRow="0" w:firstColumn="1" w:lastColumn="0" w:noHBand="0" w:noVBand="1"/>
      </w:tblPr>
      <w:tblGrid>
        <w:gridCol w:w="9621"/>
      </w:tblGrid>
      <w:tr w:rsidR="00410E84" w:rsidTr="00410E84">
        <w:tc>
          <w:tcPr>
            <w:tcW w:w="9621" w:type="dxa"/>
          </w:tcPr>
          <w:p w:rsidR="00410E84" w:rsidRPr="00410E84" w:rsidRDefault="00410E84" w:rsidP="00410E84">
            <w:pPr>
              <w:widowControl w:val="0"/>
              <w:numPr>
                <w:ilvl w:val="1"/>
                <w:numId w:val="29"/>
              </w:numPr>
              <w:overflowPunct w:val="0"/>
              <w:autoSpaceDE w:val="0"/>
              <w:autoSpaceDN w:val="0"/>
              <w:adjustRightInd w:val="0"/>
              <w:spacing w:beforeLines="0" w:before="0" w:afterLines="0" w:after="160" w:line="259" w:lineRule="auto"/>
              <w:jc w:val="both"/>
              <w:textAlignment w:val="baseline"/>
              <w:rPr>
                <w:rFonts w:eastAsia="宋体"/>
                <w:szCs w:val="22"/>
                <w:lang w:val="en-US" w:eastAsia="zh-CN"/>
              </w:rPr>
            </w:pPr>
            <w:r w:rsidRPr="00410E84">
              <w:rPr>
                <w:rFonts w:eastAsia="宋体"/>
                <w:szCs w:val="22"/>
                <w:lang w:val="en-US" w:eastAsia="zh-CN"/>
              </w:rPr>
              <w:t>Specify RRM core requirements for small data transmission in RRC_INACTIVE, if needed [RAN4]</w:t>
            </w:r>
          </w:p>
        </w:tc>
      </w:tr>
    </w:tbl>
    <w:p w:rsidR="00410E84" w:rsidRPr="00410E84" w:rsidRDefault="00410E84" w:rsidP="002A0F53">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As this is the first meeting for RAN4 to discuss the impacts of SDT, in this paper, we will first share our understanding about the basic framework of SDT as defined by RAN2. We will also share our views on the possible RRM impacts due to SDT.</w:t>
      </w:r>
    </w:p>
    <w:p w:rsidR="00754DE9" w:rsidRDefault="00B06084" w:rsidP="00754DE9">
      <w:pPr>
        <w:pStyle w:val="1"/>
        <w:jc w:val="both"/>
        <w:rPr>
          <w:lang w:val="en-US"/>
        </w:rPr>
      </w:pPr>
      <w:r>
        <w:rPr>
          <w:lang w:val="en-US"/>
        </w:rPr>
        <w:t>Discussion</w:t>
      </w:r>
    </w:p>
    <w:p w:rsidR="00410E84" w:rsidRPr="00410E84" w:rsidRDefault="00410E84" w:rsidP="00410E84">
      <w:pPr>
        <w:pStyle w:val="2"/>
        <w:rPr>
          <w:lang w:val="en-US" w:eastAsia="zh-CN"/>
        </w:rPr>
      </w:pPr>
      <w:r>
        <w:rPr>
          <w:lang w:val="en-US" w:eastAsia="zh-CN"/>
        </w:rPr>
        <w:t xml:space="preserve">Basic </w:t>
      </w:r>
      <w:r>
        <w:rPr>
          <w:rFonts w:hint="eastAsia"/>
          <w:lang w:val="en-US" w:eastAsia="zh-CN"/>
        </w:rPr>
        <w:t>S</w:t>
      </w:r>
      <w:r>
        <w:rPr>
          <w:lang w:val="en-US" w:eastAsia="zh-CN"/>
        </w:rPr>
        <w:t>DT framework</w:t>
      </w:r>
    </w:p>
    <w:p w:rsidR="00410E84" w:rsidRDefault="00410E84" w:rsidP="00410E84">
      <w:pPr>
        <w:spacing w:before="120" w:after="120"/>
        <w:rPr>
          <w:rFonts w:eastAsiaTheme="minorEastAsia"/>
          <w:lang w:val="en-US" w:eastAsia="zh-CN"/>
        </w:rPr>
      </w:pPr>
      <w:r>
        <w:rPr>
          <w:rFonts w:eastAsiaTheme="minorEastAsia"/>
          <w:lang w:val="en-US" w:eastAsia="zh-CN"/>
        </w:rPr>
        <w:t>SDT is a procedure enabling UE to transmit UL data</w:t>
      </w:r>
      <w:r w:rsidR="00E762D2">
        <w:rPr>
          <w:rFonts w:eastAsiaTheme="minorEastAsia"/>
          <w:lang w:val="en-US" w:eastAsia="zh-CN"/>
        </w:rPr>
        <w:t xml:space="preserve">, as well as to receive subsequent DL data, </w:t>
      </w:r>
      <w:r>
        <w:rPr>
          <w:rFonts w:eastAsiaTheme="minorEastAsia"/>
          <w:lang w:val="en-US" w:eastAsia="zh-CN"/>
        </w:rPr>
        <w:t xml:space="preserve">while </w:t>
      </w:r>
      <w:r w:rsidR="00E762D2">
        <w:rPr>
          <w:rFonts w:eastAsiaTheme="minorEastAsia"/>
          <w:lang w:val="en-US" w:eastAsia="zh-CN"/>
        </w:rPr>
        <w:t>staying in Inactive state. Two kinds of SDT schemes are defined, one is based on RACH resources (RA-SDT), and the other is based on configured grant resources (CG-SDT).</w:t>
      </w:r>
    </w:p>
    <w:p w:rsidR="00E762D2" w:rsidRDefault="00E762D2" w:rsidP="00AE7511">
      <w:pPr>
        <w:pStyle w:val="30"/>
        <w:rPr>
          <w:lang w:val="en-US" w:eastAsia="zh-CN"/>
        </w:rPr>
      </w:pPr>
      <w:r>
        <w:rPr>
          <w:lang w:val="en-US" w:eastAsia="zh-CN"/>
        </w:rPr>
        <w:t>Initial transmission</w:t>
      </w:r>
    </w:p>
    <w:tbl>
      <w:tblPr>
        <w:tblStyle w:val="af4"/>
        <w:tblW w:w="0" w:type="auto"/>
        <w:tblLook w:val="04A0" w:firstRow="1" w:lastRow="0" w:firstColumn="1" w:lastColumn="0" w:noHBand="0" w:noVBand="1"/>
      </w:tblPr>
      <w:tblGrid>
        <w:gridCol w:w="9621"/>
      </w:tblGrid>
      <w:tr w:rsidR="00F92AAC" w:rsidTr="00F92AAC">
        <w:tc>
          <w:tcPr>
            <w:tcW w:w="9621" w:type="dxa"/>
          </w:tcPr>
          <w:p w:rsidR="00BB3A19" w:rsidRPr="00BB3A19" w:rsidRDefault="00BB3A19" w:rsidP="00AE7511">
            <w:pPr>
              <w:spacing w:beforeLines="0" w:before="0" w:afterLines="0" w:after="180"/>
              <w:rPr>
                <w:rFonts w:eastAsia="宋体"/>
                <w:b/>
                <w:sz w:val="20"/>
              </w:rPr>
            </w:pPr>
            <w:r w:rsidRPr="00BB3A19">
              <w:rPr>
                <w:rFonts w:eastAsiaTheme="minorEastAsia"/>
                <w:b/>
                <w:lang w:val="en-US" w:eastAsia="zh-CN"/>
              </w:rPr>
              <w:t>RAN2#113bis-e</w:t>
            </w:r>
          </w:p>
          <w:p w:rsidR="00AE7511" w:rsidRPr="00AE7511" w:rsidRDefault="00AE7511" w:rsidP="00AE7511">
            <w:pPr>
              <w:spacing w:beforeLines="0" w:before="0" w:afterLines="0" w:after="180"/>
              <w:rPr>
                <w:rFonts w:eastAsia="宋体"/>
                <w:sz w:val="20"/>
              </w:rPr>
            </w:pPr>
            <w:r w:rsidRPr="00AE7511">
              <w:rPr>
                <w:rFonts w:eastAsia="宋体"/>
                <w:sz w:val="20"/>
              </w:rPr>
              <w:t>1</w:t>
            </w:r>
            <w:r w:rsidRPr="00AE7511">
              <w:rPr>
                <w:rFonts w:eastAsia="宋体"/>
                <w:sz w:val="20"/>
              </w:rPr>
              <w:tab/>
              <w:t>RSRP threshold is used to select between SDT and non-SDT procedure, if configured (RSRP refers to the same RSRP measured for carrier selection).</w:t>
            </w:r>
          </w:p>
          <w:p w:rsidR="00AE7511" w:rsidRPr="00AE7511" w:rsidRDefault="00AE7511" w:rsidP="00AE7511">
            <w:pPr>
              <w:spacing w:beforeLines="0" w:before="0" w:afterLines="0" w:after="180"/>
              <w:rPr>
                <w:rFonts w:eastAsia="宋体"/>
                <w:sz w:val="20"/>
              </w:rPr>
            </w:pPr>
            <w:r w:rsidRPr="00AE7511">
              <w:rPr>
                <w:rFonts w:eastAsia="宋体"/>
                <w:sz w:val="20"/>
              </w:rPr>
              <w:t>2</w:t>
            </w:r>
            <w:r w:rsidRPr="00AE7511">
              <w:rPr>
                <w:rFonts w:eastAsia="宋体"/>
                <w:sz w:val="20"/>
              </w:rPr>
              <w:tab/>
              <w:t>RSRP threshold to select between SDT and non-SDT procedure is used for both CG-SDT and RA-SDT</w:t>
            </w:r>
          </w:p>
          <w:p w:rsidR="00AE7511" w:rsidRPr="00AE7511" w:rsidRDefault="00AE7511" w:rsidP="00AE7511">
            <w:pPr>
              <w:spacing w:beforeLines="0" w:before="0" w:afterLines="0" w:after="180"/>
              <w:rPr>
                <w:rFonts w:eastAsia="宋体"/>
                <w:sz w:val="20"/>
              </w:rPr>
            </w:pPr>
            <w:r w:rsidRPr="00AE7511">
              <w:rPr>
                <w:rFonts w:eastAsia="宋体"/>
                <w:sz w:val="20"/>
              </w:rPr>
              <w:t>3</w:t>
            </w:r>
            <w:r w:rsidRPr="00AE7511">
              <w:rPr>
                <w:rFonts w:eastAsia="宋体"/>
                <w:sz w:val="20"/>
              </w:rPr>
              <w:tab/>
              <w:t>RSRP threshold to select between SDT and non-SDT procedure is same for both CG-SDT and RA-SDT</w:t>
            </w:r>
          </w:p>
          <w:p w:rsidR="00AE7511" w:rsidRPr="00947EA9" w:rsidRDefault="00AE7511" w:rsidP="00AE7511">
            <w:pPr>
              <w:spacing w:before="120" w:after="120"/>
              <w:rPr>
                <w:sz w:val="20"/>
              </w:rPr>
            </w:pPr>
            <w:r w:rsidRPr="00947EA9">
              <w:rPr>
                <w:sz w:val="20"/>
              </w:rPr>
              <w:t>8</w:t>
            </w:r>
            <w:r w:rsidRPr="00947EA9">
              <w:rPr>
                <w:sz w:val="20"/>
              </w:rPr>
              <w:tab/>
              <w:t xml:space="preserve">FFS on the order and missing pieces (e.g. failure, </w:t>
            </w:r>
            <w:proofErr w:type="spellStart"/>
            <w:r w:rsidRPr="00947EA9">
              <w:rPr>
                <w:sz w:val="20"/>
              </w:rPr>
              <w:t>fallback</w:t>
            </w:r>
            <w:proofErr w:type="spellEnd"/>
            <w:r w:rsidRPr="00947EA9">
              <w:rPr>
                <w:sz w:val="20"/>
              </w:rPr>
              <w:t>) of the high level procedure.  The details of the procedures are left for stage 3.  FFS on the procedure below, but copied for information.</w:t>
            </w:r>
          </w:p>
          <w:p w:rsidR="00F92AAC" w:rsidRPr="00F92AAC" w:rsidRDefault="00947EA9" w:rsidP="00F92AAC">
            <w:pPr>
              <w:spacing w:beforeLines="0" w:before="0" w:afterLines="0" w:after="180"/>
              <w:rPr>
                <w:rFonts w:eastAsia="宋体"/>
                <w:sz w:val="20"/>
              </w:rPr>
            </w:pPr>
            <w:r w:rsidRPr="00F92AAC">
              <w:rPr>
                <w:rFonts w:eastAsia="宋体"/>
                <w:sz w:val="20"/>
              </w:rPr>
              <w:tab/>
            </w:r>
            <w:r>
              <w:rPr>
                <w:rFonts w:eastAsia="宋体"/>
                <w:sz w:val="20"/>
              </w:rPr>
              <w:t>A</w:t>
            </w:r>
            <w:r w:rsidRPr="00F92AAC">
              <w:rPr>
                <w:rFonts w:eastAsia="宋体"/>
                <w:sz w:val="20"/>
              </w:rPr>
              <w:t>.</w:t>
            </w:r>
            <w:r w:rsidR="00F92AAC" w:rsidRPr="00F92AAC">
              <w:rPr>
                <w:rFonts w:eastAsia="宋体"/>
                <w:sz w:val="20"/>
              </w:rPr>
              <w:t xml:space="preserve"> Upon arrival of data only for DRB/SRB(s) for which SDT is enabled, the high level procedure for selection between SDT and non SDT procedure is as follows:</w:t>
            </w:r>
          </w:p>
          <w:p w:rsidR="00F92AAC" w:rsidRPr="00F92AAC" w:rsidRDefault="00F92AAC" w:rsidP="00F92AAC">
            <w:pPr>
              <w:spacing w:beforeLines="0" w:before="0" w:afterLines="0" w:after="180"/>
              <w:ind w:left="284"/>
              <w:rPr>
                <w:rFonts w:eastAsia="宋体"/>
                <w:sz w:val="20"/>
              </w:rPr>
            </w:pPr>
            <w:r w:rsidRPr="00F92AAC">
              <w:rPr>
                <w:rFonts w:eastAsia="宋体"/>
                <w:sz w:val="20"/>
              </w:rPr>
              <w:tab/>
              <w:t>If CG-SDT criteria is met: UE selects CG-SDT. UE initiate SDT procedure</w:t>
            </w:r>
          </w:p>
          <w:p w:rsidR="00F92AAC" w:rsidRPr="00F92AAC" w:rsidRDefault="00F92AAC" w:rsidP="00F92AAC">
            <w:pPr>
              <w:spacing w:beforeLines="0" w:before="0" w:afterLines="0" w:after="180"/>
              <w:ind w:left="284"/>
              <w:rPr>
                <w:rFonts w:eastAsia="宋体"/>
                <w:sz w:val="20"/>
              </w:rPr>
            </w:pPr>
            <w:r w:rsidRPr="00F92AAC">
              <w:rPr>
                <w:rFonts w:eastAsia="宋体"/>
                <w:sz w:val="20"/>
              </w:rPr>
              <w:tab/>
              <w:t>Else if RA-SDT criteria is met: UE selects RA-SDT. UE initiate SDT procedure</w:t>
            </w:r>
          </w:p>
          <w:p w:rsidR="00F92AAC" w:rsidRPr="00F92AAC" w:rsidRDefault="00F92AAC" w:rsidP="00F92AAC">
            <w:pPr>
              <w:spacing w:beforeLines="0" w:before="0" w:afterLines="0" w:after="180"/>
              <w:ind w:left="284"/>
              <w:rPr>
                <w:rFonts w:eastAsia="宋体"/>
                <w:sz w:val="20"/>
              </w:rPr>
            </w:pPr>
            <w:r w:rsidRPr="00F92AAC">
              <w:rPr>
                <w:rFonts w:eastAsia="宋体"/>
                <w:sz w:val="20"/>
              </w:rPr>
              <w:tab/>
              <w:t>Else: UE initiate non SDT procedure.</w:t>
            </w:r>
          </w:p>
          <w:p w:rsidR="00F92AAC" w:rsidRPr="00F92AAC" w:rsidRDefault="00F92AAC" w:rsidP="00F92AAC">
            <w:pPr>
              <w:spacing w:beforeLines="0" w:before="0" w:afterLines="0" w:after="180"/>
              <w:rPr>
                <w:rFonts w:eastAsia="宋体"/>
                <w:sz w:val="20"/>
              </w:rPr>
            </w:pPr>
            <w:r w:rsidRPr="00F92AAC">
              <w:rPr>
                <w:rFonts w:eastAsia="宋体"/>
                <w:sz w:val="20"/>
              </w:rPr>
              <w:tab/>
              <w:t>B. CG-SDT criteria is considered met, if all of the following conditions are met,</w:t>
            </w:r>
          </w:p>
          <w:p w:rsidR="00F92AAC" w:rsidRPr="00F92AAC" w:rsidRDefault="00F92AAC" w:rsidP="00F92AAC">
            <w:pPr>
              <w:spacing w:beforeLines="0" w:before="0" w:afterLines="0" w:after="180"/>
              <w:ind w:left="568"/>
              <w:rPr>
                <w:rFonts w:eastAsia="宋体"/>
                <w:sz w:val="20"/>
              </w:rPr>
            </w:pPr>
            <w:r w:rsidRPr="00F92AAC">
              <w:rPr>
                <w:rFonts w:eastAsia="宋体"/>
                <w:sz w:val="20"/>
              </w:rPr>
              <w:t>1) available data volume &lt;= data volume threshold</w:t>
            </w:r>
          </w:p>
          <w:p w:rsidR="00F92AAC" w:rsidRPr="00F92AAC" w:rsidRDefault="00F92AAC" w:rsidP="00F92AAC">
            <w:pPr>
              <w:spacing w:beforeLines="0" w:before="0" w:afterLines="0" w:after="180"/>
              <w:ind w:left="568"/>
              <w:rPr>
                <w:rFonts w:eastAsia="宋体"/>
                <w:sz w:val="20"/>
              </w:rPr>
            </w:pPr>
            <w:r w:rsidRPr="00F92AAC">
              <w:rPr>
                <w:rFonts w:eastAsia="宋体"/>
                <w:sz w:val="20"/>
              </w:rPr>
              <w:t>2) RSRP is greater than or equal to a configured threshold</w:t>
            </w:r>
          </w:p>
          <w:p w:rsidR="00F92AAC" w:rsidRPr="00947EA9" w:rsidRDefault="00F92AAC" w:rsidP="00F92AAC">
            <w:pPr>
              <w:spacing w:beforeLines="0" w:before="0" w:afterLines="0" w:after="180"/>
              <w:ind w:left="568"/>
              <w:rPr>
                <w:rFonts w:eastAsia="宋体"/>
                <w:sz w:val="20"/>
              </w:rPr>
            </w:pPr>
            <w:r w:rsidRPr="00F92AAC">
              <w:rPr>
                <w:rFonts w:eastAsia="宋体"/>
                <w:sz w:val="20"/>
              </w:rPr>
              <w:lastRenderedPageBreak/>
              <w:t>FFS 3) CG-SDT resources are configured on the selected UL carrier and are valid</w:t>
            </w:r>
          </w:p>
          <w:p w:rsidR="00F92AAC" w:rsidRPr="00F92AAC" w:rsidRDefault="00F92AAC" w:rsidP="00F92AAC">
            <w:pPr>
              <w:spacing w:beforeLines="0" w:before="0" w:afterLines="0" w:after="180"/>
              <w:ind w:leftChars="100" w:left="220"/>
              <w:rPr>
                <w:rFonts w:eastAsia="宋体"/>
                <w:sz w:val="20"/>
              </w:rPr>
            </w:pPr>
            <w:r w:rsidRPr="00F92AAC">
              <w:rPr>
                <w:rFonts w:eastAsia="宋体"/>
                <w:sz w:val="20"/>
              </w:rPr>
              <w:tab/>
            </w:r>
            <w:r w:rsidRPr="00947EA9">
              <w:rPr>
                <w:rFonts w:eastAsia="宋体"/>
                <w:sz w:val="20"/>
              </w:rPr>
              <w:t>C</w:t>
            </w:r>
            <w:r w:rsidRPr="00F92AAC">
              <w:rPr>
                <w:rFonts w:eastAsia="宋体"/>
                <w:sz w:val="20"/>
              </w:rPr>
              <w:t>. RA-SDT criteria is considered met, if all of the following conditions are met,</w:t>
            </w:r>
          </w:p>
          <w:p w:rsidR="00F92AAC" w:rsidRPr="00F92AAC" w:rsidRDefault="00F92AAC" w:rsidP="00F92AAC">
            <w:pPr>
              <w:spacing w:beforeLines="0" w:before="0" w:afterLines="0" w:after="180"/>
              <w:ind w:left="568"/>
              <w:rPr>
                <w:rFonts w:eastAsia="宋体"/>
                <w:sz w:val="20"/>
              </w:rPr>
            </w:pPr>
            <w:r w:rsidRPr="00F92AAC">
              <w:rPr>
                <w:rFonts w:eastAsia="宋体"/>
                <w:sz w:val="20"/>
              </w:rPr>
              <w:t>1) available data volume &lt;= data volume threshold</w:t>
            </w:r>
          </w:p>
          <w:p w:rsidR="00F92AAC" w:rsidRPr="00F92AAC" w:rsidRDefault="00F92AAC" w:rsidP="00F92AAC">
            <w:pPr>
              <w:spacing w:beforeLines="0" w:before="0" w:afterLines="0" w:after="180"/>
              <w:ind w:left="568"/>
              <w:rPr>
                <w:rFonts w:eastAsia="宋体"/>
                <w:sz w:val="20"/>
              </w:rPr>
            </w:pPr>
            <w:r w:rsidRPr="00F92AAC">
              <w:rPr>
                <w:rFonts w:eastAsia="宋体"/>
                <w:sz w:val="20"/>
              </w:rPr>
              <w:t>2) RSRP is greater than or equal to a configured threshold</w:t>
            </w:r>
          </w:p>
          <w:p w:rsidR="00F92AAC" w:rsidRPr="00F92AAC" w:rsidRDefault="00F92AAC" w:rsidP="00F92AAC">
            <w:pPr>
              <w:spacing w:beforeLines="0" w:before="0" w:afterLines="0" w:after="180"/>
              <w:ind w:left="568"/>
              <w:rPr>
                <w:rFonts w:eastAsia="宋体"/>
                <w:sz w:val="20"/>
              </w:rPr>
            </w:pPr>
            <w:r w:rsidRPr="00F92AAC">
              <w:rPr>
                <w:rFonts w:eastAsia="宋体"/>
                <w:sz w:val="20"/>
              </w:rPr>
              <w:t>3) 4 step RA-SDT resources are configured on the selected UL carrier and criteria to select 4 step RA SDT is met; or 2 step RA-SDT resources are configured on the selected UL carrier and criteria to select 2 step RA SDT is met</w:t>
            </w:r>
          </w:p>
        </w:tc>
      </w:tr>
    </w:tbl>
    <w:p w:rsidR="00E762D2" w:rsidRDefault="00E762D2" w:rsidP="00410E84">
      <w:pPr>
        <w:spacing w:before="120" w:after="120"/>
        <w:rPr>
          <w:rFonts w:eastAsiaTheme="minorEastAsia"/>
          <w:lang w:val="en-US" w:eastAsia="zh-CN"/>
        </w:rPr>
      </w:pPr>
      <w:r>
        <w:rPr>
          <w:rFonts w:eastAsiaTheme="minorEastAsia"/>
          <w:lang w:val="en-US" w:eastAsia="zh-CN"/>
        </w:rPr>
        <w:lastRenderedPageBreak/>
        <w:t xml:space="preserve">UE in Inactive state can use the SDT resources for initial UL data transmission </w:t>
      </w:r>
      <w:r w:rsidR="00BB3A19">
        <w:rPr>
          <w:rFonts w:eastAsiaTheme="minorEastAsia"/>
          <w:lang w:val="en-US" w:eastAsia="zh-CN"/>
        </w:rPr>
        <w:t>when the following conditions are met:</w:t>
      </w:r>
    </w:p>
    <w:p w:rsidR="00E762D2" w:rsidRDefault="00E762D2" w:rsidP="00E762D2">
      <w:pPr>
        <w:pStyle w:val="af8"/>
        <w:numPr>
          <w:ilvl w:val="0"/>
          <w:numId w:val="29"/>
        </w:numPr>
        <w:spacing w:before="120" w:after="120"/>
        <w:rPr>
          <w:rFonts w:eastAsiaTheme="minorEastAsia"/>
          <w:lang w:eastAsia="zh-CN"/>
        </w:rPr>
      </w:pPr>
      <w:r>
        <w:rPr>
          <w:rFonts w:eastAsiaTheme="minorEastAsia"/>
          <w:lang w:eastAsia="zh-CN"/>
        </w:rPr>
        <w:t>Data volume is smaller than a threshold</w:t>
      </w:r>
    </w:p>
    <w:p w:rsidR="00E762D2" w:rsidRDefault="00E762D2" w:rsidP="00E762D2">
      <w:pPr>
        <w:pStyle w:val="af8"/>
        <w:numPr>
          <w:ilvl w:val="0"/>
          <w:numId w:val="29"/>
        </w:numPr>
        <w:spacing w:before="120" w:after="120"/>
        <w:rPr>
          <w:rFonts w:eastAsiaTheme="minorEastAsia"/>
          <w:lang w:eastAsia="zh-CN"/>
        </w:rPr>
      </w:pPr>
      <w:r>
        <w:rPr>
          <w:rFonts w:eastAsiaTheme="minorEastAsia"/>
          <w:lang w:eastAsia="zh-CN"/>
        </w:rPr>
        <w:t>Serving cell RSRP is above a threshold</w:t>
      </w:r>
    </w:p>
    <w:p w:rsidR="00E762D2" w:rsidRDefault="00E762D2" w:rsidP="00E762D2">
      <w:pPr>
        <w:pStyle w:val="af8"/>
        <w:numPr>
          <w:ilvl w:val="0"/>
          <w:numId w:val="29"/>
        </w:numPr>
        <w:spacing w:before="120" w:after="120"/>
        <w:rPr>
          <w:rFonts w:eastAsiaTheme="minorEastAsia"/>
          <w:lang w:eastAsia="zh-CN"/>
        </w:rPr>
      </w:pPr>
      <w:r>
        <w:rPr>
          <w:rFonts w:eastAsiaTheme="minorEastAsia"/>
          <w:lang w:eastAsia="zh-CN"/>
        </w:rPr>
        <w:t>SDT resources are configured and valid</w:t>
      </w:r>
    </w:p>
    <w:p w:rsidR="00AE7511" w:rsidRDefault="00E762D2" w:rsidP="00E762D2">
      <w:pPr>
        <w:spacing w:before="120" w:after="120"/>
        <w:rPr>
          <w:rFonts w:eastAsiaTheme="minorEastAsia"/>
          <w:lang w:eastAsia="zh-CN"/>
        </w:rPr>
      </w:pPr>
      <w:r>
        <w:rPr>
          <w:rFonts w:eastAsiaTheme="minorEastAsia"/>
          <w:lang w:eastAsia="zh-CN"/>
        </w:rPr>
        <w:t>When any of above conditions is not met, UE is not supposed to use SDT, but to use legacy RA</w:t>
      </w:r>
      <w:r w:rsidR="00F92AAC">
        <w:rPr>
          <w:rFonts w:eastAsiaTheme="minorEastAsia"/>
          <w:lang w:eastAsia="zh-CN"/>
        </w:rPr>
        <w:t xml:space="preserve"> procedure</w:t>
      </w:r>
      <w:r w:rsidR="00BB3A19">
        <w:rPr>
          <w:rFonts w:eastAsiaTheme="minorEastAsia"/>
          <w:lang w:eastAsia="zh-CN"/>
        </w:rPr>
        <w:t xml:space="preserve"> (and transition to Connected state for data transmission)</w:t>
      </w:r>
      <w:r w:rsidR="00F92AAC">
        <w:rPr>
          <w:rFonts w:eastAsiaTheme="minorEastAsia"/>
          <w:lang w:eastAsia="zh-CN"/>
        </w:rPr>
        <w:t xml:space="preserve">. </w:t>
      </w:r>
    </w:p>
    <w:p w:rsidR="00F92AAC" w:rsidRDefault="00F92AAC" w:rsidP="00E762D2">
      <w:pPr>
        <w:spacing w:before="120" w:after="120"/>
        <w:rPr>
          <w:lang w:val="en-US"/>
        </w:rPr>
      </w:pPr>
      <w:r>
        <w:rPr>
          <w:rFonts w:eastAsiaTheme="minorEastAsia"/>
          <w:lang w:eastAsia="zh-CN"/>
        </w:rPr>
        <w:t>It is noted that the procedure for UL/SUL carrier selection and 2-step/4-step RA type selection is not impacted by SDT</w:t>
      </w:r>
      <w:r w:rsidR="00C6170D">
        <w:rPr>
          <w:rFonts w:eastAsiaTheme="minorEastAsia"/>
          <w:lang w:eastAsia="zh-CN"/>
        </w:rPr>
        <w:t>, although the RSRP threshold can be separately configured for SDT</w:t>
      </w:r>
      <w:r>
        <w:rPr>
          <w:rFonts w:eastAsiaTheme="minorEastAsia"/>
          <w:lang w:eastAsia="zh-CN"/>
        </w:rPr>
        <w:t xml:space="preserve">. Also it is noted that </w:t>
      </w:r>
      <w:r w:rsidRPr="00F92AAC">
        <w:rPr>
          <w:rFonts w:eastAsiaTheme="minorEastAsia"/>
          <w:lang w:eastAsia="zh-CN"/>
        </w:rPr>
        <w:t>the same RSRP measured for carrier selection</w:t>
      </w:r>
      <w:r>
        <w:rPr>
          <w:rFonts w:eastAsiaTheme="minorEastAsia"/>
          <w:lang w:eastAsia="zh-CN"/>
        </w:rPr>
        <w:t xml:space="preserve"> is used for </w:t>
      </w:r>
      <w:r w:rsidR="00AE7511" w:rsidRPr="003D539C">
        <w:rPr>
          <w:lang w:val="en-US"/>
        </w:rPr>
        <w:t>select</w:t>
      </w:r>
      <w:r w:rsidR="00AE7511">
        <w:rPr>
          <w:lang w:val="en-US"/>
        </w:rPr>
        <w:t>ion</w:t>
      </w:r>
      <w:r w:rsidR="00AE7511" w:rsidRPr="003D539C">
        <w:rPr>
          <w:lang w:val="en-US"/>
        </w:rPr>
        <w:t xml:space="preserve"> between SDT and non-SDT</w:t>
      </w:r>
      <w:r w:rsidR="00AE7511">
        <w:rPr>
          <w:lang w:val="en-US"/>
        </w:rPr>
        <w:t xml:space="preserve">. </w:t>
      </w:r>
    </w:p>
    <w:p w:rsidR="00947EA9" w:rsidRDefault="00947EA9" w:rsidP="00947EA9">
      <w:pPr>
        <w:pStyle w:val="30"/>
        <w:rPr>
          <w:lang w:val="en-US"/>
        </w:rPr>
      </w:pPr>
      <w:r>
        <w:rPr>
          <w:lang w:val="en-US"/>
        </w:rPr>
        <w:t>Subsequent transmission and reception</w:t>
      </w:r>
    </w:p>
    <w:tbl>
      <w:tblPr>
        <w:tblStyle w:val="af4"/>
        <w:tblW w:w="0" w:type="auto"/>
        <w:tblLook w:val="04A0" w:firstRow="1" w:lastRow="0" w:firstColumn="1" w:lastColumn="0" w:noHBand="0" w:noVBand="1"/>
      </w:tblPr>
      <w:tblGrid>
        <w:gridCol w:w="9621"/>
      </w:tblGrid>
      <w:tr w:rsidR="00947EA9" w:rsidTr="00947EA9">
        <w:tc>
          <w:tcPr>
            <w:tcW w:w="9621" w:type="dxa"/>
          </w:tcPr>
          <w:p w:rsidR="00947EA9" w:rsidRPr="00947EA9" w:rsidRDefault="00947EA9" w:rsidP="00947EA9">
            <w:pPr>
              <w:overflowPunct w:val="0"/>
              <w:autoSpaceDE w:val="0"/>
              <w:autoSpaceDN w:val="0"/>
              <w:adjustRightInd w:val="0"/>
              <w:spacing w:beforeLines="0" w:before="0" w:afterLines="0" w:after="180"/>
              <w:rPr>
                <w:rFonts w:eastAsia="Yu Mincho"/>
                <w:sz w:val="20"/>
                <w:lang w:eastAsia="ja-JP"/>
              </w:rPr>
            </w:pPr>
            <w:r w:rsidRPr="00947EA9">
              <w:rPr>
                <w:rFonts w:eastAsia="Yu Mincho"/>
                <w:sz w:val="20"/>
                <w:lang w:eastAsia="ja-JP"/>
              </w:rPr>
              <w:t>After the initial SDT transmission, subsequent transmissions are handled differently depending on the type of resources configured:</w:t>
            </w:r>
          </w:p>
          <w:p w:rsidR="00947EA9" w:rsidRPr="00947EA9" w:rsidRDefault="00947EA9" w:rsidP="00947EA9">
            <w:pPr>
              <w:spacing w:beforeLines="0" w:before="0" w:afterLines="0" w:after="180"/>
              <w:ind w:left="568" w:hanging="284"/>
              <w:rPr>
                <w:rFonts w:eastAsia="Yu Mincho"/>
                <w:sz w:val="20"/>
                <w:lang w:eastAsia="ja-JP"/>
              </w:rPr>
            </w:pPr>
            <w:r w:rsidRPr="00947EA9">
              <w:rPr>
                <w:rFonts w:eastAsia="Yu Mincho"/>
                <w:sz w:val="20"/>
                <w:lang w:eastAsia="ja-JP"/>
              </w:rPr>
              <w:t>-</w:t>
            </w:r>
            <w:r w:rsidRPr="00947EA9">
              <w:rPr>
                <w:rFonts w:eastAsia="Yu Mincho"/>
                <w:sz w:val="20"/>
                <w:lang w:eastAsia="ja-JP"/>
              </w:rPr>
              <w:tab/>
              <w:t>When using CG resources, the network can schedule subsequent UL transmissions using dynamic grants or they can take place on the next CG resource occasions. The DL transmissions are scheduled using dynamic assignments.</w:t>
            </w:r>
          </w:p>
          <w:p w:rsidR="00947EA9" w:rsidRPr="00947EA9" w:rsidRDefault="00947EA9" w:rsidP="00947EA9">
            <w:pPr>
              <w:spacing w:beforeLines="0" w:before="0" w:afterLines="0" w:after="180"/>
              <w:ind w:left="568" w:hanging="284"/>
              <w:rPr>
                <w:rFonts w:eastAsia="Yu Mincho"/>
                <w:sz w:val="20"/>
                <w:lang w:eastAsia="ja-JP"/>
              </w:rPr>
            </w:pPr>
            <w:r w:rsidRPr="00947EA9">
              <w:rPr>
                <w:rFonts w:eastAsia="Yu Mincho"/>
                <w:sz w:val="20"/>
                <w:lang w:eastAsia="ja-JP"/>
              </w:rPr>
              <w:t>-</w:t>
            </w:r>
            <w:r w:rsidRPr="00947EA9">
              <w:rPr>
                <w:rFonts w:eastAsia="Yu Mincho"/>
                <w:sz w:val="20"/>
                <w:lang w:eastAsia="ja-JP"/>
              </w:rPr>
              <w:tab/>
              <w:t>When using RACH resources, the network can schedule subsequent UL and DL transmissions using dynamic grants and assignments, respectively, after the completion of the RA procedure.</w:t>
            </w:r>
          </w:p>
        </w:tc>
      </w:tr>
    </w:tbl>
    <w:p w:rsidR="00C870CF" w:rsidRDefault="00947EA9" w:rsidP="00E762D2">
      <w:pPr>
        <w:spacing w:before="120" w:after="120"/>
        <w:rPr>
          <w:rFonts w:eastAsiaTheme="minorEastAsia"/>
          <w:lang w:eastAsia="zh-CN"/>
        </w:rPr>
      </w:pPr>
      <w:r>
        <w:rPr>
          <w:rFonts w:eastAsiaTheme="minorEastAsia"/>
          <w:lang w:eastAsia="zh-CN"/>
        </w:rPr>
        <w:t xml:space="preserve">Based on above texts from latest Stage-2 running CR from RAN2, the subsequent transmission </w:t>
      </w:r>
      <w:r w:rsidRPr="00947EA9">
        <w:rPr>
          <w:rFonts w:eastAsiaTheme="minorEastAsia"/>
          <w:lang w:eastAsia="zh-CN"/>
        </w:rPr>
        <w:t xml:space="preserve">and reception </w:t>
      </w:r>
      <w:r>
        <w:rPr>
          <w:rFonts w:eastAsiaTheme="minorEastAsia"/>
          <w:lang w:eastAsia="zh-CN"/>
        </w:rPr>
        <w:t xml:space="preserve">for CG-SDT can be based on either CG or DG, and the subsequent transmission </w:t>
      </w:r>
      <w:r w:rsidRPr="00947EA9">
        <w:rPr>
          <w:rFonts w:eastAsiaTheme="minorEastAsia"/>
          <w:lang w:eastAsia="zh-CN"/>
        </w:rPr>
        <w:t xml:space="preserve">and reception </w:t>
      </w:r>
      <w:r>
        <w:rPr>
          <w:rFonts w:eastAsiaTheme="minorEastAsia"/>
          <w:lang w:eastAsia="zh-CN"/>
        </w:rPr>
        <w:t>for RA-SDT can be based on DG.</w:t>
      </w:r>
    </w:p>
    <w:tbl>
      <w:tblPr>
        <w:tblStyle w:val="af4"/>
        <w:tblW w:w="0" w:type="auto"/>
        <w:tblLook w:val="04A0" w:firstRow="1" w:lastRow="0" w:firstColumn="1" w:lastColumn="0" w:noHBand="0" w:noVBand="1"/>
      </w:tblPr>
      <w:tblGrid>
        <w:gridCol w:w="9621"/>
      </w:tblGrid>
      <w:tr w:rsidR="00731776" w:rsidTr="00731776">
        <w:tc>
          <w:tcPr>
            <w:tcW w:w="9621" w:type="dxa"/>
          </w:tcPr>
          <w:p w:rsidR="00BB3A19" w:rsidRPr="00BB3A19" w:rsidRDefault="00BB3A19" w:rsidP="00731776">
            <w:pPr>
              <w:spacing w:beforeLines="0" w:before="0" w:afterLines="0" w:after="180"/>
              <w:rPr>
                <w:rFonts w:eastAsia="宋体"/>
                <w:b/>
                <w:sz w:val="20"/>
              </w:rPr>
            </w:pPr>
            <w:r w:rsidRPr="00BB3A19">
              <w:rPr>
                <w:rFonts w:eastAsiaTheme="minorEastAsia"/>
                <w:b/>
                <w:lang w:val="en-US" w:eastAsia="zh-CN"/>
              </w:rPr>
              <w:t>RAN2#11</w:t>
            </w:r>
            <w:r>
              <w:rPr>
                <w:rFonts w:eastAsiaTheme="minorEastAsia"/>
                <w:b/>
                <w:lang w:val="en-US" w:eastAsia="zh-CN"/>
              </w:rPr>
              <w:t>4</w:t>
            </w:r>
            <w:r w:rsidRPr="00BB3A19">
              <w:rPr>
                <w:rFonts w:eastAsiaTheme="minorEastAsia"/>
                <w:b/>
                <w:lang w:val="en-US" w:eastAsia="zh-CN"/>
              </w:rPr>
              <w:t>-e</w:t>
            </w:r>
          </w:p>
          <w:p w:rsidR="00731776" w:rsidRPr="00731776" w:rsidRDefault="00731776" w:rsidP="00731776">
            <w:pPr>
              <w:spacing w:beforeLines="0" w:before="0" w:afterLines="0" w:after="180"/>
              <w:rPr>
                <w:rFonts w:eastAsia="宋体"/>
                <w:sz w:val="20"/>
              </w:rPr>
            </w:pPr>
            <w:r w:rsidRPr="00731776">
              <w:rPr>
                <w:rFonts w:eastAsia="宋体"/>
                <w:sz w:val="20"/>
              </w:rPr>
              <w:t>2.</w:t>
            </w:r>
            <w:r w:rsidRPr="00731776">
              <w:rPr>
                <w:rFonts w:eastAsia="宋体"/>
                <w:sz w:val="20"/>
              </w:rPr>
              <w:tab/>
              <w:t>The separate search space is common to the UEs performing RA-SDT. Inform RAN1 of this agreement</w:t>
            </w:r>
          </w:p>
          <w:p w:rsidR="00731776" w:rsidRPr="00731776" w:rsidRDefault="00731776" w:rsidP="00731776">
            <w:pPr>
              <w:spacing w:beforeLines="0" w:before="0" w:afterLines="0" w:after="180"/>
              <w:rPr>
                <w:rFonts w:eastAsia="宋体"/>
                <w:sz w:val="20"/>
              </w:rPr>
            </w:pPr>
            <w:r w:rsidRPr="00731776">
              <w:rPr>
                <w:rFonts w:eastAsia="宋体"/>
                <w:sz w:val="20"/>
              </w:rPr>
              <w:t>3.</w:t>
            </w:r>
            <w:r w:rsidRPr="00731776">
              <w:rPr>
                <w:rFonts w:eastAsia="宋体"/>
                <w:sz w:val="20"/>
              </w:rPr>
              <w:tab/>
              <w:t>Working assumption: UE-specific search space is configured for UEs performing CG-SDT. RAN2 asks RAN1 whether this working assumption can be confirmed</w:t>
            </w:r>
          </w:p>
        </w:tc>
      </w:tr>
    </w:tbl>
    <w:p w:rsidR="00731776" w:rsidRPr="00C870CF" w:rsidRDefault="00731776" w:rsidP="00E762D2">
      <w:pPr>
        <w:spacing w:before="120" w:after="120"/>
        <w:rPr>
          <w:rFonts w:eastAsiaTheme="minorEastAsia"/>
          <w:lang w:eastAsia="zh-CN"/>
        </w:rPr>
      </w:pPr>
      <w:r>
        <w:rPr>
          <w:rFonts w:eastAsiaTheme="minorEastAsia"/>
          <w:lang w:eastAsia="zh-CN"/>
        </w:rPr>
        <w:t xml:space="preserve">UE is supposed to monitor </w:t>
      </w:r>
      <w:r w:rsidR="005722D2">
        <w:rPr>
          <w:rFonts w:eastAsiaTheme="minorEastAsia"/>
          <w:lang w:eastAsia="zh-CN"/>
        </w:rPr>
        <w:t xml:space="preserve">the configured search space for DG based subsequent transmission </w:t>
      </w:r>
      <w:r w:rsidR="005722D2" w:rsidRPr="00947EA9">
        <w:rPr>
          <w:rFonts w:eastAsiaTheme="minorEastAsia"/>
          <w:lang w:eastAsia="zh-CN"/>
        </w:rPr>
        <w:t>and reception</w:t>
      </w:r>
      <w:r w:rsidR="005722D2">
        <w:rPr>
          <w:rFonts w:eastAsiaTheme="minorEastAsia"/>
          <w:lang w:eastAsia="zh-CN"/>
        </w:rPr>
        <w:t>.</w:t>
      </w:r>
    </w:p>
    <w:p w:rsidR="00410E84" w:rsidRDefault="00AE7511" w:rsidP="00AE7511">
      <w:pPr>
        <w:pStyle w:val="30"/>
        <w:rPr>
          <w:lang w:val="en-US" w:eastAsia="zh-CN"/>
        </w:rPr>
      </w:pPr>
      <w:r>
        <w:rPr>
          <w:lang w:val="en-US" w:eastAsia="zh-CN"/>
        </w:rPr>
        <w:t xml:space="preserve">Resource </w:t>
      </w:r>
      <w:r w:rsidR="00C870CF">
        <w:rPr>
          <w:lang w:val="en-US" w:eastAsia="zh-CN"/>
        </w:rPr>
        <w:t>selection and validation</w:t>
      </w:r>
    </w:p>
    <w:tbl>
      <w:tblPr>
        <w:tblStyle w:val="af4"/>
        <w:tblW w:w="0" w:type="auto"/>
        <w:tblLook w:val="04A0" w:firstRow="1" w:lastRow="0" w:firstColumn="1" w:lastColumn="0" w:noHBand="0" w:noVBand="1"/>
      </w:tblPr>
      <w:tblGrid>
        <w:gridCol w:w="9621"/>
      </w:tblGrid>
      <w:tr w:rsidR="00C870CF" w:rsidTr="00C870CF">
        <w:tc>
          <w:tcPr>
            <w:tcW w:w="9621" w:type="dxa"/>
          </w:tcPr>
          <w:p w:rsidR="00BB3A19" w:rsidRPr="00BB3A19" w:rsidRDefault="00BB3A19" w:rsidP="00BB3A19">
            <w:pPr>
              <w:spacing w:beforeLines="0" w:before="0" w:afterLines="0" w:after="180"/>
              <w:rPr>
                <w:rFonts w:eastAsia="宋体"/>
                <w:b/>
                <w:sz w:val="20"/>
              </w:rPr>
            </w:pPr>
            <w:r w:rsidRPr="00BB3A19">
              <w:rPr>
                <w:rFonts w:eastAsiaTheme="minorEastAsia"/>
                <w:b/>
                <w:lang w:val="en-US" w:eastAsia="zh-CN"/>
              </w:rPr>
              <w:t>RAN2#11</w:t>
            </w:r>
            <w:r>
              <w:rPr>
                <w:rFonts w:eastAsiaTheme="minorEastAsia"/>
                <w:b/>
                <w:lang w:val="en-US" w:eastAsia="zh-CN"/>
              </w:rPr>
              <w:t>5</w:t>
            </w:r>
            <w:r w:rsidRPr="00BB3A19">
              <w:rPr>
                <w:rFonts w:eastAsiaTheme="minorEastAsia"/>
                <w:b/>
                <w:lang w:val="en-US" w:eastAsia="zh-CN"/>
              </w:rPr>
              <w:t>-e</w:t>
            </w:r>
          </w:p>
          <w:p w:rsidR="00C870CF" w:rsidRDefault="00C870CF" w:rsidP="00C870CF">
            <w:pPr>
              <w:spacing w:before="120" w:after="120"/>
              <w:rPr>
                <w:rFonts w:eastAsiaTheme="minorEastAsia"/>
                <w:lang w:val="en-US" w:eastAsia="zh-CN"/>
              </w:rPr>
            </w:pPr>
            <w:r w:rsidRPr="00C870CF">
              <w:rPr>
                <w:rFonts w:eastAsia="宋体"/>
                <w:sz w:val="20"/>
              </w:rPr>
              <w:t>31.</w:t>
            </w:r>
            <w:r w:rsidRPr="00C870CF">
              <w:rPr>
                <w:rFonts w:eastAsia="宋体"/>
                <w:sz w:val="20"/>
              </w:rPr>
              <w:tab/>
              <w:t>UE selects any SSBs if there is no qualified SSB for RA-SDT, like in legacy.  No optimizations are considered.</w:t>
            </w:r>
          </w:p>
        </w:tc>
      </w:tr>
    </w:tbl>
    <w:p w:rsidR="00C870CF" w:rsidRPr="00C870CF" w:rsidRDefault="00C870CF" w:rsidP="00C870CF">
      <w:pPr>
        <w:spacing w:before="120" w:after="120"/>
        <w:rPr>
          <w:rFonts w:eastAsiaTheme="minorEastAsia"/>
          <w:lang w:val="en-US" w:eastAsia="zh-CN"/>
        </w:rPr>
      </w:pPr>
      <w:r>
        <w:rPr>
          <w:rFonts w:eastAsiaTheme="minorEastAsia"/>
          <w:lang w:val="en-US" w:eastAsia="zh-CN"/>
        </w:rPr>
        <w:t xml:space="preserve">When RA-SDT is used, the selection of RA resource for SDT will be same as in legacy CBRA, i.e. UE can select the RA resource that is associated to an SSB index with RSRP above a threshold. </w:t>
      </w:r>
      <w:r w:rsidR="00BB3A19">
        <w:rPr>
          <w:rFonts w:eastAsiaTheme="minorEastAsia"/>
          <w:lang w:val="en-US" w:eastAsia="zh-CN"/>
        </w:rPr>
        <w:t>W</w:t>
      </w:r>
      <w:r>
        <w:rPr>
          <w:rFonts w:eastAsiaTheme="minorEastAsia"/>
          <w:lang w:val="en-US" w:eastAsia="zh-CN"/>
        </w:rPr>
        <w:t xml:space="preserve">hen there is no qualified SSB for RA-SDT, UE </w:t>
      </w:r>
      <w:r w:rsidR="00A8737A">
        <w:rPr>
          <w:rFonts w:eastAsiaTheme="minorEastAsia"/>
          <w:lang w:val="en-US" w:eastAsia="zh-CN"/>
        </w:rPr>
        <w:t xml:space="preserve">can select any SSB. </w:t>
      </w:r>
    </w:p>
    <w:tbl>
      <w:tblPr>
        <w:tblStyle w:val="af4"/>
        <w:tblW w:w="0" w:type="auto"/>
        <w:tblLook w:val="04A0" w:firstRow="1" w:lastRow="0" w:firstColumn="1" w:lastColumn="0" w:noHBand="0" w:noVBand="1"/>
      </w:tblPr>
      <w:tblGrid>
        <w:gridCol w:w="9621"/>
      </w:tblGrid>
      <w:tr w:rsidR="00C6170D" w:rsidTr="00C6170D">
        <w:tc>
          <w:tcPr>
            <w:tcW w:w="9621" w:type="dxa"/>
          </w:tcPr>
          <w:p w:rsidR="00BB3A19" w:rsidRPr="00BB3A19" w:rsidRDefault="00BB3A19" w:rsidP="00C6170D">
            <w:pPr>
              <w:spacing w:beforeLines="0" w:before="0" w:afterLines="0" w:after="180"/>
              <w:rPr>
                <w:rFonts w:eastAsia="宋体"/>
                <w:b/>
                <w:sz w:val="20"/>
                <w:lang w:eastAsia="zh-CN"/>
              </w:rPr>
            </w:pPr>
            <w:r w:rsidRPr="00BB3A19">
              <w:rPr>
                <w:rFonts w:eastAsia="宋体" w:hint="eastAsia"/>
                <w:b/>
                <w:sz w:val="20"/>
                <w:lang w:eastAsia="zh-CN"/>
              </w:rPr>
              <w:lastRenderedPageBreak/>
              <w:t>R</w:t>
            </w:r>
            <w:r w:rsidRPr="00BB3A19">
              <w:rPr>
                <w:rFonts w:eastAsia="宋体"/>
                <w:b/>
                <w:sz w:val="20"/>
                <w:lang w:eastAsia="zh-CN"/>
              </w:rPr>
              <w:t>AN2#112-e</w:t>
            </w:r>
          </w:p>
          <w:p w:rsidR="00C6170D" w:rsidRPr="00C6170D" w:rsidRDefault="00C6170D" w:rsidP="00C6170D">
            <w:pPr>
              <w:spacing w:beforeLines="0" w:before="0" w:afterLines="0" w:after="180"/>
              <w:rPr>
                <w:rFonts w:eastAsia="宋体"/>
                <w:sz w:val="20"/>
              </w:rPr>
            </w:pPr>
            <w:r w:rsidRPr="00C6170D">
              <w:rPr>
                <w:rFonts w:eastAsia="宋体"/>
                <w:sz w:val="20"/>
              </w:rPr>
              <w:t>16</w:t>
            </w:r>
            <w:r w:rsidRPr="00C6170D">
              <w:rPr>
                <w:rFonts w:eastAsia="宋体"/>
                <w:sz w:val="20"/>
              </w:rPr>
              <w:tab/>
              <w:t xml:space="preserve">The configuration of configured grant resource for UE small data transmission is valid only in the same serving cell.  FFS for other CG validity criteria (e.g. timer, UL/SUL aspect, </w:t>
            </w:r>
            <w:proofErr w:type="spellStart"/>
            <w:r w:rsidRPr="00C6170D">
              <w:rPr>
                <w:rFonts w:eastAsia="宋体"/>
                <w:sz w:val="20"/>
              </w:rPr>
              <w:t>etc</w:t>
            </w:r>
            <w:proofErr w:type="spellEnd"/>
            <w:r w:rsidRPr="00C6170D">
              <w:rPr>
                <w:rFonts w:eastAsia="宋体"/>
                <w:sz w:val="20"/>
              </w:rPr>
              <w:t>)</w:t>
            </w:r>
          </w:p>
          <w:p w:rsidR="00C6170D" w:rsidRDefault="00C6170D" w:rsidP="00C6170D">
            <w:pPr>
              <w:spacing w:beforeLines="0" w:before="0" w:afterLines="0" w:after="180"/>
              <w:rPr>
                <w:rFonts w:eastAsia="宋体"/>
                <w:sz w:val="20"/>
              </w:rPr>
            </w:pPr>
            <w:r w:rsidRPr="00C6170D">
              <w:rPr>
                <w:rFonts w:eastAsia="宋体"/>
                <w:sz w:val="20"/>
              </w:rPr>
              <w:t>17</w:t>
            </w:r>
            <w:r w:rsidRPr="00C6170D">
              <w:rPr>
                <w:rFonts w:eastAsia="宋体"/>
                <w:sz w:val="20"/>
              </w:rPr>
              <w:tab/>
              <w:t xml:space="preserve">The UE can use configured grant based small data transfer if at least the following criteria is fulfilled (1) user data is smaller than the data volume threshold; (2) configured grant resource is configured and valid; (3) UE has valid TA.  FFS for the candidate beam criteria.  </w:t>
            </w:r>
          </w:p>
          <w:p w:rsidR="00C6170D" w:rsidRPr="00C6170D" w:rsidRDefault="00C6170D" w:rsidP="00C6170D">
            <w:pPr>
              <w:spacing w:beforeLines="0" w:before="0" w:afterLines="0" w:after="180"/>
              <w:rPr>
                <w:rFonts w:eastAsia="宋体"/>
                <w:sz w:val="20"/>
              </w:rPr>
            </w:pPr>
            <w:r w:rsidRPr="00C6170D">
              <w:rPr>
                <w:rFonts w:eastAsia="宋体"/>
                <w:sz w:val="20"/>
              </w:rPr>
              <w:t>18</w:t>
            </w:r>
            <w:r w:rsidRPr="00C6170D">
              <w:rPr>
                <w:rFonts w:eastAsia="宋体"/>
                <w:sz w:val="20"/>
              </w:rPr>
              <w:tab/>
              <w:t>From RAN2 point of view:  An association between CG resources and SSBs is required for CG-based SDT.  FFS up to RAN1 how the association is configured or provided to the UE.  Send an LS to RAN1 to start the discussion on how the association can be made.   Mention that one option RAN2 considered was explicit configuration with RRC Release message</w:t>
            </w:r>
          </w:p>
          <w:p w:rsidR="00C6170D" w:rsidRPr="00C6170D" w:rsidRDefault="00C6170D" w:rsidP="00C6170D">
            <w:pPr>
              <w:spacing w:beforeLines="0" w:before="0" w:afterLines="0" w:after="180"/>
              <w:rPr>
                <w:rFonts w:eastAsia="宋体"/>
                <w:sz w:val="20"/>
              </w:rPr>
            </w:pPr>
            <w:r w:rsidRPr="00C6170D">
              <w:rPr>
                <w:rFonts w:eastAsia="宋体"/>
                <w:sz w:val="20"/>
              </w:rPr>
              <w:t>19</w:t>
            </w:r>
            <w:r w:rsidRPr="00C6170D">
              <w:rPr>
                <w:rFonts w:eastAsia="宋体"/>
                <w:sz w:val="20"/>
              </w:rPr>
              <w:tab/>
              <w:t>A SS-RSRP threshold is configured for SSB selection. UE selects one of the SSB with SS-RSRP above the threshold and selects the associated CG resource for UL data transmission.</w:t>
            </w:r>
          </w:p>
        </w:tc>
      </w:tr>
      <w:tr w:rsidR="00C6170D" w:rsidTr="00C6170D">
        <w:tc>
          <w:tcPr>
            <w:tcW w:w="9621" w:type="dxa"/>
          </w:tcPr>
          <w:p w:rsidR="00BB3A19" w:rsidRPr="00BB3A19" w:rsidRDefault="00BB3A19" w:rsidP="00C6170D">
            <w:pPr>
              <w:spacing w:beforeLines="0" w:before="0" w:afterLines="0" w:after="180"/>
              <w:rPr>
                <w:rFonts w:eastAsia="宋体"/>
                <w:b/>
                <w:sz w:val="20"/>
                <w:lang w:eastAsia="zh-CN"/>
              </w:rPr>
            </w:pPr>
            <w:r w:rsidRPr="00BB3A19">
              <w:rPr>
                <w:rFonts w:eastAsia="宋体" w:hint="eastAsia"/>
                <w:b/>
                <w:sz w:val="20"/>
                <w:lang w:eastAsia="zh-CN"/>
              </w:rPr>
              <w:t>R</w:t>
            </w:r>
            <w:r w:rsidRPr="00BB3A19">
              <w:rPr>
                <w:rFonts w:eastAsia="宋体"/>
                <w:b/>
                <w:sz w:val="20"/>
                <w:lang w:eastAsia="zh-CN"/>
              </w:rPr>
              <w:t>AN2#11</w:t>
            </w:r>
            <w:r>
              <w:rPr>
                <w:rFonts w:eastAsia="宋体"/>
                <w:b/>
                <w:sz w:val="20"/>
                <w:lang w:eastAsia="zh-CN"/>
              </w:rPr>
              <w:t>3</w:t>
            </w:r>
            <w:r w:rsidRPr="00BB3A19">
              <w:rPr>
                <w:rFonts w:eastAsia="宋体"/>
                <w:b/>
                <w:sz w:val="20"/>
                <w:lang w:eastAsia="zh-CN"/>
              </w:rPr>
              <w:t>-e</w:t>
            </w:r>
          </w:p>
          <w:p w:rsidR="00C6170D" w:rsidRPr="00C6170D" w:rsidRDefault="00C6170D" w:rsidP="00C6170D">
            <w:pPr>
              <w:spacing w:beforeLines="0" w:before="0" w:afterLines="0" w:after="180"/>
              <w:rPr>
                <w:rFonts w:eastAsia="宋体"/>
                <w:sz w:val="20"/>
              </w:rPr>
            </w:pPr>
            <w:r w:rsidRPr="00C6170D">
              <w:rPr>
                <w:rFonts w:eastAsia="宋体"/>
                <w:sz w:val="20"/>
              </w:rPr>
              <w:t>6.</w:t>
            </w:r>
            <w:r w:rsidRPr="00C6170D">
              <w:rPr>
                <w:rFonts w:eastAsia="宋体"/>
                <w:sz w:val="20"/>
              </w:rPr>
              <w:tab/>
              <w:t>From RAN2 point of view, assume similar to PUR, that we introduce a TA validation mechanism for SDT based on RSRP change, i.e.  RSRP-based threshold(s) are configured.  Ask RAN1 to confirm.  FFS on how to handle CG configuration when TA expires or when is invalid due to RSRP threshold.  Details of the TA validation procedure can be further discussed.</w:t>
            </w:r>
          </w:p>
        </w:tc>
      </w:tr>
      <w:tr w:rsidR="00A8737A" w:rsidTr="00C6170D">
        <w:tc>
          <w:tcPr>
            <w:tcW w:w="9621" w:type="dxa"/>
          </w:tcPr>
          <w:p w:rsidR="00BB3A19" w:rsidRPr="00BB3A19" w:rsidRDefault="00BB3A19" w:rsidP="00C6170D">
            <w:pPr>
              <w:spacing w:beforeLines="0" w:before="0" w:afterLines="0" w:after="180"/>
              <w:rPr>
                <w:rFonts w:eastAsia="宋体"/>
                <w:b/>
                <w:sz w:val="20"/>
                <w:lang w:eastAsia="zh-CN"/>
              </w:rPr>
            </w:pPr>
            <w:r w:rsidRPr="00BB3A19">
              <w:rPr>
                <w:rFonts w:eastAsia="宋体" w:hint="eastAsia"/>
                <w:b/>
                <w:sz w:val="20"/>
                <w:lang w:eastAsia="zh-CN"/>
              </w:rPr>
              <w:t>R</w:t>
            </w:r>
            <w:r w:rsidRPr="00BB3A19">
              <w:rPr>
                <w:rFonts w:eastAsia="宋体"/>
                <w:b/>
                <w:sz w:val="20"/>
                <w:lang w:eastAsia="zh-CN"/>
              </w:rPr>
              <w:t>AN2#11</w:t>
            </w:r>
            <w:r>
              <w:rPr>
                <w:rFonts w:eastAsia="宋体"/>
                <w:b/>
                <w:sz w:val="20"/>
                <w:lang w:eastAsia="zh-CN"/>
              </w:rPr>
              <w:t>4</w:t>
            </w:r>
            <w:r w:rsidRPr="00BB3A19">
              <w:rPr>
                <w:rFonts w:eastAsia="宋体"/>
                <w:b/>
                <w:sz w:val="20"/>
                <w:lang w:eastAsia="zh-CN"/>
              </w:rPr>
              <w:t>-e</w:t>
            </w:r>
          </w:p>
          <w:p w:rsidR="00A8737A" w:rsidRPr="00C6170D" w:rsidRDefault="00A8737A" w:rsidP="00C6170D">
            <w:pPr>
              <w:spacing w:beforeLines="0" w:before="0" w:afterLines="0" w:after="180"/>
              <w:rPr>
                <w:rFonts w:eastAsia="宋体"/>
                <w:sz w:val="20"/>
              </w:rPr>
            </w:pPr>
            <w:r w:rsidRPr="00A8737A">
              <w:rPr>
                <w:rFonts w:eastAsia="宋体"/>
                <w:sz w:val="20"/>
              </w:rPr>
              <w:t>9.</w:t>
            </w:r>
            <w:r w:rsidRPr="00A8737A">
              <w:rPr>
                <w:rFonts w:eastAsia="宋体"/>
                <w:sz w:val="20"/>
              </w:rPr>
              <w:tab/>
              <w:t>For initial CG transmission, UE does not select any SSB if none of the SSBs’ RSRP is above the RSRP threshold.  FFS if re-evaluation for every CG transmission is necessary</w:t>
            </w:r>
          </w:p>
        </w:tc>
      </w:tr>
      <w:tr w:rsidR="00A8737A" w:rsidTr="00C6170D">
        <w:tc>
          <w:tcPr>
            <w:tcW w:w="9621" w:type="dxa"/>
          </w:tcPr>
          <w:p w:rsidR="00BB3A19" w:rsidRPr="00BB3A19" w:rsidRDefault="00BB3A19" w:rsidP="00A8737A">
            <w:pPr>
              <w:spacing w:beforeLines="0" w:before="0" w:afterLines="0" w:after="180"/>
              <w:rPr>
                <w:rFonts w:eastAsia="宋体"/>
                <w:b/>
                <w:sz w:val="20"/>
                <w:lang w:eastAsia="zh-CN"/>
              </w:rPr>
            </w:pPr>
            <w:r w:rsidRPr="00BB3A19">
              <w:rPr>
                <w:rFonts w:eastAsia="宋体" w:hint="eastAsia"/>
                <w:b/>
                <w:sz w:val="20"/>
                <w:lang w:eastAsia="zh-CN"/>
              </w:rPr>
              <w:t>R</w:t>
            </w:r>
            <w:r w:rsidRPr="00BB3A19">
              <w:rPr>
                <w:rFonts w:eastAsia="宋体"/>
                <w:b/>
                <w:sz w:val="20"/>
                <w:lang w:eastAsia="zh-CN"/>
              </w:rPr>
              <w:t>AN2#11</w:t>
            </w:r>
            <w:r>
              <w:rPr>
                <w:rFonts w:eastAsia="宋体"/>
                <w:b/>
                <w:sz w:val="20"/>
                <w:lang w:eastAsia="zh-CN"/>
              </w:rPr>
              <w:t>5</w:t>
            </w:r>
            <w:r w:rsidRPr="00BB3A19">
              <w:rPr>
                <w:rFonts w:eastAsia="宋体"/>
                <w:b/>
                <w:sz w:val="20"/>
                <w:lang w:eastAsia="zh-CN"/>
              </w:rPr>
              <w:t>-e</w:t>
            </w:r>
          </w:p>
          <w:p w:rsidR="00A8737A" w:rsidRDefault="00A8737A" w:rsidP="00A8737A">
            <w:pPr>
              <w:spacing w:beforeLines="0" w:before="0" w:afterLines="0" w:after="180"/>
              <w:rPr>
                <w:rFonts w:eastAsia="宋体"/>
                <w:sz w:val="20"/>
              </w:rPr>
            </w:pPr>
            <w:r w:rsidRPr="00A8737A">
              <w:rPr>
                <w:rFonts w:eastAsia="宋体"/>
                <w:sz w:val="20"/>
              </w:rPr>
              <w:t>34.</w:t>
            </w:r>
            <w:r w:rsidRPr="00A8737A">
              <w:rPr>
                <w:rFonts w:eastAsia="宋体"/>
                <w:sz w:val="20"/>
              </w:rPr>
              <w:tab/>
              <w:t>If none of the SSBs’ RSRP is above the RSRP threshold of CG-SDT criteria in the type selection phase, UE should select RA-SDT if RA-SDT criteria is met</w:t>
            </w:r>
          </w:p>
          <w:p w:rsidR="00A8737A" w:rsidRPr="00A8737A" w:rsidRDefault="00A8737A" w:rsidP="00A8737A">
            <w:pPr>
              <w:spacing w:beforeLines="0" w:before="0" w:afterLines="0" w:after="180"/>
              <w:rPr>
                <w:rFonts w:eastAsia="宋体"/>
                <w:sz w:val="20"/>
              </w:rPr>
            </w:pPr>
            <w:r w:rsidRPr="00A8737A">
              <w:rPr>
                <w:rFonts w:eastAsia="宋体"/>
                <w:sz w:val="20"/>
              </w:rPr>
              <w:t>36.</w:t>
            </w:r>
            <w:r w:rsidRPr="00A8737A">
              <w:rPr>
                <w:rFonts w:eastAsia="宋体"/>
                <w:sz w:val="20"/>
              </w:rPr>
              <w:tab/>
              <w:t xml:space="preserve">During subsequent CG transmission phase (i.e. after the UE has received response from NW) UE can initiate at least legacy RACH procedure (e.g. trigger due to no UL resources).  No MAC PDU rebuilding is required.  FFS if the RA-SDT RA resources can be used for subsequent data.   </w:t>
            </w:r>
          </w:p>
          <w:p w:rsidR="00A8737A" w:rsidRPr="00A8737A" w:rsidRDefault="00A8737A" w:rsidP="00A8737A">
            <w:pPr>
              <w:spacing w:beforeLines="0" w:before="0" w:afterLines="0" w:after="180"/>
              <w:ind w:left="284"/>
              <w:rPr>
                <w:rFonts w:eastAsia="宋体"/>
                <w:sz w:val="20"/>
              </w:rPr>
            </w:pPr>
            <w:r w:rsidRPr="00A8737A">
              <w:rPr>
                <w:rFonts w:eastAsia="宋体"/>
                <w:sz w:val="20"/>
              </w:rPr>
              <w:t>a.</w:t>
            </w:r>
            <w:r w:rsidRPr="00A8737A">
              <w:rPr>
                <w:rFonts w:eastAsia="宋体"/>
                <w:sz w:val="20"/>
              </w:rPr>
              <w:tab/>
              <w:t>At least the following conditions are agreed: (1) no qualified SSB when the evaluation is performed; (2) when TA is invalid; (3) when SR is triggered due to lack of UL resource</w:t>
            </w:r>
          </w:p>
          <w:p w:rsidR="00A8737A" w:rsidRPr="00A8737A" w:rsidRDefault="00A8737A" w:rsidP="00C6170D">
            <w:pPr>
              <w:spacing w:beforeLines="0" w:before="0" w:afterLines="0" w:after="180"/>
              <w:rPr>
                <w:rFonts w:eastAsia="宋体"/>
                <w:sz w:val="20"/>
              </w:rPr>
            </w:pPr>
            <w:r w:rsidRPr="00A8737A">
              <w:rPr>
                <w:rFonts w:eastAsia="宋体"/>
                <w:sz w:val="20"/>
              </w:rPr>
              <w:t>40.</w:t>
            </w:r>
            <w:r w:rsidRPr="00A8737A">
              <w:rPr>
                <w:rFonts w:eastAsia="宋体"/>
                <w:sz w:val="20"/>
              </w:rPr>
              <w:tab/>
              <w:t>During the subsequent new CG transmission phase, for the purpose of CG resource selection, UE re-evaluates the SSB for subsequent CG transmission.  FFS what happens if no SSBs are valid or if no sample is available</w:t>
            </w:r>
          </w:p>
        </w:tc>
      </w:tr>
    </w:tbl>
    <w:p w:rsidR="00A8737A" w:rsidRDefault="00A8737A" w:rsidP="00410E84">
      <w:pPr>
        <w:spacing w:before="120" w:after="120"/>
        <w:rPr>
          <w:rFonts w:eastAsiaTheme="minorEastAsia"/>
          <w:lang w:val="en-US" w:eastAsia="zh-CN"/>
        </w:rPr>
      </w:pPr>
      <w:r>
        <w:rPr>
          <w:rFonts w:eastAsiaTheme="minorEastAsia"/>
          <w:lang w:val="en-US" w:eastAsia="zh-CN"/>
        </w:rPr>
        <w:t xml:space="preserve">When CG-SDT is used, the resource selection is similar as in RA-SDT, i.e. there is an association between SSB and CG resources. UE will select the CG resource for data transmission that is associated to an SSB index with RSRP above a threshold. </w:t>
      </w:r>
    </w:p>
    <w:p w:rsidR="00C6170D" w:rsidRPr="00A8737A" w:rsidRDefault="00A8737A" w:rsidP="00410E84">
      <w:pPr>
        <w:spacing w:before="120" w:after="120"/>
        <w:rPr>
          <w:rFonts w:eastAsiaTheme="minorEastAsia"/>
          <w:lang w:val="en-US" w:eastAsia="zh-CN"/>
        </w:rPr>
      </w:pPr>
      <w:r>
        <w:rPr>
          <w:rFonts w:eastAsiaTheme="minorEastAsia"/>
          <w:lang w:val="en-US" w:eastAsia="zh-CN"/>
        </w:rPr>
        <w:t xml:space="preserve">When there is no qualified SSB, UE is expected to use RA-SDT for initial transmission, and fall back to legacy RA procedure for subsequent transmission. Also, it was agreed that during subsequent transmission phase, </w:t>
      </w:r>
      <w:r w:rsidRPr="00A8737A">
        <w:rPr>
          <w:rFonts w:eastAsiaTheme="minorEastAsia"/>
          <w:lang w:val="en-US" w:eastAsia="zh-CN"/>
        </w:rPr>
        <w:t xml:space="preserve">for the purpose of CG resource selection, UE </w:t>
      </w:r>
      <w:r>
        <w:rPr>
          <w:rFonts w:eastAsiaTheme="minorEastAsia"/>
          <w:lang w:val="en-US" w:eastAsia="zh-CN"/>
        </w:rPr>
        <w:t>should re-evaluate</w:t>
      </w:r>
      <w:r w:rsidRPr="00A8737A">
        <w:rPr>
          <w:rFonts w:eastAsiaTheme="minorEastAsia"/>
          <w:lang w:val="en-US" w:eastAsia="zh-CN"/>
        </w:rPr>
        <w:t xml:space="preserve"> the SSB for subsequent CG transmission</w:t>
      </w:r>
      <w:r>
        <w:rPr>
          <w:rFonts w:eastAsiaTheme="minorEastAsia"/>
          <w:lang w:val="en-US" w:eastAsia="zh-CN"/>
        </w:rPr>
        <w:t>.</w:t>
      </w:r>
    </w:p>
    <w:p w:rsidR="00C6170D" w:rsidRDefault="000A5581" w:rsidP="00410E84">
      <w:pPr>
        <w:spacing w:before="120" w:after="120"/>
        <w:rPr>
          <w:rFonts w:eastAsiaTheme="minorEastAsia"/>
          <w:lang w:val="en-US" w:eastAsia="zh-CN"/>
        </w:rPr>
      </w:pPr>
      <w:r>
        <w:rPr>
          <w:rFonts w:eastAsiaTheme="minorEastAsia"/>
          <w:lang w:val="en-US" w:eastAsia="zh-CN"/>
        </w:rPr>
        <w:t xml:space="preserve">Besides the resource qualification, one additional validation for CG-SDT is the TA validation. Similar to PUR, RAN2 has introduced TA validation based on TA timer and RSRP change. </w:t>
      </w:r>
    </w:p>
    <w:p w:rsidR="005722D2" w:rsidRDefault="005722D2" w:rsidP="005722D2">
      <w:pPr>
        <w:pStyle w:val="30"/>
        <w:rPr>
          <w:lang w:val="en-US" w:eastAsia="zh-CN"/>
        </w:rPr>
      </w:pPr>
      <w:r>
        <w:rPr>
          <w:lang w:val="en-US" w:eastAsia="zh-CN"/>
        </w:rPr>
        <w:t xml:space="preserve">Termination </w:t>
      </w:r>
    </w:p>
    <w:tbl>
      <w:tblPr>
        <w:tblStyle w:val="af4"/>
        <w:tblW w:w="0" w:type="auto"/>
        <w:tblLook w:val="04A0" w:firstRow="1" w:lastRow="0" w:firstColumn="1" w:lastColumn="0" w:noHBand="0" w:noVBand="1"/>
      </w:tblPr>
      <w:tblGrid>
        <w:gridCol w:w="9621"/>
      </w:tblGrid>
      <w:tr w:rsidR="005722D2" w:rsidTr="005722D2">
        <w:tc>
          <w:tcPr>
            <w:tcW w:w="9621" w:type="dxa"/>
          </w:tcPr>
          <w:p w:rsidR="005722D2" w:rsidRPr="00AC602E" w:rsidRDefault="00AC602E" w:rsidP="00AC602E">
            <w:pPr>
              <w:overflowPunct w:val="0"/>
              <w:autoSpaceDE w:val="0"/>
              <w:autoSpaceDN w:val="0"/>
              <w:adjustRightInd w:val="0"/>
              <w:spacing w:beforeLines="0" w:before="0" w:afterLines="0" w:after="180"/>
              <w:rPr>
                <w:rFonts w:eastAsia="Yu Mincho"/>
                <w:sz w:val="20"/>
                <w:lang w:eastAsia="ja-JP"/>
              </w:rPr>
            </w:pPr>
            <w:r w:rsidRPr="00AC602E">
              <w:rPr>
                <w:rFonts w:eastAsia="Yu Mincho"/>
                <w:sz w:val="20"/>
                <w:lang w:eastAsia="ja-JP"/>
              </w:rPr>
              <w:t xml:space="preserve">Once initiated, an SDT procedure lasts as long as the UE is not explicitly directed to RRC_IDLE or RRC_INACTIVE (via </w:t>
            </w:r>
            <w:proofErr w:type="spellStart"/>
            <w:r w:rsidRPr="00AC602E">
              <w:rPr>
                <w:rFonts w:eastAsia="Yu Mincho"/>
                <w:i/>
                <w:iCs/>
                <w:sz w:val="20"/>
                <w:lang w:eastAsia="ja-JP"/>
              </w:rPr>
              <w:t>RRCRelease</w:t>
            </w:r>
            <w:proofErr w:type="spellEnd"/>
            <w:r w:rsidRPr="00AC602E">
              <w:rPr>
                <w:rFonts w:eastAsia="Yu Mincho"/>
                <w:sz w:val="20"/>
                <w:lang w:eastAsia="ja-JP"/>
              </w:rPr>
              <w:t xml:space="preserve">) or to RRC_CONNECTED (via </w:t>
            </w:r>
            <w:proofErr w:type="spellStart"/>
            <w:r w:rsidRPr="00AC602E">
              <w:rPr>
                <w:rFonts w:eastAsia="Yu Mincho"/>
                <w:i/>
                <w:iCs/>
                <w:sz w:val="20"/>
                <w:lang w:eastAsia="ja-JP"/>
              </w:rPr>
              <w:t>RRCResume</w:t>
            </w:r>
            <w:proofErr w:type="spellEnd"/>
            <w:r w:rsidRPr="00AC602E">
              <w:rPr>
                <w:rFonts w:eastAsia="Yu Mincho"/>
                <w:sz w:val="20"/>
                <w:lang w:eastAsia="ja-JP"/>
              </w:rPr>
              <w:t xml:space="preserve">), or until cell re-selection, </w:t>
            </w:r>
            <w:r w:rsidRPr="00AC602E">
              <w:rPr>
                <w:rFonts w:eastAsia="宋体"/>
                <w:sz w:val="20"/>
              </w:rPr>
              <w:t>expiry of the SDT failure detection timer, or an RLC entity reaching a configured maximum retransmission threshold in which cases the UE transitions to RRC_IDLE</w:t>
            </w:r>
            <w:r w:rsidRPr="00AC602E">
              <w:rPr>
                <w:rFonts w:eastAsia="Yu Mincho"/>
                <w:sz w:val="20"/>
                <w:lang w:eastAsia="ja-JP"/>
              </w:rPr>
              <w:t>.</w:t>
            </w:r>
          </w:p>
        </w:tc>
      </w:tr>
    </w:tbl>
    <w:p w:rsidR="005722D2" w:rsidRPr="000A5581" w:rsidRDefault="00BB3A19" w:rsidP="00410E84">
      <w:pPr>
        <w:spacing w:before="120" w:after="120"/>
        <w:rPr>
          <w:rFonts w:eastAsiaTheme="minorEastAsia"/>
          <w:lang w:val="en-US" w:eastAsia="zh-CN"/>
        </w:rPr>
      </w:pPr>
      <w:r>
        <w:rPr>
          <w:rFonts w:eastAsiaTheme="minorEastAsia"/>
          <w:lang w:eastAsia="zh-CN"/>
        </w:rPr>
        <w:lastRenderedPageBreak/>
        <w:t>Based on above texts from latest Stage-2 running CR from RAN2, there are several conditions under which the SDT will be terminated. When SDT is terminated, UE goes to other RRC states.</w:t>
      </w:r>
    </w:p>
    <w:p w:rsidR="00410E84" w:rsidRDefault="00410E84" w:rsidP="00AC602E">
      <w:pPr>
        <w:pStyle w:val="2"/>
        <w:rPr>
          <w:lang w:val="en-US" w:eastAsia="zh-CN"/>
        </w:rPr>
      </w:pPr>
      <w:r>
        <w:rPr>
          <w:rFonts w:hint="eastAsia"/>
          <w:lang w:val="en-US" w:eastAsia="zh-CN"/>
        </w:rPr>
        <w:t>R</w:t>
      </w:r>
      <w:r>
        <w:rPr>
          <w:lang w:val="en-US" w:eastAsia="zh-CN"/>
        </w:rPr>
        <w:t>RM impacts</w:t>
      </w:r>
    </w:p>
    <w:p w:rsidR="00410E84" w:rsidRDefault="00410E84" w:rsidP="00AC602E">
      <w:pPr>
        <w:pStyle w:val="30"/>
        <w:rPr>
          <w:lang w:val="en-US" w:eastAsia="zh-CN"/>
        </w:rPr>
      </w:pPr>
      <w:r>
        <w:rPr>
          <w:lang w:val="en-US" w:eastAsia="zh-CN"/>
        </w:rPr>
        <w:t>New RRM requirements</w:t>
      </w:r>
    </w:p>
    <w:p w:rsidR="00410E84" w:rsidRDefault="008668AB" w:rsidP="00410E84">
      <w:pPr>
        <w:spacing w:before="120" w:after="120"/>
        <w:rPr>
          <w:rFonts w:eastAsiaTheme="minorEastAsia"/>
          <w:lang w:val="en-US" w:eastAsia="zh-CN"/>
        </w:rPr>
      </w:pPr>
      <w:r>
        <w:rPr>
          <w:rFonts w:eastAsiaTheme="minorEastAsia"/>
          <w:lang w:val="en-US" w:eastAsia="zh-CN"/>
        </w:rPr>
        <w:t>Based on the SDT framework described in section 2, some new RRM requirements may be needed.</w:t>
      </w:r>
    </w:p>
    <w:p w:rsidR="00BB3A19" w:rsidRDefault="008668AB" w:rsidP="00410E84">
      <w:pPr>
        <w:spacing w:before="120" w:after="12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ne issue is the UL timing requirements for PUSCH transmission for SDT. It is noted that the current </w:t>
      </w:r>
      <w:proofErr w:type="spellStart"/>
      <w:r>
        <w:rPr>
          <w:rFonts w:eastAsiaTheme="minorEastAsia"/>
          <w:lang w:val="en-US" w:eastAsia="zh-CN"/>
        </w:rPr>
        <w:t>Te</w:t>
      </w:r>
      <w:proofErr w:type="spellEnd"/>
      <w:r>
        <w:rPr>
          <w:rFonts w:eastAsiaTheme="minorEastAsia"/>
          <w:lang w:val="en-US" w:eastAsia="zh-CN"/>
        </w:rPr>
        <w:t xml:space="preserve"> requirements in clause 7.1 of 38.133 are only for transmissions in </w:t>
      </w:r>
      <w:proofErr w:type="gramStart"/>
      <w:r>
        <w:rPr>
          <w:rFonts w:eastAsiaTheme="minorEastAsia"/>
          <w:lang w:val="en-US" w:eastAsia="zh-CN"/>
        </w:rPr>
        <w:t>Connected</w:t>
      </w:r>
      <w:proofErr w:type="gramEnd"/>
      <w:r>
        <w:rPr>
          <w:rFonts w:eastAsiaTheme="minorEastAsia"/>
          <w:lang w:val="en-US" w:eastAsia="zh-CN"/>
        </w:rPr>
        <w:t xml:space="preserve"> state and PRACH. They apply for Msg1 or </w:t>
      </w:r>
      <w:proofErr w:type="spellStart"/>
      <w:r>
        <w:rPr>
          <w:rFonts w:eastAsiaTheme="minorEastAsia"/>
          <w:lang w:val="en-US" w:eastAsia="zh-CN"/>
        </w:rPr>
        <w:t>MsgA</w:t>
      </w:r>
      <w:proofErr w:type="spellEnd"/>
      <w:r>
        <w:rPr>
          <w:rFonts w:eastAsiaTheme="minorEastAsia"/>
          <w:lang w:val="en-US" w:eastAsia="zh-CN"/>
        </w:rPr>
        <w:t xml:space="preserve"> for the initial transmission of RA-SDT, but for other</w:t>
      </w:r>
      <w:r w:rsidRPr="008668AB">
        <w:rPr>
          <w:rFonts w:eastAsiaTheme="minorEastAsia"/>
          <w:lang w:val="en-US" w:eastAsia="zh-CN"/>
        </w:rPr>
        <w:t xml:space="preserve"> </w:t>
      </w:r>
      <w:r>
        <w:rPr>
          <w:rFonts w:eastAsiaTheme="minorEastAsia"/>
          <w:lang w:val="en-US" w:eastAsia="zh-CN"/>
        </w:rPr>
        <w:t>PUSCH transmissions for SDT, including CG-PUSCH and PUSCH scheduled with DG, there is no applicable requirement.</w:t>
      </w:r>
    </w:p>
    <w:p w:rsidR="008668AB" w:rsidRDefault="008668AB" w:rsidP="00410E84">
      <w:pPr>
        <w:spacing w:before="120" w:after="120"/>
        <w:rPr>
          <w:rFonts w:eastAsiaTheme="minorEastAsia"/>
          <w:lang w:val="en-US" w:eastAsia="zh-CN"/>
        </w:rPr>
      </w:pPr>
      <w:r>
        <w:rPr>
          <w:rFonts w:eastAsiaTheme="minorEastAsia" w:hint="eastAsia"/>
          <w:lang w:val="en-US" w:eastAsia="zh-CN"/>
        </w:rPr>
        <w:t>F</w:t>
      </w:r>
      <w:r>
        <w:rPr>
          <w:rFonts w:eastAsiaTheme="minorEastAsia"/>
          <w:lang w:val="en-US" w:eastAsia="zh-CN"/>
        </w:rPr>
        <w:t>rom NW perspective, it is desirable that the UL transmissions from all UEs fall in the same FFT window, including SDT transmissions and non-SDT transmissions (e.g. scheduled PUSCH for UE in Connected state), otherwise there will be inter-UE interference which will degrade the UL demodulation performance.</w:t>
      </w:r>
    </w:p>
    <w:p w:rsidR="008668AB" w:rsidRDefault="008668AB" w:rsidP="00410E84">
      <w:pPr>
        <w:spacing w:before="120" w:after="120"/>
        <w:rPr>
          <w:rFonts w:eastAsiaTheme="minorEastAsia"/>
          <w:lang w:val="en-US" w:eastAsia="zh-CN"/>
        </w:rPr>
      </w:pPr>
      <w:r>
        <w:rPr>
          <w:rFonts w:eastAsiaTheme="minorEastAsia"/>
          <w:lang w:val="en-US" w:eastAsia="zh-CN"/>
        </w:rPr>
        <w:t>Therefore, it is meaningful to define</w:t>
      </w:r>
      <w:r w:rsidRPr="008668AB">
        <w:t xml:space="preserve"> </w:t>
      </w:r>
      <w:r w:rsidRPr="008668AB">
        <w:rPr>
          <w:rFonts w:eastAsiaTheme="minorEastAsia"/>
          <w:lang w:val="en-US" w:eastAsia="zh-CN"/>
        </w:rPr>
        <w:t>UL timing accuracy requirements for PUSCH transmission for SDT</w:t>
      </w:r>
      <w:r>
        <w:rPr>
          <w:rFonts w:eastAsiaTheme="minorEastAsia"/>
          <w:lang w:val="en-US" w:eastAsia="zh-CN"/>
        </w:rPr>
        <w:t xml:space="preserve">. The most straightforward way to define the requirements is to re-use the existing </w:t>
      </w:r>
      <w:proofErr w:type="spellStart"/>
      <w:r>
        <w:rPr>
          <w:rFonts w:eastAsiaTheme="minorEastAsia"/>
          <w:lang w:val="en-US" w:eastAsia="zh-CN"/>
        </w:rPr>
        <w:t>Te</w:t>
      </w:r>
      <w:proofErr w:type="spellEnd"/>
      <w:r>
        <w:rPr>
          <w:rFonts w:eastAsiaTheme="minorEastAsia"/>
          <w:lang w:val="en-US" w:eastAsia="zh-CN"/>
        </w:rPr>
        <w:t xml:space="preserve"> requirements. On the other hand, UE T/F tracking can be different between Inactive and Connected state, e.g. for power saving, UE may not perform T/F tracking in Inactive state as frequently as in Connected State.</w:t>
      </w:r>
      <w:r w:rsidR="00AD6698">
        <w:rPr>
          <w:rFonts w:eastAsiaTheme="minorEastAsia"/>
          <w:lang w:val="en-US" w:eastAsia="zh-CN"/>
        </w:rPr>
        <w:t xml:space="preserve"> We suggest RAN4 to discuss </w:t>
      </w:r>
      <w:r w:rsidR="00AD6698" w:rsidRPr="00AD6698">
        <w:rPr>
          <w:rFonts w:eastAsiaTheme="minorEastAsia"/>
          <w:lang w:val="en-US" w:eastAsia="zh-CN"/>
        </w:rPr>
        <w:t xml:space="preserve">whether to re-use the </w:t>
      </w:r>
      <w:proofErr w:type="spellStart"/>
      <w:r w:rsidR="00AD6698" w:rsidRPr="00AD6698">
        <w:rPr>
          <w:rFonts w:eastAsiaTheme="minorEastAsia"/>
          <w:lang w:val="en-US" w:eastAsia="zh-CN"/>
        </w:rPr>
        <w:t>Te</w:t>
      </w:r>
      <w:proofErr w:type="spellEnd"/>
      <w:r w:rsidR="00AD6698" w:rsidRPr="00AD6698">
        <w:rPr>
          <w:rFonts w:eastAsiaTheme="minorEastAsia"/>
          <w:lang w:val="en-US" w:eastAsia="zh-CN"/>
        </w:rPr>
        <w:t xml:space="preserve"> requirements for </w:t>
      </w:r>
      <w:proofErr w:type="gramStart"/>
      <w:r w:rsidR="00AD6698" w:rsidRPr="00AD6698">
        <w:rPr>
          <w:rFonts w:eastAsiaTheme="minorEastAsia"/>
          <w:lang w:val="en-US" w:eastAsia="zh-CN"/>
        </w:rPr>
        <w:t>Connected</w:t>
      </w:r>
      <w:proofErr w:type="gramEnd"/>
      <w:r w:rsidR="00AD6698" w:rsidRPr="00AD6698">
        <w:rPr>
          <w:rFonts w:eastAsiaTheme="minorEastAsia"/>
          <w:lang w:val="en-US" w:eastAsia="zh-CN"/>
        </w:rPr>
        <w:t xml:space="preserve"> state</w:t>
      </w:r>
      <w:r w:rsidR="00AD6698">
        <w:rPr>
          <w:rFonts w:eastAsiaTheme="minorEastAsia"/>
          <w:lang w:val="en-US" w:eastAsia="zh-CN"/>
        </w:rPr>
        <w:t>.</w:t>
      </w:r>
    </w:p>
    <w:p w:rsidR="00AC602E" w:rsidRPr="00BB3A19" w:rsidRDefault="00AC602E" w:rsidP="00410E84">
      <w:pPr>
        <w:spacing w:before="120" w:after="120"/>
        <w:rPr>
          <w:rFonts w:eastAsiaTheme="minorEastAsia"/>
          <w:b/>
          <w:lang w:val="en-US" w:eastAsia="zh-CN"/>
        </w:rPr>
      </w:pPr>
      <w:r w:rsidRPr="00BB3A19">
        <w:rPr>
          <w:rFonts w:eastAsiaTheme="minorEastAsia"/>
          <w:b/>
          <w:lang w:val="en-US" w:eastAsia="zh-CN"/>
        </w:rPr>
        <w:t xml:space="preserve">Proposal 1: Define UL timing accuracy requirements for </w:t>
      </w:r>
      <w:r w:rsidR="00BB3A19" w:rsidRPr="00BB3A19">
        <w:rPr>
          <w:rFonts w:eastAsiaTheme="minorEastAsia"/>
          <w:b/>
          <w:lang w:val="en-US" w:eastAsia="zh-CN"/>
        </w:rPr>
        <w:t>PUSCH transmission</w:t>
      </w:r>
      <w:r w:rsidRPr="00BB3A19">
        <w:rPr>
          <w:rFonts w:eastAsiaTheme="minorEastAsia"/>
          <w:b/>
          <w:lang w:val="en-US" w:eastAsia="zh-CN"/>
        </w:rPr>
        <w:t xml:space="preserve"> for SDT</w:t>
      </w:r>
      <w:r w:rsidR="00BB3A19">
        <w:rPr>
          <w:rFonts w:eastAsiaTheme="minorEastAsia"/>
          <w:b/>
          <w:lang w:val="en-US" w:eastAsia="zh-CN"/>
        </w:rPr>
        <w:t>. FFS whether to</w:t>
      </w:r>
      <w:r w:rsidR="00BB3A19" w:rsidRPr="00BB3A19">
        <w:rPr>
          <w:rFonts w:eastAsiaTheme="minorEastAsia"/>
          <w:b/>
          <w:lang w:val="en-US" w:eastAsia="zh-CN"/>
        </w:rPr>
        <w:t xml:space="preserve"> re-use the </w:t>
      </w:r>
      <w:proofErr w:type="spellStart"/>
      <w:r w:rsidR="00BB3A19" w:rsidRPr="00BB3A19">
        <w:rPr>
          <w:rFonts w:eastAsiaTheme="minorEastAsia"/>
          <w:b/>
          <w:lang w:val="en-US" w:eastAsia="zh-CN"/>
        </w:rPr>
        <w:t>Te</w:t>
      </w:r>
      <w:proofErr w:type="spellEnd"/>
      <w:r w:rsidR="00BB3A19" w:rsidRPr="00BB3A19">
        <w:rPr>
          <w:rFonts w:eastAsiaTheme="minorEastAsia"/>
          <w:b/>
          <w:lang w:val="en-US" w:eastAsia="zh-CN"/>
        </w:rPr>
        <w:t xml:space="preserve"> requirements </w:t>
      </w:r>
      <w:r w:rsidR="00BB3A19">
        <w:rPr>
          <w:rFonts w:eastAsiaTheme="minorEastAsia"/>
          <w:b/>
          <w:lang w:val="en-US" w:eastAsia="zh-CN"/>
        </w:rPr>
        <w:t xml:space="preserve">for </w:t>
      </w:r>
      <w:proofErr w:type="gramStart"/>
      <w:r w:rsidR="00BB3A19" w:rsidRPr="00BB3A19">
        <w:rPr>
          <w:rFonts w:eastAsiaTheme="minorEastAsia"/>
          <w:b/>
          <w:lang w:val="en-US" w:eastAsia="zh-CN"/>
        </w:rPr>
        <w:t>Connected</w:t>
      </w:r>
      <w:proofErr w:type="gramEnd"/>
      <w:r w:rsidR="00BB3A19" w:rsidRPr="00BB3A19">
        <w:rPr>
          <w:rFonts w:eastAsiaTheme="minorEastAsia"/>
          <w:b/>
          <w:lang w:val="en-US" w:eastAsia="zh-CN"/>
        </w:rPr>
        <w:t xml:space="preserve"> state.</w:t>
      </w:r>
    </w:p>
    <w:p w:rsidR="00BB3A19" w:rsidRDefault="00AD6698" w:rsidP="00410E84">
      <w:pPr>
        <w:spacing w:before="120" w:after="120"/>
        <w:rPr>
          <w:rFonts w:eastAsiaTheme="minorEastAsia"/>
          <w:lang w:val="en-US" w:eastAsia="zh-CN"/>
        </w:rPr>
      </w:pPr>
      <w:r>
        <w:rPr>
          <w:rFonts w:eastAsiaTheme="minorEastAsia"/>
          <w:lang w:val="en-US" w:eastAsia="zh-CN"/>
        </w:rPr>
        <w:t>Another issue is the RSRP measurement. It can be seen that some of procedures in SDT is based on serving cell RSRP comparison with some threshold, or serving cell RSRP change. Specifically, one of the conditions to select between SDT/non-SDT is serving cell RSRP being larger than a threshold; for CG-SDT, the CG resource selection is based on RSRP similar as PRACH resource selection for RA; also for CG-SDT the TA validation can be based on serving cell RSRP change.</w:t>
      </w:r>
    </w:p>
    <w:p w:rsidR="009E2F21" w:rsidRDefault="00D30FC9" w:rsidP="00410E84">
      <w:pPr>
        <w:spacing w:before="120" w:after="120"/>
        <w:rPr>
          <w:rFonts w:eastAsiaTheme="minorEastAsia"/>
          <w:lang w:val="en-US" w:eastAsia="zh-CN"/>
        </w:rPr>
      </w:pPr>
      <w:r>
        <w:rPr>
          <w:rFonts w:eastAsiaTheme="minorEastAsia"/>
          <w:lang w:val="en-US" w:eastAsia="zh-CN"/>
        </w:rPr>
        <w:t xml:space="preserve">For the SDT procedure to work properly, it is necessary for UE to </w:t>
      </w:r>
      <w:r w:rsidR="009E2F21">
        <w:rPr>
          <w:rFonts w:eastAsiaTheme="minorEastAsia"/>
          <w:lang w:val="en-US" w:eastAsia="zh-CN"/>
        </w:rPr>
        <w:t xml:space="preserve">make the related comparisons based on a timely measured RSRP. </w:t>
      </w:r>
    </w:p>
    <w:p w:rsidR="00AD6698" w:rsidRDefault="009E2F21" w:rsidP="009E2F21">
      <w:pPr>
        <w:pStyle w:val="af8"/>
        <w:numPr>
          <w:ilvl w:val="0"/>
          <w:numId w:val="29"/>
        </w:numPr>
        <w:spacing w:before="120" w:after="120"/>
        <w:rPr>
          <w:rFonts w:eastAsiaTheme="minorEastAsia"/>
          <w:lang w:eastAsia="zh-CN"/>
        </w:rPr>
      </w:pPr>
      <w:r w:rsidRPr="009E2F21">
        <w:rPr>
          <w:rFonts w:eastAsiaTheme="minorEastAsia"/>
          <w:lang w:eastAsia="zh-CN"/>
        </w:rPr>
        <w:t>Currently, f</w:t>
      </w:r>
      <w:r w:rsidR="00AD6698" w:rsidRPr="009E2F21">
        <w:rPr>
          <w:rFonts w:eastAsiaTheme="minorEastAsia"/>
          <w:lang w:eastAsia="zh-CN"/>
        </w:rPr>
        <w:t xml:space="preserve">or Inactive state UE performs serving cell measurement for cell reselection, and is required to measure and evaluate the serving cell every M1*N1 DRX cycles as defined in clause 4.4.2.2. </w:t>
      </w:r>
      <w:r w:rsidRPr="009E2F21">
        <w:rPr>
          <w:rFonts w:eastAsiaTheme="minorEastAsia"/>
          <w:lang w:eastAsia="zh-CN"/>
        </w:rPr>
        <w:t xml:space="preserve">The </w:t>
      </w:r>
      <w:r>
        <w:rPr>
          <w:rFonts w:eastAsiaTheme="minorEastAsia"/>
          <w:lang w:eastAsia="zh-CN"/>
        </w:rPr>
        <w:t xml:space="preserve">measurement may not be sufficient </w:t>
      </w:r>
      <w:r w:rsidR="00BC5547">
        <w:rPr>
          <w:rFonts w:eastAsiaTheme="minorEastAsia"/>
          <w:lang w:eastAsia="zh-CN"/>
        </w:rPr>
        <w:t xml:space="preserve">considering that the periodicity of CG occasions can be much smaller than the largest DRX cycle. The CG periodicity for SDT has not been decided, but for </w:t>
      </w:r>
      <w:proofErr w:type="gramStart"/>
      <w:r w:rsidR="00BC5547">
        <w:rPr>
          <w:rFonts w:eastAsiaTheme="minorEastAsia"/>
          <w:lang w:eastAsia="zh-CN"/>
        </w:rPr>
        <w:t>Connected</w:t>
      </w:r>
      <w:proofErr w:type="gramEnd"/>
      <w:r w:rsidR="00BC5547">
        <w:rPr>
          <w:rFonts w:eastAsiaTheme="minorEastAsia"/>
          <w:lang w:eastAsia="zh-CN"/>
        </w:rPr>
        <w:t xml:space="preserve"> state, the CG periodicity can be as small as 1ms.</w:t>
      </w:r>
    </w:p>
    <w:p w:rsidR="00BC5547" w:rsidRDefault="00BC5547" w:rsidP="009E2F21">
      <w:pPr>
        <w:pStyle w:val="af8"/>
        <w:numPr>
          <w:ilvl w:val="0"/>
          <w:numId w:val="29"/>
        </w:numPr>
        <w:spacing w:before="120" w:after="120"/>
        <w:rPr>
          <w:rFonts w:eastAsiaTheme="minorEastAsia"/>
          <w:lang w:eastAsia="zh-CN"/>
        </w:rPr>
      </w:pPr>
      <w:r>
        <w:rPr>
          <w:rFonts w:eastAsiaTheme="minorEastAsia"/>
          <w:lang w:eastAsia="zh-CN"/>
        </w:rPr>
        <w:t xml:space="preserve">On the other hand, it is impossible and unreasonable for UE to make the RSRP comparison for every CG occasion e.g. when CG periodicity is smaller. Also it is noted that UE only uses the CG occasions when there is UL data awaiting for transmission. </w:t>
      </w:r>
    </w:p>
    <w:p w:rsidR="00BC5547" w:rsidRDefault="00BC5547" w:rsidP="00BC5547">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suggest RAN4 to discuss </w:t>
      </w:r>
      <w:r w:rsidRPr="00BC5547">
        <w:rPr>
          <w:rFonts w:eastAsiaTheme="minorEastAsia"/>
          <w:lang w:eastAsia="zh-CN"/>
        </w:rPr>
        <w:t>whether and how to define RSRP measurement requirements for CG-SDT</w:t>
      </w:r>
      <w:r>
        <w:rPr>
          <w:rFonts w:eastAsiaTheme="minorEastAsia"/>
          <w:lang w:eastAsia="zh-CN"/>
        </w:rPr>
        <w:t xml:space="preserve">. </w:t>
      </w:r>
      <w:r w:rsidR="008B4E0D">
        <w:rPr>
          <w:rFonts w:eastAsiaTheme="minorEastAsia"/>
          <w:lang w:eastAsia="zh-CN"/>
        </w:rPr>
        <w:t xml:space="preserve">One possible reference is requirements defined for TA validation for PUR in Rel-16 </w:t>
      </w:r>
      <w:proofErr w:type="spellStart"/>
      <w:r w:rsidR="008B4E0D">
        <w:rPr>
          <w:rFonts w:eastAsiaTheme="minorEastAsia"/>
          <w:lang w:eastAsia="zh-CN"/>
        </w:rPr>
        <w:t>eMTC</w:t>
      </w:r>
      <w:proofErr w:type="spellEnd"/>
      <w:r w:rsidR="008B4E0D">
        <w:rPr>
          <w:rFonts w:eastAsiaTheme="minorEastAsia"/>
          <w:lang w:eastAsia="zh-CN"/>
        </w:rPr>
        <w:t>/NB-IoT, e.g. in clause 4.7.4.3 of 36.133.</w:t>
      </w:r>
    </w:p>
    <w:p w:rsidR="00BB3A19" w:rsidRPr="002458B0" w:rsidRDefault="00BB3A19" w:rsidP="00410E84">
      <w:pPr>
        <w:spacing w:before="120" w:after="120"/>
        <w:rPr>
          <w:rFonts w:eastAsiaTheme="minorEastAsia"/>
          <w:b/>
          <w:lang w:val="en-US" w:eastAsia="zh-CN"/>
        </w:rPr>
      </w:pPr>
      <w:r w:rsidRPr="002458B0">
        <w:rPr>
          <w:rFonts w:eastAsiaTheme="minorEastAsia"/>
          <w:b/>
          <w:lang w:val="en-US" w:eastAsia="zh-CN"/>
        </w:rPr>
        <w:t xml:space="preserve">Proposal 2: </w:t>
      </w:r>
      <w:r w:rsidRPr="002458B0">
        <w:rPr>
          <w:rFonts w:eastAsiaTheme="minorEastAsia" w:hint="eastAsia"/>
          <w:b/>
          <w:lang w:val="en-US" w:eastAsia="zh-CN"/>
        </w:rPr>
        <w:t>R</w:t>
      </w:r>
      <w:r w:rsidRPr="002458B0">
        <w:rPr>
          <w:rFonts w:eastAsiaTheme="minorEastAsia"/>
          <w:b/>
          <w:lang w:val="en-US" w:eastAsia="zh-CN"/>
        </w:rPr>
        <w:t>AN4 to discuss whether and how to define RSRP measurement requirements for CG-SDT considering the need for selection between SDT/non-SDT, CG resource selection and TA validation.</w:t>
      </w:r>
    </w:p>
    <w:p w:rsidR="00BB3A19" w:rsidRDefault="008B4E0D" w:rsidP="00410E84">
      <w:pPr>
        <w:spacing w:before="120" w:after="120"/>
        <w:rPr>
          <w:rFonts w:eastAsiaTheme="minorEastAsia"/>
          <w:lang w:val="en-US" w:eastAsia="zh-CN"/>
        </w:rPr>
      </w:pPr>
      <w:r>
        <w:rPr>
          <w:rFonts w:eastAsiaTheme="minorEastAsia"/>
          <w:lang w:val="en-US" w:eastAsia="zh-CN"/>
        </w:rPr>
        <w:t>Finally, in the LS from RAN2 to RAN1 [2], RAN2 asks about whether BFD/BFR is required for SDT. RAN4 may need to define related BFD/BFR requirements if it is introduced by RAN1 or RAN2.</w:t>
      </w:r>
    </w:p>
    <w:tbl>
      <w:tblPr>
        <w:tblStyle w:val="af4"/>
        <w:tblW w:w="0" w:type="auto"/>
        <w:tblLook w:val="04A0" w:firstRow="1" w:lastRow="0" w:firstColumn="1" w:lastColumn="0" w:noHBand="0" w:noVBand="1"/>
      </w:tblPr>
      <w:tblGrid>
        <w:gridCol w:w="9621"/>
      </w:tblGrid>
      <w:tr w:rsidR="008B4E0D" w:rsidTr="008B4E0D">
        <w:tc>
          <w:tcPr>
            <w:tcW w:w="9621" w:type="dxa"/>
          </w:tcPr>
          <w:p w:rsidR="008B4E0D" w:rsidRPr="008B4E0D" w:rsidRDefault="008B4E0D" w:rsidP="00410E84">
            <w:pPr>
              <w:spacing w:before="120" w:after="120"/>
              <w:rPr>
                <w:rFonts w:ascii="Arial" w:eastAsiaTheme="minorEastAsia" w:hAnsi="Arial" w:cs="Arial"/>
                <w:sz w:val="20"/>
                <w:lang w:eastAsia="zh-CN"/>
              </w:rPr>
            </w:pPr>
            <w:r>
              <w:rPr>
                <w:rFonts w:ascii="Arial" w:hAnsi="Arial" w:cs="Arial"/>
              </w:rPr>
              <w:t xml:space="preserve">Q5: Does RAN1 think that BFD/BFR procedure is required for SDT and if needed, can RAN1 define the necessary procedure to support this? </w:t>
            </w:r>
          </w:p>
        </w:tc>
      </w:tr>
    </w:tbl>
    <w:p w:rsidR="00BB3A19" w:rsidRDefault="00BB3A19" w:rsidP="00410E84">
      <w:pPr>
        <w:spacing w:before="120" w:after="120"/>
        <w:rPr>
          <w:rFonts w:eastAsiaTheme="minorEastAsia"/>
          <w:b/>
          <w:lang w:val="en-US" w:eastAsia="zh-CN"/>
        </w:rPr>
      </w:pPr>
      <w:r w:rsidRPr="001E41FF">
        <w:rPr>
          <w:rFonts w:eastAsiaTheme="minorEastAsia"/>
          <w:b/>
          <w:lang w:val="en-US" w:eastAsia="zh-CN"/>
        </w:rPr>
        <w:t xml:space="preserve">Proposal 3: RAN4 to discuss </w:t>
      </w:r>
      <w:r w:rsidR="002458B0" w:rsidRPr="001E41FF">
        <w:rPr>
          <w:rFonts w:eastAsiaTheme="minorEastAsia"/>
          <w:b/>
          <w:lang w:val="en-US" w:eastAsia="zh-CN"/>
        </w:rPr>
        <w:t xml:space="preserve">whether and </w:t>
      </w:r>
      <w:r w:rsidR="00272955" w:rsidRPr="001E41FF">
        <w:rPr>
          <w:rFonts w:eastAsiaTheme="minorEastAsia"/>
          <w:b/>
          <w:lang w:val="en-US" w:eastAsia="zh-CN"/>
        </w:rPr>
        <w:t xml:space="preserve">how to define requirements for </w:t>
      </w:r>
      <w:r w:rsidR="00937281">
        <w:rPr>
          <w:rFonts w:eastAsiaTheme="minorEastAsia"/>
          <w:b/>
          <w:lang w:val="en-US" w:eastAsia="zh-CN"/>
        </w:rPr>
        <w:t>BFD/</w:t>
      </w:r>
      <w:r w:rsidR="001E41FF" w:rsidRPr="001E41FF">
        <w:rPr>
          <w:rFonts w:eastAsiaTheme="minorEastAsia"/>
          <w:b/>
          <w:lang w:val="en-US" w:eastAsia="zh-CN"/>
        </w:rPr>
        <w:t xml:space="preserve">BFR </w:t>
      </w:r>
      <w:r w:rsidR="00937281">
        <w:rPr>
          <w:rFonts w:eastAsiaTheme="minorEastAsia"/>
          <w:b/>
          <w:lang w:val="en-US" w:eastAsia="zh-CN"/>
        </w:rPr>
        <w:t>if it is introduced by</w:t>
      </w:r>
      <w:r w:rsidR="001E41FF" w:rsidRPr="001E41FF">
        <w:rPr>
          <w:rFonts w:eastAsiaTheme="minorEastAsia"/>
          <w:b/>
          <w:lang w:val="en-US" w:eastAsia="zh-CN"/>
        </w:rPr>
        <w:t xml:space="preserve"> RAN1</w:t>
      </w:r>
      <w:r w:rsidR="00937281">
        <w:rPr>
          <w:rFonts w:eastAsiaTheme="minorEastAsia"/>
          <w:b/>
          <w:lang w:val="en-US" w:eastAsia="zh-CN"/>
        </w:rPr>
        <w:t>/2</w:t>
      </w:r>
      <w:r w:rsidR="001E41FF" w:rsidRPr="001E41FF">
        <w:rPr>
          <w:rFonts w:eastAsiaTheme="minorEastAsia"/>
          <w:b/>
          <w:lang w:val="en-US" w:eastAsia="zh-CN"/>
        </w:rPr>
        <w:t>.</w:t>
      </w:r>
    </w:p>
    <w:p w:rsidR="00410E84" w:rsidRDefault="00410E84" w:rsidP="00AC602E">
      <w:pPr>
        <w:pStyle w:val="30"/>
        <w:rPr>
          <w:lang w:val="en-US" w:eastAsia="zh-CN"/>
        </w:rPr>
      </w:pPr>
      <w:r>
        <w:rPr>
          <w:lang w:val="en-US" w:eastAsia="zh-CN"/>
        </w:rPr>
        <w:lastRenderedPageBreak/>
        <w:t>Existing RRM requirements</w:t>
      </w:r>
    </w:p>
    <w:p w:rsidR="00937281" w:rsidRDefault="00937281" w:rsidP="00270C44">
      <w:pPr>
        <w:spacing w:before="120" w:after="120"/>
        <w:rPr>
          <w:rFonts w:eastAsiaTheme="minorEastAsia"/>
          <w:lang w:val="en-US" w:eastAsia="zh-CN"/>
        </w:rPr>
      </w:pPr>
      <w:r>
        <w:rPr>
          <w:rFonts w:eastAsiaTheme="minorEastAsia"/>
          <w:lang w:val="en-US" w:eastAsia="zh-CN"/>
        </w:rPr>
        <w:t>In this section we analyze the impact of SDT to the existing requirements for Inactive state.</w:t>
      </w:r>
    </w:p>
    <w:p w:rsidR="00937281" w:rsidRDefault="00937281" w:rsidP="00270C44">
      <w:pPr>
        <w:spacing w:before="120" w:after="120"/>
        <w:rPr>
          <w:rFonts w:eastAsiaTheme="minorEastAsia"/>
          <w:lang w:val="en-US" w:eastAsia="zh-CN"/>
        </w:rPr>
      </w:pPr>
      <w:r>
        <w:rPr>
          <w:rFonts w:eastAsiaTheme="minorEastAsia"/>
          <w:lang w:val="en-US" w:eastAsia="zh-CN"/>
        </w:rPr>
        <w:t xml:space="preserve">Currently, Inactive state requirements include </w:t>
      </w:r>
    </w:p>
    <w:p w:rsidR="00937281" w:rsidRDefault="00937281" w:rsidP="00937281">
      <w:pPr>
        <w:pStyle w:val="af8"/>
        <w:numPr>
          <w:ilvl w:val="0"/>
          <w:numId w:val="29"/>
        </w:numPr>
        <w:spacing w:before="120" w:after="120"/>
        <w:rPr>
          <w:rFonts w:eastAsiaTheme="minorEastAsia"/>
          <w:lang w:eastAsia="zh-CN"/>
        </w:rPr>
      </w:pPr>
      <w:r>
        <w:rPr>
          <w:rFonts w:eastAsiaTheme="minorEastAsia"/>
          <w:lang w:eastAsia="zh-CN"/>
        </w:rPr>
        <w:t>Cell reselection measurement, for intra-frequency, inter-frequency and inter-RAT</w:t>
      </w:r>
    </w:p>
    <w:p w:rsidR="00937281" w:rsidRDefault="00937281" w:rsidP="00937281">
      <w:pPr>
        <w:pStyle w:val="af8"/>
        <w:numPr>
          <w:ilvl w:val="0"/>
          <w:numId w:val="29"/>
        </w:numPr>
        <w:spacing w:before="120" w:after="120"/>
        <w:rPr>
          <w:rFonts w:eastAsiaTheme="minorEastAsia"/>
          <w:lang w:eastAsia="zh-CN"/>
        </w:rPr>
      </w:pPr>
      <w:r>
        <w:rPr>
          <w:rFonts w:eastAsiaTheme="minorEastAsia"/>
          <w:lang w:eastAsia="zh-CN"/>
        </w:rPr>
        <w:t xml:space="preserve">Paging interruption </w:t>
      </w:r>
    </w:p>
    <w:p w:rsidR="00937281" w:rsidRDefault="00937281" w:rsidP="00937281">
      <w:pPr>
        <w:pStyle w:val="af8"/>
        <w:numPr>
          <w:ilvl w:val="0"/>
          <w:numId w:val="29"/>
        </w:numPr>
        <w:spacing w:before="120" w:after="120"/>
        <w:rPr>
          <w:rFonts w:eastAsiaTheme="minorEastAsia"/>
          <w:lang w:eastAsia="zh-CN"/>
        </w:rPr>
      </w:pPr>
      <w:r>
        <w:rPr>
          <w:rFonts w:eastAsiaTheme="minorEastAsia" w:hint="eastAsia"/>
          <w:lang w:eastAsia="zh-CN"/>
        </w:rPr>
        <w:t>M</w:t>
      </w:r>
      <w:r>
        <w:rPr>
          <w:rFonts w:eastAsiaTheme="minorEastAsia"/>
          <w:lang w:eastAsia="zh-CN"/>
        </w:rPr>
        <w:t>DT (re-using the measurement requirements for cell reselection)</w:t>
      </w:r>
    </w:p>
    <w:p w:rsidR="00937281" w:rsidRDefault="00937281" w:rsidP="00937281">
      <w:pPr>
        <w:pStyle w:val="af8"/>
        <w:numPr>
          <w:ilvl w:val="0"/>
          <w:numId w:val="29"/>
        </w:numPr>
        <w:spacing w:before="120" w:after="120"/>
        <w:rPr>
          <w:rFonts w:eastAsiaTheme="minorEastAsia"/>
          <w:lang w:eastAsia="zh-CN"/>
        </w:rPr>
      </w:pPr>
      <w:r>
        <w:rPr>
          <w:rFonts w:eastAsiaTheme="minorEastAsia"/>
          <w:lang w:eastAsia="zh-CN"/>
        </w:rPr>
        <w:t>EMR (re-using the measurement requirements for cell reselection)</w:t>
      </w:r>
    </w:p>
    <w:p w:rsidR="00937281" w:rsidRPr="00937281" w:rsidRDefault="00937281" w:rsidP="00937281">
      <w:pPr>
        <w:spacing w:before="120" w:after="120"/>
        <w:rPr>
          <w:rFonts w:eastAsiaTheme="minorEastAsia"/>
          <w:lang w:eastAsia="zh-CN"/>
        </w:rPr>
      </w:pPr>
      <w:r>
        <w:rPr>
          <w:rFonts w:eastAsiaTheme="minorEastAsia"/>
          <w:lang w:eastAsia="zh-CN"/>
        </w:rPr>
        <w:t xml:space="preserve">As SDT is only concerned with serving cell, there should be in principle no impact to the cell reselection requirements, i.e. the measurement of neighbour cell </w:t>
      </w:r>
      <w:r w:rsidR="00222CD3">
        <w:rPr>
          <w:rFonts w:eastAsiaTheme="minorEastAsia"/>
          <w:lang w:eastAsia="zh-CN"/>
        </w:rPr>
        <w:t>should still be based on DRX cycle</w:t>
      </w:r>
      <w:r>
        <w:rPr>
          <w:rFonts w:eastAsiaTheme="minorEastAsia"/>
          <w:lang w:eastAsia="zh-CN"/>
        </w:rPr>
        <w:t xml:space="preserve"> as in Rel-16. </w:t>
      </w:r>
      <w:r w:rsidR="00222CD3">
        <w:rPr>
          <w:rFonts w:eastAsiaTheme="minorEastAsia"/>
          <w:lang w:eastAsia="zh-CN"/>
        </w:rPr>
        <w:t>In this sense the current cell reselection measurement requirements should be also applicable with SDT, but as this is the first meeting for SDT, we are open to hear other opinions.</w:t>
      </w:r>
    </w:p>
    <w:p w:rsidR="00270C44" w:rsidRDefault="00270C44" w:rsidP="00270C44">
      <w:pPr>
        <w:spacing w:before="120" w:after="120"/>
        <w:rPr>
          <w:rFonts w:eastAsiaTheme="minorEastAsia"/>
          <w:b/>
          <w:lang w:val="en-US" w:eastAsia="zh-CN"/>
        </w:rPr>
      </w:pPr>
      <w:r>
        <w:rPr>
          <w:rFonts w:eastAsiaTheme="minorEastAsia"/>
          <w:b/>
          <w:lang w:val="en-US" w:eastAsia="zh-CN"/>
        </w:rPr>
        <w:t xml:space="preserve">Proposal </w:t>
      </w:r>
      <w:r w:rsidR="00B36D4B">
        <w:rPr>
          <w:rFonts w:eastAsiaTheme="minorEastAsia"/>
          <w:b/>
          <w:lang w:val="en-US" w:eastAsia="zh-CN"/>
        </w:rPr>
        <w:t>4</w:t>
      </w:r>
      <w:r>
        <w:rPr>
          <w:rFonts w:eastAsiaTheme="minorEastAsia"/>
          <w:b/>
          <w:lang w:val="en-US" w:eastAsia="zh-CN"/>
        </w:rPr>
        <w:t xml:space="preserve">: </w:t>
      </w:r>
      <w:r w:rsidR="00B36D4B">
        <w:rPr>
          <w:rFonts w:eastAsiaTheme="minorEastAsia"/>
          <w:b/>
          <w:lang w:val="en-US" w:eastAsia="zh-CN"/>
        </w:rPr>
        <w:t>Requirements for cell reselection during SDT are defined based on DRX cycle</w:t>
      </w:r>
      <w:r w:rsidR="004B1073">
        <w:rPr>
          <w:rFonts w:eastAsiaTheme="minorEastAsia"/>
          <w:b/>
          <w:lang w:val="en-US" w:eastAsia="zh-CN"/>
        </w:rPr>
        <w:t>.</w:t>
      </w:r>
      <w:r w:rsidR="00B36D4B">
        <w:rPr>
          <w:rFonts w:eastAsiaTheme="minorEastAsia"/>
          <w:b/>
          <w:lang w:val="en-US" w:eastAsia="zh-CN"/>
        </w:rPr>
        <w:t xml:space="preserve"> FFS whether Rel-16 measurement requirements can be re-used.</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6B7527">
        <w:rPr>
          <w:rFonts w:eastAsia="宋体"/>
          <w:lang w:eastAsia="zh-CN"/>
        </w:rPr>
        <w:t>our views on the possible RRM impacts due to SDT</w:t>
      </w:r>
      <w:r w:rsidR="00210C78">
        <w:rPr>
          <w:rFonts w:eastAsia="宋体"/>
          <w:lang w:eastAsia="zh-CN"/>
        </w:rPr>
        <w:t>.</w:t>
      </w:r>
    </w:p>
    <w:p w:rsidR="006B7527" w:rsidRPr="00BB3A19" w:rsidRDefault="006B7527" w:rsidP="006B7527">
      <w:pPr>
        <w:spacing w:before="120" w:after="120"/>
        <w:rPr>
          <w:rFonts w:eastAsiaTheme="minorEastAsia"/>
          <w:b/>
          <w:lang w:val="en-US" w:eastAsia="zh-CN"/>
        </w:rPr>
      </w:pPr>
      <w:r w:rsidRPr="00BB3A19">
        <w:rPr>
          <w:rFonts w:eastAsiaTheme="minorEastAsia"/>
          <w:b/>
          <w:lang w:val="en-US" w:eastAsia="zh-CN"/>
        </w:rPr>
        <w:t>Proposal 1: Define UL timing accuracy requirements for PUSCH transmission for SDT</w:t>
      </w:r>
      <w:r>
        <w:rPr>
          <w:rFonts w:eastAsiaTheme="minorEastAsia"/>
          <w:b/>
          <w:lang w:val="en-US" w:eastAsia="zh-CN"/>
        </w:rPr>
        <w:t>. FFS whether to</w:t>
      </w:r>
      <w:r w:rsidRPr="00BB3A19">
        <w:rPr>
          <w:rFonts w:eastAsiaTheme="minorEastAsia"/>
          <w:b/>
          <w:lang w:val="en-US" w:eastAsia="zh-CN"/>
        </w:rPr>
        <w:t xml:space="preserve"> re-use the </w:t>
      </w:r>
      <w:proofErr w:type="spellStart"/>
      <w:r w:rsidRPr="00BB3A19">
        <w:rPr>
          <w:rFonts w:eastAsiaTheme="minorEastAsia"/>
          <w:b/>
          <w:lang w:val="en-US" w:eastAsia="zh-CN"/>
        </w:rPr>
        <w:t>Te</w:t>
      </w:r>
      <w:proofErr w:type="spellEnd"/>
      <w:r w:rsidRPr="00BB3A19">
        <w:rPr>
          <w:rFonts w:eastAsiaTheme="minorEastAsia"/>
          <w:b/>
          <w:lang w:val="en-US" w:eastAsia="zh-CN"/>
        </w:rPr>
        <w:t xml:space="preserve"> requirements </w:t>
      </w:r>
      <w:r>
        <w:rPr>
          <w:rFonts w:eastAsiaTheme="minorEastAsia"/>
          <w:b/>
          <w:lang w:val="en-US" w:eastAsia="zh-CN"/>
        </w:rPr>
        <w:t xml:space="preserve">for </w:t>
      </w:r>
      <w:proofErr w:type="gramStart"/>
      <w:r w:rsidRPr="00BB3A19">
        <w:rPr>
          <w:rFonts w:eastAsiaTheme="minorEastAsia"/>
          <w:b/>
          <w:lang w:val="en-US" w:eastAsia="zh-CN"/>
        </w:rPr>
        <w:t>Connected</w:t>
      </w:r>
      <w:proofErr w:type="gramEnd"/>
      <w:r w:rsidRPr="00BB3A19">
        <w:rPr>
          <w:rFonts w:eastAsiaTheme="minorEastAsia"/>
          <w:b/>
          <w:lang w:val="en-US" w:eastAsia="zh-CN"/>
        </w:rPr>
        <w:t xml:space="preserve"> state.</w:t>
      </w:r>
    </w:p>
    <w:p w:rsidR="006B7527" w:rsidRPr="002458B0" w:rsidRDefault="006B7527" w:rsidP="006B7527">
      <w:pPr>
        <w:spacing w:before="120" w:after="120"/>
        <w:rPr>
          <w:rFonts w:eastAsiaTheme="minorEastAsia"/>
          <w:b/>
          <w:lang w:val="en-US" w:eastAsia="zh-CN"/>
        </w:rPr>
      </w:pPr>
      <w:r w:rsidRPr="002458B0">
        <w:rPr>
          <w:rFonts w:eastAsiaTheme="minorEastAsia"/>
          <w:b/>
          <w:lang w:val="en-US" w:eastAsia="zh-CN"/>
        </w:rPr>
        <w:t xml:space="preserve">Proposal 2: </w:t>
      </w:r>
      <w:r w:rsidRPr="002458B0">
        <w:rPr>
          <w:rFonts w:eastAsiaTheme="minorEastAsia" w:hint="eastAsia"/>
          <w:b/>
          <w:lang w:val="en-US" w:eastAsia="zh-CN"/>
        </w:rPr>
        <w:t>R</w:t>
      </w:r>
      <w:r w:rsidRPr="002458B0">
        <w:rPr>
          <w:rFonts w:eastAsiaTheme="minorEastAsia"/>
          <w:b/>
          <w:lang w:val="en-US" w:eastAsia="zh-CN"/>
        </w:rPr>
        <w:t>AN4 to discuss whether and how to define RSRP measurement requirements for CG-SDT considering the need for selection between SDT/non-SDT, CG resource selection and TA validation.</w:t>
      </w:r>
    </w:p>
    <w:p w:rsidR="006B7527" w:rsidRDefault="006B7527" w:rsidP="006B7527">
      <w:pPr>
        <w:spacing w:before="120" w:after="120"/>
        <w:rPr>
          <w:rFonts w:eastAsiaTheme="minorEastAsia"/>
          <w:b/>
          <w:lang w:val="en-US" w:eastAsia="zh-CN"/>
        </w:rPr>
      </w:pPr>
      <w:r w:rsidRPr="001E41FF">
        <w:rPr>
          <w:rFonts w:eastAsiaTheme="minorEastAsia"/>
          <w:b/>
          <w:lang w:val="en-US" w:eastAsia="zh-CN"/>
        </w:rPr>
        <w:t xml:space="preserve">Proposal 3: RAN4 to discuss whether and how to define requirements for </w:t>
      </w:r>
      <w:r>
        <w:rPr>
          <w:rFonts w:eastAsiaTheme="minorEastAsia"/>
          <w:b/>
          <w:lang w:val="en-US" w:eastAsia="zh-CN"/>
        </w:rPr>
        <w:t>BFD/</w:t>
      </w:r>
      <w:r w:rsidRPr="001E41FF">
        <w:rPr>
          <w:rFonts w:eastAsiaTheme="minorEastAsia"/>
          <w:b/>
          <w:lang w:val="en-US" w:eastAsia="zh-CN"/>
        </w:rPr>
        <w:t xml:space="preserve">BFR </w:t>
      </w:r>
      <w:r>
        <w:rPr>
          <w:rFonts w:eastAsiaTheme="minorEastAsia"/>
          <w:b/>
          <w:lang w:val="en-US" w:eastAsia="zh-CN"/>
        </w:rPr>
        <w:t>if it is introduced by</w:t>
      </w:r>
      <w:r w:rsidRPr="001E41FF">
        <w:rPr>
          <w:rFonts w:eastAsiaTheme="minorEastAsia"/>
          <w:b/>
          <w:lang w:val="en-US" w:eastAsia="zh-CN"/>
        </w:rPr>
        <w:t xml:space="preserve"> RAN1</w:t>
      </w:r>
      <w:r>
        <w:rPr>
          <w:rFonts w:eastAsiaTheme="minorEastAsia"/>
          <w:b/>
          <w:lang w:val="en-US" w:eastAsia="zh-CN"/>
        </w:rPr>
        <w:t>/2</w:t>
      </w:r>
      <w:r w:rsidRPr="001E41FF">
        <w:rPr>
          <w:rFonts w:eastAsiaTheme="minorEastAsia"/>
          <w:b/>
          <w:lang w:val="en-US" w:eastAsia="zh-CN"/>
        </w:rPr>
        <w:t>.</w:t>
      </w:r>
    </w:p>
    <w:p w:rsidR="006B7527" w:rsidRDefault="006B7527" w:rsidP="006B7527">
      <w:pPr>
        <w:spacing w:before="120" w:after="120"/>
        <w:rPr>
          <w:rFonts w:eastAsiaTheme="minorEastAsia"/>
          <w:b/>
          <w:lang w:val="en-US" w:eastAsia="zh-CN"/>
        </w:rPr>
      </w:pPr>
      <w:r>
        <w:rPr>
          <w:rFonts w:eastAsiaTheme="minorEastAsia"/>
          <w:b/>
          <w:lang w:val="en-US" w:eastAsia="zh-CN"/>
        </w:rPr>
        <w:t>Proposal 4: Requirements for cell reselection during SDT are defined based on DRX cycle. FFS whether Rel-16 measurement requirements can be re-used.</w:t>
      </w:r>
    </w:p>
    <w:p w:rsidR="00C0754F" w:rsidRDefault="00C0754F" w:rsidP="00C0754F">
      <w:pPr>
        <w:pStyle w:val="1"/>
        <w:jc w:val="both"/>
        <w:rPr>
          <w:lang w:val="en-US"/>
        </w:rPr>
      </w:pPr>
      <w:bookmarkStart w:id="0" w:name="_GoBack"/>
      <w:bookmarkEnd w:id="0"/>
      <w:r w:rsidRPr="00C0754F">
        <w:rPr>
          <w:lang w:val="en-US"/>
        </w:rPr>
        <w:t>Reference</w:t>
      </w:r>
    </w:p>
    <w:p w:rsidR="00AA15C7" w:rsidRDefault="006B7527" w:rsidP="006B7527">
      <w:pPr>
        <w:numPr>
          <w:ilvl w:val="0"/>
          <w:numId w:val="5"/>
        </w:numPr>
        <w:spacing w:before="120" w:after="120"/>
        <w:rPr>
          <w:rFonts w:eastAsia="宋体"/>
          <w:lang w:val="en-US" w:eastAsia="zh-CN"/>
        </w:rPr>
      </w:pPr>
      <w:r w:rsidRPr="006B7527">
        <w:rPr>
          <w:rFonts w:eastAsia="宋体"/>
          <w:lang w:val="en-US" w:eastAsia="zh-CN"/>
        </w:rPr>
        <w:t>RP-210870</w:t>
      </w:r>
      <w:r w:rsidR="00AA15C7">
        <w:rPr>
          <w:rFonts w:eastAsia="宋体"/>
          <w:lang w:val="en-US" w:eastAsia="zh-CN"/>
        </w:rPr>
        <w:t xml:space="preserve">, </w:t>
      </w:r>
      <w:r w:rsidRPr="006B7527">
        <w:rPr>
          <w:rFonts w:eastAsia="宋体"/>
          <w:lang w:val="en-US" w:eastAsia="zh-CN"/>
        </w:rPr>
        <w:t xml:space="preserve">Work Item on NR </w:t>
      </w:r>
      <w:proofErr w:type="spellStart"/>
      <w:r w:rsidRPr="006B7527">
        <w:rPr>
          <w:rFonts w:eastAsia="宋体"/>
          <w:lang w:val="en-US" w:eastAsia="zh-CN"/>
        </w:rPr>
        <w:t>smalldata</w:t>
      </w:r>
      <w:proofErr w:type="spellEnd"/>
      <w:r w:rsidRPr="006B7527">
        <w:rPr>
          <w:rFonts w:eastAsia="宋体"/>
          <w:lang w:val="en-US" w:eastAsia="zh-CN"/>
        </w:rPr>
        <w:t xml:space="preserve"> transmissions in INACTIVE state</w:t>
      </w:r>
      <w:r w:rsidR="00AA15C7">
        <w:rPr>
          <w:rFonts w:eastAsia="宋体"/>
          <w:lang w:val="en-US" w:eastAsia="zh-CN"/>
        </w:rPr>
        <w:t xml:space="preserve">, </w:t>
      </w:r>
      <w:r w:rsidRPr="006B7527">
        <w:rPr>
          <w:rFonts w:eastAsia="宋体"/>
          <w:lang w:val="en-US" w:eastAsia="zh-CN"/>
        </w:rPr>
        <w:t>ZTE Corporation</w:t>
      </w:r>
    </w:p>
    <w:p w:rsidR="008B4E0D" w:rsidRDefault="008B4E0D" w:rsidP="008B4E0D">
      <w:pPr>
        <w:numPr>
          <w:ilvl w:val="0"/>
          <w:numId w:val="5"/>
        </w:numPr>
        <w:spacing w:before="120" w:after="120"/>
        <w:rPr>
          <w:rFonts w:eastAsia="宋体"/>
          <w:lang w:val="en-US" w:eastAsia="zh-CN"/>
        </w:rPr>
      </w:pPr>
      <w:r w:rsidRPr="008B4E0D">
        <w:rPr>
          <w:rFonts w:eastAsia="宋体"/>
          <w:lang w:val="en-US" w:eastAsia="zh-CN"/>
        </w:rPr>
        <w:t>R2-2109222</w:t>
      </w:r>
      <w:r>
        <w:rPr>
          <w:rFonts w:eastAsia="宋体"/>
          <w:lang w:val="en-US" w:eastAsia="zh-CN"/>
        </w:rPr>
        <w:t xml:space="preserve">, </w:t>
      </w:r>
      <w:r w:rsidRPr="008B4E0D">
        <w:rPr>
          <w:rFonts w:eastAsia="宋体"/>
          <w:lang w:val="en-US" w:eastAsia="zh-CN"/>
        </w:rPr>
        <w:t>LS on agreements related to SDT</w:t>
      </w:r>
      <w:r>
        <w:rPr>
          <w:rFonts w:eastAsia="宋体"/>
          <w:lang w:val="en-US" w:eastAsia="zh-CN"/>
        </w:rPr>
        <w:t>, RAN2</w:t>
      </w:r>
    </w:p>
    <w:sectPr w:rsidR="008B4E0D"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7096" w:rsidRDefault="00567096">
      <w:pPr>
        <w:spacing w:before="120" w:after="120"/>
      </w:pPr>
      <w:r>
        <w:separator/>
      </w:r>
    </w:p>
  </w:endnote>
  <w:endnote w:type="continuationSeparator" w:id="0">
    <w:p w:rsidR="00567096" w:rsidRDefault="00567096">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Qualcomm Office">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6D4B" w:rsidRDefault="00B36D4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B36D4B" w:rsidRDefault="00B36D4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6D4B" w:rsidRDefault="00B36D4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444336">
      <w:rPr>
        <w:rStyle w:val="af1"/>
      </w:rPr>
      <w:t>5</w:t>
    </w:r>
    <w:r>
      <w:rPr>
        <w:rStyle w:val="af1"/>
      </w:rPr>
      <w:fldChar w:fldCharType="end"/>
    </w:r>
  </w:p>
  <w:p w:rsidR="00B36D4B" w:rsidRDefault="00B36D4B">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7096" w:rsidRDefault="00567096">
      <w:pPr>
        <w:spacing w:before="120" w:after="120"/>
      </w:pPr>
      <w:r>
        <w:separator/>
      </w:r>
    </w:p>
  </w:footnote>
  <w:footnote w:type="continuationSeparator" w:id="0">
    <w:p w:rsidR="00567096" w:rsidRDefault="00567096">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2pt;height:74.7pt" o:bullet="t">
        <v:imagedata r:id="rId1" o:title="artE83B"/>
      </v:shape>
    </w:pict>
  </w:numPicBullet>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25068E7"/>
    <w:multiLevelType w:val="hybridMultilevel"/>
    <w:tmpl w:val="64AEDB70"/>
    <w:lvl w:ilvl="0" w:tplc="FD0C4AFE">
      <w:start w:val="1"/>
      <w:numFmt w:val="bullet"/>
      <w:lvlText w:val="–"/>
      <w:lvlJc w:val="left"/>
      <w:pPr>
        <w:tabs>
          <w:tab w:val="num" w:pos="720"/>
        </w:tabs>
        <w:ind w:left="720" w:hanging="360"/>
      </w:pPr>
      <w:rPr>
        <w:rFonts w:ascii="Arial" w:hAnsi="Arial" w:hint="default"/>
      </w:rPr>
    </w:lvl>
    <w:lvl w:ilvl="1" w:tplc="4A18CE44">
      <w:start w:val="1"/>
      <w:numFmt w:val="bullet"/>
      <w:lvlText w:val="–"/>
      <w:lvlJc w:val="left"/>
      <w:pPr>
        <w:tabs>
          <w:tab w:val="num" w:pos="1440"/>
        </w:tabs>
        <w:ind w:left="1440" w:hanging="360"/>
      </w:pPr>
      <w:rPr>
        <w:rFonts w:ascii="Arial" w:hAnsi="Arial" w:hint="default"/>
      </w:rPr>
    </w:lvl>
    <w:lvl w:ilvl="2" w:tplc="8DB6E66C">
      <w:numFmt w:val="bullet"/>
      <w:lvlText w:val="•"/>
      <w:lvlJc w:val="left"/>
      <w:pPr>
        <w:tabs>
          <w:tab w:val="num" w:pos="2160"/>
        </w:tabs>
        <w:ind w:left="2160" w:hanging="360"/>
      </w:pPr>
      <w:rPr>
        <w:rFonts w:ascii="Arial" w:hAnsi="Arial" w:hint="default"/>
      </w:rPr>
    </w:lvl>
    <w:lvl w:ilvl="3" w:tplc="5AC82160" w:tentative="1">
      <w:start w:val="1"/>
      <w:numFmt w:val="bullet"/>
      <w:lvlText w:val="–"/>
      <w:lvlJc w:val="left"/>
      <w:pPr>
        <w:tabs>
          <w:tab w:val="num" w:pos="2880"/>
        </w:tabs>
        <w:ind w:left="2880" w:hanging="360"/>
      </w:pPr>
      <w:rPr>
        <w:rFonts w:ascii="Arial" w:hAnsi="Arial" w:hint="default"/>
      </w:rPr>
    </w:lvl>
    <w:lvl w:ilvl="4" w:tplc="A99412DE" w:tentative="1">
      <w:start w:val="1"/>
      <w:numFmt w:val="bullet"/>
      <w:lvlText w:val="–"/>
      <w:lvlJc w:val="left"/>
      <w:pPr>
        <w:tabs>
          <w:tab w:val="num" w:pos="3600"/>
        </w:tabs>
        <w:ind w:left="3600" w:hanging="360"/>
      </w:pPr>
      <w:rPr>
        <w:rFonts w:ascii="Arial" w:hAnsi="Arial" w:hint="default"/>
      </w:rPr>
    </w:lvl>
    <w:lvl w:ilvl="5" w:tplc="2F04F85E" w:tentative="1">
      <w:start w:val="1"/>
      <w:numFmt w:val="bullet"/>
      <w:lvlText w:val="–"/>
      <w:lvlJc w:val="left"/>
      <w:pPr>
        <w:tabs>
          <w:tab w:val="num" w:pos="4320"/>
        </w:tabs>
        <w:ind w:left="4320" w:hanging="360"/>
      </w:pPr>
      <w:rPr>
        <w:rFonts w:ascii="Arial" w:hAnsi="Arial" w:hint="default"/>
      </w:rPr>
    </w:lvl>
    <w:lvl w:ilvl="6" w:tplc="CCC413B6" w:tentative="1">
      <w:start w:val="1"/>
      <w:numFmt w:val="bullet"/>
      <w:lvlText w:val="–"/>
      <w:lvlJc w:val="left"/>
      <w:pPr>
        <w:tabs>
          <w:tab w:val="num" w:pos="5040"/>
        </w:tabs>
        <w:ind w:left="5040" w:hanging="360"/>
      </w:pPr>
      <w:rPr>
        <w:rFonts w:ascii="Arial" w:hAnsi="Arial" w:hint="default"/>
      </w:rPr>
    </w:lvl>
    <w:lvl w:ilvl="7" w:tplc="95CC4FDC" w:tentative="1">
      <w:start w:val="1"/>
      <w:numFmt w:val="bullet"/>
      <w:lvlText w:val="–"/>
      <w:lvlJc w:val="left"/>
      <w:pPr>
        <w:tabs>
          <w:tab w:val="num" w:pos="5760"/>
        </w:tabs>
        <w:ind w:left="5760" w:hanging="360"/>
      </w:pPr>
      <w:rPr>
        <w:rFonts w:ascii="Arial" w:hAnsi="Arial" w:hint="default"/>
      </w:rPr>
    </w:lvl>
    <w:lvl w:ilvl="8" w:tplc="FAB808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88937F2"/>
    <w:multiLevelType w:val="multilevel"/>
    <w:tmpl w:val="288937F2"/>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DA10732"/>
    <w:multiLevelType w:val="hybridMultilevel"/>
    <w:tmpl w:val="7F0C66F4"/>
    <w:lvl w:ilvl="0" w:tplc="14846178">
      <w:start w:val="1"/>
      <w:numFmt w:val="bullet"/>
      <w:lvlText w:val=""/>
      <w:lvlPicBulletId w:val="0"/>
      <w:lvlJc w:val="left"/>
      <w:pPr>
        <w:tabs>
          <w:tab w:val="num" w:pos="720"/>
        </w:tabs>
        <w:ind w:left="720" w:hanging="360"/>
      </w:pPr>
      <w:rPr>
        <w:rFonts w:ascii="Symbol" w:hAnsi="Symbol" w:hint="default"/>
      </w:rPr>
    </w:lvl>
    <w:lvl w:ilvl="1" w:tplc="939EC1CA">
      <w:numFmt w:val="bullet"/>
      <w:lvlText w:val="•"/>
      <w:lvlJc w:val="left"/>
      <w:pPr>
        <w:tabs>
          <w:tab w:val="num" w:pos="1440"/>
        </w:tabs>
        <w:ind w:left="1440" w:hanging="360"/>
      </w:pPr>
      <w:rPr>
        <w:rFonts w:ascii="Arial" w:hAnsi="Arial" w:hint="default"/>
      </w:rPr>
    </w:lvl>
    <w:lvl w:ilvl="2" w:tplc="0B982696">
      <w:numFmt w:val="bullet"/>
      <w:lvlText w:val="•"/>
      <w:lvlJc w:val="left"/>
      <w:pPr>
        <w:tabs>
          <w:tab w:val="num" w:pos="2160"/>
        </w:tabs>
        <w:ind w:left="2160" w:hanging="360"/>
      </w:pPr>
      <w:rPr>
        <w:rFonts w:ascii="Arial" w:hAnsi="Arial" w:hint="default"/>
      </w:rPr>
    </w:lvl>
    <w:lvl w:ilvl="3" w:tplc="8FA0773A" w:tentative="1">
      <w:start w:val="1"/>
      <w:numFmt w:val="bullet"/>
      <w:lvlText w:val=""/>
      <w:lvlPicBulletId w:val="0"/>
      <w:lvlJc w:val="left"/>
      <w:pPr>
        <w:tabs>
          <w:tab w:val="num" w:pos="2880"/>
        </w:tabs>
        <w:ind w:left="2880" w:hanging="360"/>
      </w:pPr>
      <w:rPr>
        <w:rFonts w:ascii="Symbol" w:hAnsi="Symbol" w:hint="default"/>
      </w:rPr>
    </w:lvl>
    <w:lvl w:ilvl="4" w:tplc="7C926A4C" w:tentative="1">
      <w:start w:val="1"/>
      <w:numFmt w:val="bullet"/>
      <w:lvlText w:val=""/>
      <w:lvlPicBulletId w:val="0"/>
      <w:lvlJc w:val="left"/>
      <w:pPr>
        <w:tabs>
          <w:tab w:val="num" w:pos="3600"/>
        </w:tabs>
        <w:ind w:left="3600" w:hanging="360"/>
      </w:pPr>
      <w:rPr>
        <w:rFonts w:ascii="Symbol" w:hAnsi="Symbol" w:hint="default"/>
      </w:rPr>
    </w:lvl>
    <w:lvl w:ilvl="5" w:tplc="86C0EA42" w:tentative="1">
      <w:start w:val="1"/>
      <w:numFmt w:val="bullet"/>
      <w:lvlText w:val=""/>
      <w:lvlPicBulletId w:val="0"/>
      <w:lvlJc w:val="left"/>
      <w:pPr>
        <w:tabs>
          <w:tab w:val="num" w:pos="4320"/>
        </w:tabs>
        <w:ind w:left="4320" w:hanging="360"/>
      </w:pPr>
      <w:rPr>
        <w:rFonts w:ascii="Symbol" w:hAnsi="Symbol" w:hint="default"/>
      </w:rPr>
    </w:lvl>
    <w:lvl w:ilvl="6" w:tplc="63342A6E" w:tentative="1">
      <w:start w:val="1"/>
      <w:numFmt w:val="bullet"/>
      <w:lvlText w:val=""/>
      <w:lvlPicBulletId w:val="0"/>
      <w:lvlJc w:val="left"/>
      <w:pPr>
        <w:tabs>
          <w:tab w:val="num" w:pos="5040"/>
        </w:tabs>
        <w:ind w:left="5040" w:hanging="360"/>
      </w:pPr>
      <w:rPr>
        <w:rFonts w:ascii="Symbol" w:hAnsi="Symbol" w:hint="default"/>
      </w:rPr>
    </w:lvl>
    <w:lvl w:ilvl="7" w:tplc="1220AB3C" w:tentative="1">
      <w:start w:val="1"/>
      <w:numFmt w:val="bullet"/>
      <w:lvlText w:val=""/>
      <w:lvlPicBulletId w:val="0"/>
      <w:lvlJc w:val="left"/>
      <w:pPr>
        <w:tabs>
          <w:tab w:val="num" w:pos="5760"/>
        </w:tabs>
        <w:ind w:left="5760" w:hanging="360"/>
      </w:pPr>
      <w:rPr>
        <w:rFonts w:ascii="Symbol" w:hAnsi="Symbol" w:hint="default"/>
      </w:rPr>
    </w:lvl>
    <w:lvl w:ilvl="8" w:tplc="BE38143E"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B1A7090"/>
    <w:multiLevelType w:val="hybridMultilevel"/>
    <w:tmpl w:val="181E9356"/>
    <w:lvl w:ilvl="0" w:tplc="D982CB36">
      <w:start w:val="1"/>
      <w:numFmt w:val="bullet"/>
      <w:lvlText w:val="•"/>
      <w:lvlJc w:val="left"/>
      <w:pPr>
        <w:tabs>
          <w:tab w:val="num" w:pos="720"/>
        </w:tabs>
        <w:ind w:left="720" w:hanging="360"/>
      </w:pPr>
      <w:rPr>
        <w:rFonts w:ascii="Arial" w:hAnsi="Arial" w:hint="default"/>
      </w:rPr>
    </w:lvl>
    <w:lvl w:ilvl="1" w:tplc="8B943BC0">
      <w:start w:val="1"/>
      <w:numFmt w:val="bullet"/>
      <w:lvlText w:val="•"/>
      <w:lvlJc w:val="left"/>
      <w:pPr>
        <w:tabs>
          <w:tab w:val="num" w:pos="1440"/>
        </w:tabs>
        <w:ind w:left="1440" w:hanging="360"/>
      </w:pPr>
      <w:rPr>
        <w:rFonts w:ascii="Arial" w:hAnsi="Arial" w:hint="default"/>
      </w:rPr>
    </w:lvl>
    <w:lvl w:ilvl="2" w:tplc="B0007564">
      <w:numFmt w:val="bullet"/>
      <w:lvlText w:val="•"/>
      <w:lvlJc w:val="left"/>
      <w:pPr>
        <w:tabs>
          <w:tab w:val="num" w:pos="2160"/>
        </w:tabs>
        <w:ind w:left="2160" w:hanging="360"/>
      </w:pPr>
      <w:rPr>
        <w:rFonts w:ascii="Arial" w:hAnsi="Arial" w:hint="default"/>
      </w:rPr>
    </w:lvl>
    <w:lvl w:ilvl="3" w:tplc="F0628804" w:tentative="1">
      <w:start w:val="1"/>
      <w:numFmt w:val="bullet"/>
      <w:lvlText w:val="•"/>
      <w:lvlJc w:val="left"/>
      <w:pPr>
        <w:tabs>
          <w:tab w:val="num" w:pos="2880"/>
        </w:tabs>
        <w:ind w:left="2880" w:hanging="360"/>
      </w:pPr>
      <w:rPr>
        <w:rFonts w:ascii="Arial" w:hAnsi="Arial" w:hint="default"/>
      </w:rPr>
    </w:lvl>
    <w:lvl w:ilvl="4" w:tplc="9D44A480" w:tentative="1">
      <w:start w:val="1"/>
      <w:numFmt w:val="bullet"/>
      <w:lvlText w:val="•"/>
      <w:lvlJc w:val="left"/>
      <w:pPr>
        <w:tabs>
          <w:tab w:val="num" w:pos="3600"/>
        </w:tabs>
        <w:ind w:left="3600" w:hanging="360"/>
      </w:pPr>
      <w:rPr>
        <w:rFonts w:ascii="Arial" w:hAnsi="Arial" w:hint="default"/>
      </w:rPr>
    </w:lvl>
    <w:lvl w:ilvl="5" w:tplc="2DE02FE6" w:tentative="1">
      <w:start w:val="1"/>
      <w:numFmt w:val="bullet"/>
      <w:lvlText w:val="•"/>
      <w:lvlJc w:val="left"/>
      <w:pPr>
        <w:tabs>
          <w:tab w:val="num" w:pos="4320"/>
        </w:tabs>
        <w:ind w:left="4320" w:hanging="360"/>
      </w:pPr>
      <w:rPr>
        <w:rFonts w:ascii="Arial" w:hAnsi="Arial" w:hint="default"/>
      </w:rPr>
    </w:lvl>
    <w:lvl w:ilvl="6" w:tplc="E378FC4E" w:tentative="1">
      <w:start w:val="1"/>
      <w:numFmt w:val="bullet"/>
      <w:lvlText w:val="•"/>
      <w:lvlJc w:val="left"/>
      <w:pPr>
        <w:tabs>
          <w:tab w:val="num" w:pos="5040"/>
        </w:tabs>
        <w:ind w:left="5040" w:hanging="360"/>
      </w:pPr>
      <w:rPr>
        <w:rFonts w:ascii="Arial" w:hAnsi="Arial" w:hint="default"/>
      </w:rPr>
    </w:lvl>
    <w:lvl w:ilvl="7" w:tplc="CE40F584" w:tentative="1">
      <w:start w:val="1"/>
      <w:numFmt w:val="bullet"/>
      <w:lvlText w:val="•"/>
      <w:lvlJc w:val="left"/>
      <w:pPr>
        <w:tabs>
          <w:tab w:val="num" w:pos="5760"/>
        </w:tabs>
        <w:ind w:left="5760" w:hanging="360"/>
      </w:pPr>
      <w:rPr>
        <w:rFonts w:ascii="Arial" w:hAnsi="Arial" w:hint="default"/>
      </w:rPr>
    </w:lvl>
    <w:lvl w:ilvl="8" w:tplc="8E5829D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1"/>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E8D5EAB"/>
    <w:multiLevelType w:val="multilevel"/>
    <w:tmpl w:val="6E8D5EAB"/>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24"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1"/>
  </w:num>
  <w:num w:numId="2">
    <w:abstractNumId w:val="21"/>
  </w:num>
  <w:num w:numId="3">
    <w:abstractNumId w:val="22"/>
  </w:num>
  <w:num w:numId="4">
    <w:abstractNumId w:val="3"/>
  </w:num>
  <w:num w:numId="5">
    <w:abstractNumId w:val="9"/>
  </w:num>
  <w:num w:numId="6">
    <w:abstractNumId w:val="19"/>
  </w:num>
  <w:num w:numId="7">
    <w:abstractNumId w:val="14"/>
  </w:num>
  <w:num w:numId="8">
    <w:abstractNumId w:val="23"/>
    <w:lvlOverride w:ilvl="0">
      <w:startOverride w:val="1"/>
    </w:lvlOverride>
  </w:num>
  <w:num w:numId="9">
    <w:abstractNumId w:val="16"/>
  </w:num>
  <w:num w:numId="10">
    <w:abstractNumId w:val="10"/>
  </w:num>
  <w:num w:numId="11">
    <w:abstractNumId w:val="8"/>
  </w:num>
  <w:num w:numId="12">
    <w:abstractNumId w:val="24"/>
  </w:num>
  <w:num w:numId="13">
    <w:abstractNumId w:val="0"/>
  </w:num>
  <w:num w:numId="14">
    <w:abstractNumId w:val="13"/>
  </w:num>
  <w:num w:numId="15">
    <w:abstractNumId w:val="4"/>
  </w:num>
  <w:num w:numId="16">
    <w:abstractNumId w:val="12"/>
  </w:num>
  <w:num w:numId="17">
    <w:abstractNumId w:val="20"/>
  </w:num>
  <w:num w:numId="18">
    <w:abstractNumId w:val="5"/>
  </w:num>
  <w:num w:numId="19">
    <w:abstractNumId w:val="18"/>
  </w:num>
  <w:num w:numId="20">
    <w:abstractNumId w:val="11"/>
  </w:num>
  <w:num w:numId="21">
    <w:abstractNumId w:val="11"/>
  </w:num>
  <w:num w:numId="22">
    <w:abstractNumId w:val="15"/>
  </w:num>
  <w:num w:numId="23">
    <w:abstractNumId w:val="2"/>
  </w:num>
  <w:num w:numId="24">
    <w:abstractNumId w:val="11"/>
  </w:num>
  <w:num w:numId="25">
    <w:abstractNumId w:val="6"/>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
  </w:num>
  <w:num w:numId="29">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287"/>
    <w:rsid w:val="00023410"/>
    <w:rsid w:val="00023990"/>
    <w:rsid w:val="000239F5"/>
    <w:rsid w:val="00023AE6"/>
    <w:rsid w:val="0002463D"/>
    <w:rsid w:val="000246F5"/>
    <w:rsid w:val="000248EA"/>
    <w:rsid w:val="0002499B"/>
    <w:rsid w:val="00024B42"/>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8D4"/>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EC8"/>
    <w:rsid w:val="00046F36"/>
    <w:rsid w:val="000471F8"/>
    <w:rsid w:val="0004791F"/>
    <w:rsid w:val="0004795F"/>
    <w:rsid w:val="00047A40"/>
    <w:rsid w:val="00047E74"/>
    <w:rsid w:val="000503F0"/>
    <w:rsid w:val="00050418"/>
    <w:rsid w:val="000504F8"/>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57915"/>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1D4"/>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314"/>
    <w:rsid w:val="000959E6"/>
    <w:rsid w:val="00095FA9"/>
    <w:rsid w:val="00096355"/>
    <w:rsid w:val="000967E7"/>
    <w:rsid w:val="000969FD"/>
    <w:rsid w:val="000972E8"/>
    <w:rsid w:val="00097968"/>
    <w:rsid w:val="000A0965"/>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2F61"/>
    <w:rsid w:val="000A31EE"/>
    <w:rsid w:val="000A343E"/>
    <w:rsid w:val="000A3619"/>
    <w:rsid w:val="000A3A3D"/>
    <w:rsid w:val="000A3A69"/>
    <w:rsid w:val="000A3F33"/>
    <w:rsid w:val="000A412F"/>
    <w:rsid w:val="000A4511"/>
    <w:rsid w:val="000A4626"/>
    <w:rsid w:val="000A4864"/>
    <w:rsid w:val="000A49AE"/>
    <w:rsid w:val="000A5581"/>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B7D42"/>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E6"/>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EA5"/>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A99"/>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4EB2"/>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1D"/>
    <w:rsid w:val="00110653"/>
    <w:rsid w:val="0011072F"/>
    <w:rsid w:val="00110B6F"/>
    <w:rsid w:val="00110E70"/>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8"/>
    <w:rsid w:val="00113C9C"/>
    <w:rsid w:val="001143A4"/>
    <w:rsid w:val="00114872"/>
    <w:rsid w:val="00114A62"/>
    <w:rsid w:val="00114A8F"/>
    <w:rsid w:val="00114B6B"/>
    <w:rsid w:val="00114C7C"/>
    <w:rsid w:val="00114F4F"/>
    <w:rsid w:val="001150FA"/>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4A3"/>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0D9"/>
    <w:rsid w:val="001352DA"/>
    <w:rsid w:val="00135819"/>
    <w:rsid w:val="00135E13"/>
    <w:rsid w:val="00136365"/>
    <w:rsid w:val="00136A39"/>
    <w:rsid w:val="00136B55"/>
    <w:rsid w:val="00136BDF"/>
    <w:rsid w:val="001372B1"/>
    <w:rsid w:val="00137423"/>
    <w:rsid w:val="0013763B"/>
    <w:rsid w:val="00137D81"/>
    <w:rsid w:val="00140272"/>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E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278"/>
    <w:rsid w:val="0017556F"/>
    <w:rsid w:val="00175762"/>
    <w:rsid w:val="00175C29"/>
    <w:rsid w:val="00175E15"/>
    <w:rsid w:val="00176156"/>
    <w:rsid w:val="001761E8"/>
    <w:rsid w:val="00176652"/>
    <w:rsid w:val="0017685D"/>
    <w:rsid w:val="001768B6"/>
    <w:rsid w:val="00176945"/>
    <w:rsid w:val="001771D5"/>
    <w:rsid w:val="0017751C"/>
    <w:rsid w:val="00177970"/>
    <w:rsid w:val="001779DD"/>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6D0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A29"/>
    <w:rsid w:val="001A1B9D"/>
    <w:rsid w:val="001A1D6F"/>
    <w:rsid w:val="001A1F68"/>
    <w:rsid w:val="001A24F6"/>
    <w:rsid w:val="001A2B46"/>
    <w:rsid w:val="001A3193"/>
    <w:rsid w:val="001A32F8"/>
    <w:rsid w:val="001A3A5D"/>
    <w:rsid w:val="001A49F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1CB"/>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41FF"/>
    <w:rsid w:val="001E443A"/>
    <w:rsid w:val="001E4501"/>
    <w:rsid w:val="001E45DD"/>
    <w:rsid w:val="001E537A"/>
    <w:rsid w:val="001E56E5"/>
    <w:rsid w:val="001E57E7"/>
    <w:rsid w:val="001E584A"/>
    <w:rsid w:val="001E5958"/>
    <w:rsid w:val="001E5C6E"/>
    <w:rsid w:val="001E5D7A"/>
    <w:rsid w:val="001E6605"/>
    <w:rsid w:val="001E6BB2"/>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CD3"/>
    <w:rsid w:val="00222D1D"/>
    <w:rsid w:val="002230A2"/>
    <w:rsid w:val="00223392"/>
    <w:rsid w:val="00223D1D"/>
    <w:rsid w:val="00223D2D"/>
    <w:rsid w:val="002244E0"/>
    <w:rsid w:val="002247C0"/>
    <w:rsid w:val="00224884"/>
    <w:rsid w:val="00224DBE"/>
    <w:rsid w:val="00224DE9"/>
    <w:rsid w:val="00224E55"/>
    <w:rsid w:val="002256CD"/>
    <w:rsid w:val="00225DB0"/>
    <w:rsid w:val="00225E7F"/>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795"/>
    <w:rsid w:val="00232F73"/>
    <w:rsid w:val="00233007"/>
    <w:rsid w:val="00233355"/>
    <w:rsid w:val="0023379E"/>
    <w:rsid w:val="00233A2D"/>
    <w:rsid w:val="00233C7C"/>
    <w:rsid w:val="00233EC2"/>
    <w:rsid w:val="0023451E"/>
    <w:rsid w:val="0023458E"/>
    <w:rsid w:val="002349F0"/>
    <w:rsid w:val="00234B43"/>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8B0"/>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2EE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8E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C44"/>
    <w:rsid w:val="00270F79"/>
    <w:rsid w:val="0027102E"/>
    <w:rsid w:val="00271B1A"/>
    <w:rsid w:val="00272474"/>
    <w:rsid w:val="0027257D"/>
    <w:rsid w:val="00272622"/>
    <w:rsid w:val="0027283D"/>
    <w:rsid w:val="0027284E"/>
    <w:rsid w:val="002728B3"/>
    <w:rsid w:val="00272955"/>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E93"/>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2CBC"/>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901B9"/>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0F53"/>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4E9D"/>
    <w:rsid w:val="002B51C5"/>
    <w:rsid w:val="002B538E"/>
    <w:rsid w:val="002B591F"/>
    <w:rsid w:val="002B5AE1"/>
    <w:rsid w:val="002B6395"/>
    <w:rsid w:val="002B72D7"/>
    <w:rsid w:val="002B738D"/>
    <w:rsid w:val="002B75CC"/>
    <w:rsid w:val="002B7610"/>
    <w:rsid w:val="002B7663"/>
    <w:rsid w:val="002B796B"/>
    <w:rsid w:val="002B7C3A"/>
    <w:rsid w:val="002B7DC1"/>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B9C"/>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4E35"/>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438"/>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6EDA"/>
    <w:rsid w:val="003574B2"/>
    <w:rsid w:val="003575C2"/>
    <w:rsid w:val="003576BC"/>
    <w:rsid w:val="00357FC6"/>
    <w:rsid w:val="003608F8"/>
    <w:rsid w:val="00360C7D"/>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08"/>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40F"/>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20C"/>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88"/>
    <w:rsid w:val="003B58FA"/>
    <w:rsid w:val="003B5B34"/>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414B"/>
    <w:rsid w:val="003D41F2"/>
    <w:rsid w:val="003D4F62"/>
    <w:rsid w:val="003D50FE"/>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447"/>
    <w:rsid w:val="003F3764"/>
    <w:rsid w:val="003F3C05"/>
    <w:rsid w:val="003F3D6B"/>
    <w:rsid w:val="003F45F1"/>
    <w:rsid w:val="003F491F"/>
    <w:rsid w:val="003F4AC0"/>
    <w:rsid w:val="003F4B91"/>
    <w:rsid w:val="003F5256"/>
    <w:rsid w:val="003F5320"/>
    <w:rsid w:val="003F54D2"/>
    <w:rsid w:val="003F5ADC"/>
    <w:rsid w:val="003F5CF1"/>
    <w:rsid w:val="003F65D5"/>
    <w:rsid w:val="003F69A3"/>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E84"/>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B69"/>
    <w:rsid w:val="00440C6D"/>
    <w:rsid w:val="00440F34"/>
    <w:rsid w:val="0044125C"/>
    <w:rsid w:val="00441AA7"/>
    <w:rsid w:val="00441C17"/>
    <w:rsid w:val="00441E61"/>
    <w:rsid w:val="00441F42"/>
    <w:rsid w:val="004421D0"/>
    <w:rsid w:val="004421FA"/>
    <w:rsid w:val="00442362"/>
    <w:rsid w:val="00442715"/>
    <w:rsid w:val="00442DA1"/>
    <w:rsid w:val="00442EAE"/>
    <w:rsid w:val="0044397D"/>
    <w:rsid w:val="00443AD7"/>
    <w:rsid w:val="00443E25"/>
    <w:rsid w:val="00443F45"/>
    <w:rsid w:val="00443FB8"/>
    <w:rsid w:val="00443FD4"/>
    <w:rsid w:val="0044402F"/>
    <w:rsid w:val="00444336"/>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0EA"/>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97F"/>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3F30"/>
    <w:rsid w:val="00484022"/>
    <w:rsid w:val="00484153"/>
    <w:rsid w:val="0048431F"/>
    <w:rsid w:val="0048441C"/>
    <w:rsid w:val="00484596"/>
    <w:rsid w:val="00484765"/>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038"/>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073"/>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E2"/>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2C5C"/>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1E9E"/>
    <w:rsid w:val="0053208A"/>
    <w:rsid w:val="0053232B"/>
    <w:rsid w:val="0053279B"/>
    <w:rsid w:val="005327B6"/>
    <w:rsid w:val="00532855"/>
    <w:rsid w:val="005328EA"/>
    <w:rsid w:val="005329DC"/>
    <w:rsid w:val="00532DBC"/>
    <w:rsid w:val="00532FC9"/>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096"/>
    <w:rsid w:val="00567347"/>
    <w:rsid w:val="0056782C"/>
    <w:rsid w:val="00567B4B"/>
    <w:rsid w:val="00570586"/>
    <w:rsid w:val="0057060A"/>
    <w:rsid w:val="005711AE"/>
    <w:rsid w:val="00571231"/>
    <w:rsid w:val="00571900"/>
    <w:rsid w:val="005719CC"/>
    <w:rsid w:val="00571F80"/>
    <w:rsid w:val="005722D2"/>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684"/>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A6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767"/>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2B3"/>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DF3"/>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1C"/>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76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526"/>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BD6"/>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CDF"/>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173"/>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3B7"/>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527"/>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9E2"/>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14"/>
    <w:rsid w:val="006F6496"/>
    <w:rsid w:val="006F64F4"/>
    <w:rsid w:val="006F65AF"/>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64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3A"/>
    <w:rsid w:val="00727E45"/>
    <w:rsid w:val="00730320"/>
    <w:rsid w:val="007305C3"/>
    <w:rsid w:val="00730600"/>
    <w:rsid w:val="00730AF5"/>
    <w:rsid w:val="00731013"/>
    <w:rsid w:val="00731526"/>
    <w:rsid w:val="0073169F"/>
    <w:rsid w:val="007316F1"/>
    <w:rsid w:val="00731776"/>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47DFF"/>
    <w:rsid w:val="00750205"/>
    <w:rsid w:val="00750207"/>
    <w:rsid w:val="00750C3A"/>
    <w:rsid w:val="00751024"/>
    <w:rsid w:val="00751067"/>
    <w:rsid w:val="007515DC"/>
    <w:rsid w:val="007516E5"/>
    <w:rsid w:val="00751CF0"/>
    <w:rsid w:val="00752882"/>
    <w:rsid w:val="00752974"/>
    <w:rsid w:val="00752B07"/>
    <w:rsid w:val="00752DDB"/>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82E"/>
    <w:rsid w:val="00790B6A"/>
    <w:rsid w:val="00790B91"/>
    <w:rsid w:val="00790DB3"/>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412"/>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0"/>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AC"/>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2C9"/>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81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29A"/>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8AB"/>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84E"/>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609"/>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CC9"/>
    <w:rsid w:val="008B4E0D"/>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972"/>
    <w:rsid w:val="008D59F7"/>
    <w:rsid w:val="008D5A2D"/>
    <w:rsid w:val="008D5AB8"/>
    <w:rsid w:val="008D5C4B"/>
    <w:rsid w:val="008D5C6A"/>
    <w:rsid w:val="008D5CEF"/>
    <w:rsid w:val="008D5D56"/>
    <w:rsid w:val="008D5D89"/>
    <w:rsid w:val="008D5EDA"/>
    <w:rsid w:val="008D5F38"/>
    <w:rsid w:val="008D6028"/>
    <w:rsid w:val="008D61EE"/>
    <w:rsid w:val="008D62C7"/>
    <w:rsid w:val="008D6A2F"/>
    <w:rsid w:val="008D6A7B"/>
    <w:rsid w:val="008D6C22"/>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037"/>
    <w:rsid w:val="0091417E"/>
    <w:rsid w:val="0091428C"/>
    <w:rsid w:val="009142BD"/>
    <w:rsid w:val="00914390"/>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453"/>
    <w:rsid w:val="00932873"/>
    <w:rsid w:val="009330DD"/>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281"/>
    <w:rsid w:val="0093763B"/>
    <w:rsid w:val="009378C7"/>
    <w:rsid w:val="009379C5"/>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47EA9"/>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81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6FD"/>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80F"/>
    <w:rsid w:val="009A0A21"/>
    <w:rsid w:val="009A0B7D"/>
    <w:rsid w:val="009A0CF7"/>
    <w:rsid w:val="009A0ED1"/>
    <w:rsid w:val="009A1587"/>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2F21"/>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5CF"/>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651"/>
    <w:rsid w:val="00A1691C"/>
    <w:rsid w:val="00A16948"/>
    <w:rsid w:val="00A169BD"/>
    <w:rsid w:val="00A16AE1"/>
    <w:rsid w:val="00A17080"/>
    <w:rsid w:val="00A1737D"/>
    <w:rsid w:val="00A1762A"/>
    <w:rsid w:val="00A179C1"/>
    <w:rsid w:val="00A20273"/>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E12"/>
    <w:rsid w:val="00A25F0F"/>
    <w:rsid w:val="00A25F52"/>
    <w:rsid w:val="00A26490"/>
    <w:rsid w:val="00A26497"/>
    <w:rsid w:val="00A26644"/>
    <w:rsid w:val="00A26BC9"/>
    <w:rsid w:val="00A26E81"/>
    <w:rsid w:val="00A2732D"/>
    <w:rsid w:val="00A277BD"/>
    <w:rsid w:val="00A2794D"/>
    <w:rsid w:val="00A27A6E"/>
    <w:rsid w:val="00A27CC2"/>
    <w:rsid w:val="00A300E8"/>
    <w:rsid w:val="00A30289"/>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A95"/>
    <w:rsid w:val="00A40C7F"/>
    <w:rsid w:val="00A40E1A"/>
    <w:rsid w:val="00A40F36"/>
    <w:rsid w:val="00A415CE"/>
    <w:rsid w:val="00A419BE"/>
    <w:rsid w:val="00A41B10"/>
    <w:rsid w:val="00A4284A"/>
    <w:rsid w:val="00A429AA"/>
    <w:rsid w:val="00A42AF1"/>
    <w:rsid w:val="00A43127"/>
    <w:rsid w:val="00A43134"/>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042"/>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61D"/>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28BB"/>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37A"/>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6B9"/>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5C7"/>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38"/>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9CA"/>
    <w:rsid w:val="00AB5F73"/>
    <w:rsid w:val="00AB614D"/>
    <w:rsid w:val="00AB617A"/>
    <w:rsid w:val="00AB6282"/>
    <w:rsid w:val="00AB63FA"/>
    <w:rsid w:val="00AB6943"/>
    <w:rsid w:val="00AB7519"/>
    <w:rsid w:val="00AB791B"/>
    <w:rsid w:val="00AC0825"/>
    <w:rsid w:val="00AC0B98"/>
    <w:rsid w:val="00AC0DD6"/>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02E"/>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698"/>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9C0"/>
    <w:rsid w:val="00AE5CBE"/>
    <w:rsid w:val="00AE60C6"/>
    <w:rsid w:val="00AE627D"/>
    <w:rsid w:val="00AE642D"/>
    <w:rsid w:val="00AE6A35"/>
    <w:rsid w:val="00AE6A91"/>
    <w:rsid w:val="00AE6D3E"/>
    <w:rsid w:val="00AE6F9E"/>
    <w:rsid w:val="00AE7511"/>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B78"/>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1F21"/>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4D"/>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39"/>
    <w:rsid w:val="00B23059"/>
    <w:rsid w:val="00B235A6"/>
    <w:rsid w:val="00B239D8"/>
    <w:rsid w:val="00B2429F"/>
    <w:rsid w:val="00B24831"/>
    <w:rsid w:val="00B24983"/>
    <w:rsid w:val="00B24AB8"/>
    <w:rsid w:val="00B24D99"/>
    <w:rsid w:val="00B251D6"/>
    <w:rsid w:val="00B25934"/>
    <w:rsid w:val="00B25B31"/>
    <w:rsid w:val="00B25D53"/>
    <w:rsid w:val="00B25F49"/>
    <w:rsid w:val="00B2656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71F"/>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6D4B"/>
    <w:rsid w:val="00B37219"/>
    <w:rsid w:val="00B373F8"/>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114"/>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AA2"/>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D4"/>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B01"/>
    <w:rsid w:val="00BA3EB1"/>
    <w:rsid w:val="00BA3F15"/>
    <w:rsid w:val="00BA4521"/>
    <w:rsid w:val="00BA4A05"/>
    <w:rsid w:val="00BA5AE3"/>
    <w:rsid w:val="00BA5BCC"/>
    <w:rsid w:val="00BA606E"/>
    <w:rsid w:val="00BA6295"/>
    <w:rsid w:val="00BA687D"/>
    <w:rsid w:val="00BA6A1B"/>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A19"/>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C66"/>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4C4"/>
    <w:rsid w:val="00BC35FB"/>
    <w:rsid w:val="00BC3712"/>
    <w:rsid w:val="00BC3756"/>
    <w:rsid w:val="00BC4194"/>
    <w:rsid w:val="00BC4326"/>
    <w:rsid w:val="00BC4830"/>
    <w:rsid w:val="00BC4F3B"/>
    <w:rsid w:val="00BC4FA5"/>
    <w:rsid w:val="00BC508C"/>
    <w:rsid w:val="00BC5547"/>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3EEB"/>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6DB7"/>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066"/>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11"/>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0B0A"/>
    <w:rsid w:val="00C31031"/>
    <w:rsid w:val="00C31975"/>
    <w:rsid w:val="00C31A6A"/>
    <w:rsid w:val="00C31B23"/>
    <w:rsid w:val="00C31B76"/>
    <w:rsid w:val="00C31F4C"/>
    <w:rsid w:val="00C325E8"/>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70D"/>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D1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B"/>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0CF"/>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4D4"/>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6D2"/>
    <w:rsid w:val="00CA4CF2"/>
    <w:rsid w:val="00CA505E"/>
    <w:rsid w:val="00CA5096"/>
    <w:rsid w:val="00CA519A"/>
    <w:rsid w:val="00CA5709"/>
    <w:rsid w:val="00CA5B34"/>
    <w:rsid w:val="00CA5CBD"/>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7F"/>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AE1"/>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2F"/>
    <w:rsid w:val="00CD7EF8"/>
    <w:rsid w:val="00CD7F47"/>
    <w:rsid w:val="00CE025B"/>
    <w:rsid w:val="00CE092B"/>
    <w:rsid w:val="00CE0BE4"/>
    <w:rsid w:val="00CE1131"/>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907"/>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9AB"/>
    <w:rsid w:val="00D21D17"/>
    <w:rsid w:val="00D21E85"/>
    <w:rsid w:val="00D2208E"/>
    <w:rsid w:val="00D223A4"/>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247"/>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0FC9"/>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B1"/>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EF9"/>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08E"/>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5EF4"/>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8A"/>
    <w:rsid w:val="00DF59D5"/>
    <w:rsid w:val="00DF5A72"/>
    <w:rsid w:val="00DF5D0E"/>
    <w:rsid w:val="00DF6058"/>
    <w:rsid w:val="00DF630C"/>
    <w:rsid w:val="00DF6A57"/>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2ED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7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543"/>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39E"/>
    <w:rsid w:val="00E6567F"/>
    <w:rsid w:val="00E662CB"/>
    <w:rsid w:val="00E66503"/>
    <w:rsid w:val="00E66561"/>
    <w:rsid w:val="00E665AD"/>
    <w:rsid w:val="00E6668D"/>
    <w:rsid w:val="00E66897"/>
    <w:rsid w:val="00E66B1A"/>
    <w:rsid w:val="00E66B7E"/>
    <w:rsid w:val="00E66B9B"/>
    <w:rsid w:val="00E66FB9"/>
    <w:rsid w:val="00E67299"/>
    <w:rsid w:val="00E67543"/>
    <w:rsid w:val="00E677A9"/>
    <w:rsid w:val="00E679C7"/>
    <w:rsid w:val="00E67AAC"/>
    <w:rsid w:val="00E67B0C"/>
    <w:rsid w:val="00E70189"/>
    <w:rsid w:val="00E703F4"/>
    <w:rsid w:val="00E70613"/>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3CFD"/>
    <w:rsid w:val="00E7435B"/>
    <w:rsid w:val="00E74461"/>
    <w:rsid w:val="00E7453C"/>
    <w:rsid w:val="00E74870"/>
    <w:rsid w:val="00E74A7C"/>
    <w:rsid w:val="00E7535E"/>
    <w:rsid w:val="00E7539D"/>
    <w:rsid w:val="00E75AFB"/>
    <w:rsid w:val="00E75B32"/>
    <w:rsid w:val="00E75EBB"/>
    <w:rsid w:val="00E761F5"/>
    <w:rsid w:val="00E762D2"/>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73"/>
    <w:rsid w:val="00EA1781"/>
    <w:rsid w:val="00EA18AF"/>
    <w:rsid w:val="00EA1A80"/>
    <w:rsid w:val="00EA1CE4"/>
    <w:rsid w:val="00EA1E34"/>
    <w:rsid w:val="00EA1EA3"/>
    <w:rsid w:val="00EA2299"/>
    <w:rsid w:val="00EA22B3"/>
    <w:rsid w:val="00EA22D6"/>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7C6"/>
    <w:rsid w:val="00F40957"/>
    <w:rsid w:val="00F40963"/>
    <w:rsid w:val="00F40B38"/>
    <w:rsid w:val="00F41091"/>
    <w:rsid w:val="00F41697"/>
    <w:rsid w:val="00F41FD2"/>
    <w:rsid w:val="00F42AC0"/>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18C"/>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AAC"/>
    <w:rsid w:val="00F92FFA"/>
    <w:rsid w:val="00F937D3"/>
    <w:rsid w:val="00F93CB2"/>
    <w:rsid w:val="00F93F0F"/>
    <w:rsid w:val="00F94113"/>
    <w:rsid w:val="00F9451B"/>
    <w:rsid w:val="00F94625"/>
    <w:rsid w:val="00F949B9"/>
    <w:rsid w:val="00F94BC7"/>
    <w:rsid w:val="00F94E36"/>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1905"/>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3A"/>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uiPriority="10" w:qFormat="1"/>
    <w:lsdException w:name="Subtitle" w:uiPriority="11" w:qFormat="1"/>
    <w:lsdException w:name="Hyperlink" w:uiPriority="99"/>
    <w:lsdException w:name="Strong" w:uiPriority="22" w:qFormat="1"/>
    <w:lsdException w:name="Emphasis" w:qFormat="1"/>
    <w:lsdException w:name="Normal (Web)" w:uiPriority="99"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0">
    <w:name w:val="heading 3"/>
    <w:aliases w:val="H3"/>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0"/>
    <w:next w:val="a"/>
    <w:link w:val="4Char"/>
    <w:qFormat/>
    <w:pPr>
      <w:numPr>
        <w:ilvl w:val="3"/>
      </w:numPr>
      <w:outlineLvl w:val="3"/>
    </w:pPr>
    <w:rPr>
      <w:sz w:val="24"/>
    </w:rPr>
  </w:style>
  <w:style w:type="paragraph" w:styleId="5">
    <w:name w:val="heading 5"/>
    <w:aliases w:val="h5,Heading5,H5,5,mh2,Module heading 2"/>
    <w:basedOn w:val="4"/>
    <w:next w:val="a"/>
    <w:link w:val="5Char"/>
    <w:qFormat/>
    <w:pPr>
      <w:numPr>
        <w:ilvl w:val="5"/>
      </w:numPr>
      <w:outlineLvl w:val="4"/>
    </w:pPr>
    <w:rPr>
      <w:sz w:val="22"/>
    </w:rPr>
  </w:style>
  <w:style w:type="paragraph" w:styleId="6">
    <w:name w:val="heading 6"/>
    <w:basedOn w:val="H6"/>
    <w:next w:val="a"/>
    <w:link w:val="6Char"/>
    <w:qFormat/>
    <w:pPr>
      <w:outlineLvl w:val="5"/>
    </w:pPr>
  </w:style>
  <w:style w:type="paragraph" w:styleId="7">
    <w:name w:val="heading 7"/>
    <w:aliases w:val="7,figure title,No#,No digit heading,h7"/>
    <w:basedOn w:val="H6"/>
    <w:next w:val="a"/>
    <w:link w:val="7Char"/>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link w:val="1Char0"/>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pPr>
      <w:keepLines/>
      <w:spacing w:after="0"/>
    </w:pPr>
  </w:style>
  <w:style w:type="paragraph" w:styleId="22">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2"/>
    <w:pPr>
      <w:ind w:left="568" w:hanging="284"/>
    </w:pPr>
    <w:rPr>
      <w:rFonts w:ascii="Tms Rmn" w:hAnsi="Tms Rmn"/>
    </w:rPr>
  </w:style>
  <w:style w:type="character" w:customStyle="1" w:styleId="Char2">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8"/>
    <w:link w:val="B1Char"/>
    <w:qFormat/>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4">
    <w:name w:val="List Bullet 2"/>
    <w:basedOn w:val="a9"/>
    <w:link w:val="2Char0"/>
    <w:pPr>
      <w:ind w:left="851"/>
    </w:pPr>
  </w:style>
  <w:style w:type="paragraph" w:styleId="a9">
    <w:name w:val="List Bullet"/>
    <w:basedOn w:val="a8"/>
    <w:link w:val="Char3"/>
  </w:style>
  <w:style w:type="character" w:customStyle="1" w:styleId="Char3">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Bullet 3"/>
    <w:basedOn w:val="24"/>
    <w:link w:val="3Char0"/>
    <w:pPr>
      <w:ind w:left="1135"/>
    </w:pPr>
  </w:style>
  <w:style w:type="character" w:customStyle="1" w:styleId="3Char0">
    <w:name w:val="列表项目符号 3 Char"/>
    <w:link w:val="33"/>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4">
    <w:name w:val="List 3"/>
    <w:basedOn w:val="25"/>
    <w:pPr>
      <w:ind w:left="1135"/>
    </w:pPr>
  </w:style>
  <w:style w:type="paragraph" w:styleId="41">
    <w:name w:val="List 4"/>
    <w:basedOn w:val="34"/>
    <w:pPr>
      <w:ind w:left="1418"/>
    </w:pPr>
  </w:style>
  <w:style w:type="paragraph" w:styleId="51">
    <w:name w:val="List 5"/>
    <w:basedOn w:val="41"/>
    <w:pPr>
      <w:ind w:left="1702"/>
    </w:pPr>
  </w:style>
  <w:style w:type="paragraph" w:styleId="42">
    <w:name w:val="List Bullet 4"/>
    <w:basedOn w:val="33"/>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4"/>
    <w:link w:val="B3Char2"/>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link w:val="Char5"/>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6"/>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7"/>
    <w:uiPriority w:val="99"/>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5">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link w:val="Char8"/>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link w:val="Char9"/>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a"/>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uiPriority w:val="22"/>
    <w:qFormat/>
    <w:rsid w:val="00AC76A8"/>
    <w:rPr>
      <w:b/>
      <w:bCs/>
    </w:rPr>
  </w:style>
  <w:style w:type="character" w:customStyle="1" w:styleId="Char7">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1">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a">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BA6A1B"/>
    <w:rPr>
      <w:rFonts w:ascii="Times New Roman" w:hAnsi="Times New Roman"/>
      <w:noProof/>
      <w:sz w:val="22"/>
      <w:lang w:val="en-GB" w:eastAsia="en-US"/>
    </w:rPr>
  </w:style>
  <w:style w:type="numbering" w:customStyle="1" w:styleId="13">
    <w:name w:val="无列表1"/>
    <w:next w:val="a2"/>
    <w:uiPriority w:val="99"/>
    <w:semiHidden/>
    <w:rsid w:val="00DC008E"/>
  </w:style>
  <w:style w:type="character" w:customStyle="1" w:styleId="3Char">
    <w:name w:val="标题 3 Char"/>
    <w:aliases w:val="H3 Char"/>
    <w:link w:val="30"/>
    <w:rsid w:val="00DC008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C008E"/>
    <w:rPr>
      <w:rFonts w:ascii="Arial" w:hAnsi="Arial"/>
      <w:sz w:val="24"/>
      <w:lang w:val="en-GB" w:eastAsia="en-US"/>
    </w:rPr>
  </w:style>
  <w:style w:type="character" w:customStyle="1" w:styleId="5Char">
    <w:name w:val="标题 5 Char"/>
    <w:aliases w:val="h5 Char,Heading5 Char,H5 Char,5 Char,mh2 Char,Module heading 2 Char"/>
    <w:link w:val="5"/>
    <w:rsid w:val="00DC008E"/>
    <w:rPr>
      <w:rFonts w:ascii="Arial" w:hAnsi="Arial"/>
      <w:sz w:val="22"/>
      <w:lang w:val="en-GB" w:eastAsia="en-US"/>
    </w:rPr>
  </w:style>
  <w:style w:type="character" w:customStyle="1" w:styleId="6Char">
    <w:name w:val="标题 6 Char"/>
    <w:link w:val="6"/>
    <w:rsid w:val="00DC008E"/>
    <w:rPr>
      <w:rFonts w:ascii="Arial" w:hAnsi="Arial"/>
      <w:lang w:val="en-GB" w:eastAsia="en-US"/>
    </w:rPr>
  </w:style>
  <w:style w:type="character" w:customStyle="1" w:styleId="7Char">
    <w:name w:val="标题 7 Char"/>
    <w:aliases w:val="7 Char,figure title Char,No# Char,No digit heading Char,h7 Char"/>
    <w:link w:val="7"/>
    <w:rsid w:val="00DC008E"/>
    <w:rPr>
      <w:rFonts w:ascii="Arial" w:hAnsi="Arial"/>
      <w:lang w:val="en-GB" w:eastAsia="en-US"/>
    </w:rPr>
  </w:style>
  <w:style w:type="character" w:customStyle="1" w:styleId="9Char">
    <w:name w:val="标题 9 Char"/>
    <w:aliases w:val="Table Title Char,Stack con't Char,h9 Char,table title Char,heading 9 Char,Table Title&#10; Char"/>
    <w:link w:val="9"/>
    <w:rsid w:val="00DC008E"/>
    <w:rPr>
      <w:rFonts w:ascii="Arial" w:hAnsi="Arial"/>
      <w:sz w:val="36"/>
      <w:lang w:val="en-GB" w:eastAsia="en-US"/>
    </w:rPr>
  </w:style>
  <w:style w:type="character" w:customStyle="1" w:styleId="Char0">
    <w:name w:val="页脚 Char"/>
    <w:link w:val="a4"/>
    <w:rsid w:val="00DC008E"/>
    <w:rPr>
      <w:rFonts w:ascii="Arial" w:hAnsi="Arial"/>
      <w:b/>
      <w:i/>
      <w:noProof/>
      <w:sz w:val="18"/>
    </w:rPr>
  </w:style>
  <w:style w:type="character" w:customStyle="1" w:styleId="TALChar">
    <w:name w:val="TAL Char"/>
    <w:qFormat/>
    <w:rsid w:val="00DC008E"/>
    <w:rPr>
      <w:rFonts w:ascii="Arial" w:hAnsi="Arial"/>
      <w:sz w:val="18"/>
      <w:lang w:val="en-GB" w:eastAsia="en-US"/>
    </w:rPr>
  </w:style>
  <w:style w:type="paragraph" w:customStyle="1" w:styleId="INDENT1">
    <w:name w:val="INDENT1"/>
    <w:basedOn w:val="a"/>
    <w:rsid w:val="00DC008E"/>
    <w:pPr>
      <w:spacing w:beforeLines="0" w:before="0" w:afterLines="0" w:after="180"/>
      <w:ind w:left="851"/>
    </w:pPr>
    <w:rPr>
      <w:rFonts w:eastAsia="宋体"/>
      <w:sz w:val="20"/>
    </w:rPr>
  </w:style>
  <w:style w:type="paragraph" w:customStyle="1" w:styleId="INDENT2">
    <w:name w:val="INDENT2"/>
    <w:basedOn w:val="a"/>
    <w:rsid w:val="00DC008E"/>
    <w:pPr>
      <w:spacing w:beforeLines="0" w:before="0" w:afterLines="0" w:after="180"/>
      <w:ind w:left="1135" w:hanging="284"/>
    </w:pPr>
    <w:rPr>
      <w:rFonts w:eastAsia="宋体"/>
      <w:sz w:val="20"/>
    </w:rPr>
  </w:style>
  <w:style w:type="paragraph" w:customStyle="1" w:styleId="INDENT3">
    <w:name w:val="INDENT3"/>
    <w:basedOn w:val="a"/>
    <w:rsid w:val="00DC008E"/>
    <w:pPr>
      <w:spacing w:beforeLines="0" w:before="0" w:afterLines="0" w:after="180"/>
      <w:ind w:left="1701" w:hanging="567"/>
    </w:pPr>
    <w:rPr>
      <w:rFonts w:eastAsia="宋体"/>
      <w:sz w:val="20"/>
    </w:rPr>
  </w:style>
  <w:style w:type="paragraph" w:customStyle="1" w:styleId="FigureTitle">
    <w:name w:val="Figure_Title"/>
    <w:basedOn w:val="a"/>
    <w:next w:val="a"/>
    <w:rsid w:val="00DC008E"/>
    <w:pPr>
      <w:keepLines/>
      <w:tabs>
        <w:tab w:val="left" w:pos="794"/>
        <w:tab w:val="left" w:pos="1191"/>
        <w:tab w:val="left" w:pos="1588"/>
        <w:tab w:val="left" w:pos="1985"/>
      </w:tabs>
      <w:spacing w:beforeLines="0" w:before="120" w:afterLines="0" w:after="480"/>
      <w:jc w:val="center"/>
    </w:pPr>
    <w:rPr>
      <w:rFonts w:eastAsia="宋体"/>
      <w:b/>
      <w:sz w:val="24"/>
    </w:rPr>
  </w:style>
  <w:style w:type="paragraph" w:styleId="afd">
    <w:name w:val="Block Text"/>
    <w:basedOn w:val="a"/>
    <w:rsid w:val="00DC008E"/>
    <w:pPr>
      <w:spacing w:beforeLines="0" w:before="0" w:afterLines="0" w:after="120"/>
      <w:ind w:left="1440" w:right="1440"/>
    </w:pPr>
    <w:rPr>
      <w:rFonts w:eastAsia="宋体"/>
      <w:sz w:val="20"/>
    </w:rPr>
  </w:style>
  <w:style w:type="paragraph" w:customStyle="1" w:styleId="enumlev2">
    <w:name w:val="enumlev2"/>
    <w:basedOn w:val="a"/>
    <w:rsid w:val="00DC008E"/>
    <w:pPr>
      <w:tabs>
        <w:tab w:val="left" w:pos="794"/>
        <w:tab w:val="left" w:pos="1191"/>
        <w:tab w:val="left" w:pos="1588"/>
        <w:tab w:val="left" w:pos="1985"/>
      </w:tabs>
      <w:spacing w:beforeLines="0" w:before="86" w:afterLines="0" w:after="180"/>
      <w:ind w:left="1588" w:hanging="397"/>
      <w:jc w:val="both"/>
    </w:pPr>
    <w:rPr>
      <w:rFonts w:eastAsia="宋体"/>
      <w:sz w:val="20"/>
      <w:lang w:val="en-US"/>
    </w:rPr>
  </w:style>
  <w:style w:type="paragraph" w:customStyle="1" w:styleId="CouvRecTitle">
    <w:name w:val="Couv Rec Title"/>
    <w:basedOn w:val="a"/>
    <w:rsid w:val="00DC008E"/>
    <w:pPr>
      <w:keepNext/>
      <w:keepLines/>
      <w:spacing w:beforeLines="0" w:before="240" w:afterLines="0" w:after="180"/>
      <w:ind w:left="1418"/>
    </w:pPr>
    <w:rPr>
      <w:rFonts w:ascii="Arial" w:eastAsia="宋体" w:hAnsi="Arial"/>
      <w:b/>
      <w:sz w:val="36"/>
      <w:lang w:val="en-US"/>
    </w:rPr>
  </w:style>
  <w:style w:type="character" w:customStyle="1" w:styleId="Char5">
    <w:name w:val="纯文本 Char"/>
    <w:link w:val="ae"/>
    <w:rsid w:val="00DC008E"/>
    <w:rPr>
      <w:rFonts w:ascii="Courier New" w:hAnsi="Courier New"/>
      <w:sz w:val="22"/>
      <w:lang w:eastAsia="en-US"/>
    </w:rPr>
  </w:style>
  <w:style w:type="paragraph" w:customStyle="1" w:styleId="TAJ">
    <w:name w:val="TAJ"/>
    <w:basedOn w:val="TH"/>
    <w:rsid w:val="00DC008E"/>
    <w:pPr>
      <w:spacing w:beforeLines="0" w:afterLines="0" w:after="180"/>
    </w:pPr>
    <w:rPr>
      <w:rFonts w:eastAsia="宋体"/>
      <w:sz w:val="20"/>
    </w:rPr>
  </w:style>
  <w:style w:type="character" w:customStyle="1" w:styleId="Char8">
    <w:name w:val="批注框文本 Char"/>
    <w:link w:val="af6"/>
    <w:rsid w:val="00DC008E"/>
    <w:rPr>
      <w:rFonts w:ascii="Tahoma" w:hAnsi="Tahoma" w:cs="Tahoma"/>
      <w:sz w:val="16"/>
      <w:szCs w:val="16"/>
      <w:lang w:val="en-GB" w:eastAsia="en-US"/>
    </w:rPr>
  </w:style>
  <w:style w:type="table" w:customStyle="1" w:styleId="36">
    <w:name w:val="网格型3"/>
    <w:basedOn w:val="a1"/>
    <w:next w:val="af4"/>
    <w:rsid w:val="00DC008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rsid w:val="00DC008E"/>
    <w:pPr>
      <w:widowControl w:val="0"/>
      <w:tabs>
        <w:tab w:val="left" w:pos="1701"/>
        <w:tab w:val="right" w:pos="9072"/>
        <w:tab w:val="right" w:pos="10206"/>
      </w:tabs>
      <w:spacing w:beforeLines="0" w:before="0" w:afterLines="0" w:after="0"/>
      <w:jc w:val="both"/>
    </w:pPr>
    <w:rPr>
      <w:rFonts w:ascii="Arial" w:eastAsia="Batang" w:hAnsi="Arial"/>
      <w:b/>
      <w:sz w:val="18"/>
    </w:rPr>
  </w:style>
  <w:style w:type="character" w:customStyle="1" w:styleId="CommentaireCar">
    <w:name w:val="Commentaire Car"/>
    <w:uiPriority w:val="99"/>
    <w:qFormat/>
    <w:rsid w:val="00DC008E"/>
    <w:rPr>
      <w:sz w:val="20"/>
      <w:szCs w:val="20"/>
    </w:rPr>
  </w:style>
  <w:style w:type="character" w:customStyle="1" w:styleId="Char9">
    <w:name w:val="批注主题 Char"/>
    <w:link w:val="af7"/>
    <w:rsid w:val="00DC008E"/>
    <w:rPr>
      <w:rFonts w:ascii="Times New Roman" w:hAnsi="Times New Roman"/>
      <w:b/>
      <w:bCs/>
      <w:sz w:val="22"/>
      <w:lang w:val="en-GB" w:eastAsia="en-US"/>
    </w:rPr>
  </w:style>
  <w:style w:type="paragraph" w:customStyle="1" w:styleId="Default">
    <w:name w:val="Default"/>
    <w:rsid w:val="00DC008E"/>
    <w:pPr>
      <w:autoSpaceDE w:val="0"/>
      <w:autoSpaceDN w:val="0"/>
      <w:adjustRightInd w:val="0"/>
    </w:pPr>
    <w:rPr>
      <w:rFonts w:ascii="Qualcomm Office" w:eastAsia="Calibri" w:hAnsi="Qualcomm Office" w:cs="Qualcomm Office"/>
      <w:color w:val="000000"/>
      <w:sz w:val="24"/>
      <w:szCs w:val="24"/>
      <w:lang w:eastAsia="en-US"/>
    </w:rPr>
  </w:style>
  <w:style w:type="character" w:styleId="afe">
    <w:name w:val="Emphasis"/>
    <w:qFormat/>
    <w:rsid w:val="00DC008E"/>
    <w:rPr>
      <w:i/>
      <w:iCs/>
    </w:rPr>
  </w:style>
  <w:style w:type="character" w:customStyle="1" w:styleId="citationref">
    <w:name w:val="citationref"/>
    <w:rsid w:val="00DC008E"/>
  </w:style>
  <w:style w:type="character" w:customStyle="1" w:styleId="GuidanceChar">
    <w:name w:val="Guidance Char"/>
    <w:qFormat/>
    <w:rsid w:val="00DC008E"/>
    <w:rPr>
      <w:i/>
      <w:color w:val="0000FF"/>
      <w:lang w:eastAsia="en-US"/>
    </w:rPr>
  </w:style>
  <w:style w:type="paragraph" w:customStyle="1" w:styleId="Char1CharCharCharCharChar">
    <w:name w:val="Char1 Char Char Char Char Char"/>
    <w:semiHidden/>
    <w:rsid w:val="00DC008E"/>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4"/>
    </w:rPr>
  </w:style>
  <w:style w:type="paragraph" w:customStyle="1" w:styleId="FinExigence">
    <w:name w:val="FinExigence"/>
    <w:basedOn w:val="a"/>
    <w:next w:val="a"/>
    <w:link w:val="FinExigenceCar"/>
    <w:rsid w:val="00DC008E"/>
    <w:pPr>
      <w:pBdr>
        <w:top w:val="single" w:sz="6" w:space="1" w:color="auto"/>
      </w:pBdr>
      <w:spacing w:beforeLines="0" w:before="120" w:afterLines="0" w:after="0"/>
      <w:jc w:val="right"/>
    </w:pPr>
    <w:rPr>
      <w:rFonts w:eastAsia="宋体"/>
      <w:noProof/>
      <w:sz w:val="16"/>
    </w:rPr>
  </w:style>
  <w:style w:type="character" w:customStyle="1" w:styleId="FinExigenceCar">
    <w:name w:val="FinExigence Car"/>
    <w:link w:val="FinExigence"/>
    <w:rsid w:val="00DC008E"/>
    <w:rPr>
      <w:rFonts w:ascii="Times New Roman" w:eastAsia="宋体" w:hAnsi="Times New Roman"/>
      <w:noProof/>
      <w:sz w:val="16"/>
      <w:lang w:val="en-GB" w:eastAsia="en-US"/>
    </w:rPr>
  </w:style>
  <w:style w:type="paragraph" w:customStyle="1" w:styleId="Cover">
    <w:name w:val="Cover"/>
    <w:basedOn w:val="a"/>
    <w:next w:val="a"/>
    <w:link w:val="CoverCar"/>
    <w:rsid w:val="00DC008E"/>
    <w:pPr>
      <w:spacing w:beforeLines="0" w:before="0" w:afterLines="0" w:after="180"/>
    </w:pPr>
    <w:rPr>
      <w:rFonts w:eastAsia="宋体"/>
      <w:sz w:val="20"/>
    </w:rPr>
  </w:style>
  <w:style w:type="character" w:customStyle="1" w:styleId="CoverCar">
    <w:name w:val="Cover Car"/>
    <w:link w:val="Cover"/>
    <w:rsid w:val="00DC008E"/>
    <w:rPr>
      <w:rFonts w:ascii="Times New Roman" w:eastAsia="宋体" w:hAnsi="Times New Roman"/>
      <w:lang w:val="en-GB" w:eastAsia="en-US"/>
    </w:rPr>
  </w:style>
  <w:style w:type="paragraph" w:customStyle="1" w:styleId="Attribute">
    <w:name w:val="Attribute"/>
    <w:basedOn w:val="a"/>
    <w:next w:val="a"/>
    <w:link w:val="AttributeCar"/>
    <w:rsid w:val="00DC008E"/>
    <w:pPr>
      <w:spacing w:beforeLines="0" w:before="0" w:afterLines="0" w:after="180"/>
    </w:pPr>
    <w:rPr>
      <w:rFonts w:eastAsia="宋体"/>
      <w:sz w:val="20"/>
    </w:rPr>
  </w:style>
  <w:style w:type="character" w:customStyle="1" w:styleId="AttributeCar">
    <w:name w:val="Attribute Car"/>
    <w:link w:val="Attribute"/>
    <w:rsid w:val="00DC008E"/>
    <w:rPr>
      <w:rFonts w:ascii="Times New Roman" w:eastAsia="宋体" w:hAnsi="Times New Roman"/>
      <w:lang w:val="en-GB" w:eastAsia="en-US"/>
    </w:rPr>
  </w:style>
  <w:style w:type="paragraph" w:customStyle="1" w:styleId="numberedlist">
    <w:name w:val="numbered list"/>
    <w:basedOn w:val="a9"/>
    <w:rsid w:val="00DC008E"/>
    <w:pPr>
      <w:tabs>
        <w:tab w:val="num" w:pos="360"/>
        <w:tab w:val="left" w:pos="1247"/>
        <w:tab w:val="left" w:pos="3856"/>
        <w:tab w:val="left" w:pos="5216"/>
        <w:tab w:val="left" w:pos="6464"/>
        <w:tab w:val="left" w:pos="7768"/>
        <w:tab w:val="left" w:pos="9072"/>
        <w:tab w:val="left" w:pos="10206"/>
      </w:tabs>
      <w:spacing w:beforeLines="0" w:before="0" w:afterLines="0" w:after="120"/>
      <w:ind w:left="360" w:hanging="360"/>
      <w:jc w:val="both"/>
    </w:pPr>
    <w:rPr>
      <w:rFonts w:ascii="Calibri" w:eastAsia="Calibri" w:hAnsi="Calibri"/>
      <w:sz w:val="20"/>
      <w:szCs w:val="22"/>
    </w:rPr>
  </w:style>
  <w:style w:type="paragraph" w:customStyle="1" w:styleId="TdocHeading1">
    <w:name w:val="Tdoc_Heading_1"/>
    <w:basedOn w:val="1"/>
    <w:next w:val="a"/>
    <w:autoRedefine/>
    <w:rsid w:val="00DC008E"/>
    <w:pPr>
      <w:keepNext w:val="0"/>
      <w:keepLines w:val="0"/>
      <w:pageBreakBefore/>
      <w:numPr>
        <w:numId w:val="12"/>
      </w:numPr>
      <w:pBdr>
        <w:top w:val="none" w:sz="0" w:space="0" w:color="auto"/>
      </w:pBdr>
      <w:spacing w:before="600" w:after="0" w:line="360" w:lineRule="auto"/>
      <w:contextualSpacing/>
      <w:jc w:val="both"/>
    </w:pPr>
    <w:rPr>
      <w:rFonts w:ascii="Calibri Light" w:eastAsia="MS Gothic" w:hAnsi="Calibri Light"/>
      <w:bCs/>
      <w:iCs/>
      <w:noProof/>
      <w:sz w:val="24"/>
      <w:szCs w:val="32"/>
    </w:rPr>
  </w:style>
  <w:style w:type="paragraph" w:styleId="aff">
    <w:name w:val="Date"/>
    <w:basedOn w:val="a"/>
    <w:next w:val="a"/>
    <w:link w:val="Charb"/>
    <w:rsid w:val="00DC008E"/>
    <w:pPr>
      <w:spacing w:beforeLines="0" w:before="0" w:afterLines="0" w:after="0"/>
      <w:jc w:val="both"/>
    </w:pPr>
    <w:rPr>
      <w:rFonts w:ascii="Calibri" w:eastAsia="Calibri" w:hAnsi="Calibri"/>
      <w:sz w:val="20"/>
      <w:szCs w:val="22"/>
    </w:rPr>
  </w:style>
  <w:style w:type="character" w:customStyle="1" w:styleId="Charb">
    <w:name w:val="日期 Char"/>
    <w:basedOn w:val="a0"/>
    <w:link w:val="aff"/>
    <w:rsid w:val="00DC008E"/>
    <w:rPr>
      <w:rFonts w:ascii="Calibri" w:eastAsia="Calibri" w:hAnsi="Calibri"/>
      <w:szCs w:val="22"/>
      <w:lang w:val="en-GB" w:eastAsia="en-US"/>
    </w:rPr>
  </w:style>
  <w:style w:type="paragraph" w:customStyle="1" w:styleId="Meetingcaption">
    <w:name w:val="Meeting caption"/>
    <w:basedOn w:val="a"/>
    <w:rsid w:val="00DC008E"/>
    <w:pPr>
      <w:framePr w:w="4120" w:hSpace="141" w:wrap="auto" w:vAnchor="text" w:hAnchor="text" w:y="3"/>
      <w:pBdr>
        <w:top w:val="single" w:sz="6" w:space="1" w:color="auto"/>
        <w:left w:val="single" w:sz="6" w:space="1" w:color="auto"/>
        <w:bottom w:val="single" w:sz="6" w:space="1" w:color="auto"/>
        <w:right w:val="single" w:sz="6" w:space="1" w:color="auto"/>
      </w:pBdr>
      <w:spacing w:beforeLines="0" w:before="0" w:afterLines="0" w:after="120"/>
      <w:jc w:val="both"/>
    </w:pPr>
    <w:rPr>
      <w:rFonts w:ascii="Calibri" w:eastAsia="Calibri" w:hAnsi="Calibri"/>
      <w:snapToGrid w:val="0"/>
      <w:sz w:val="20"/>
      <w:szCs w:val="22"/>
    </w:rPr>
  </w:style>
  <w:style w:type="paragraph" w:customStyle="1" w:styleId="Cell">
    <w:name w:val="Cell"/>
    <w:basedOn w:val="a"/>
    <w:rsid w:val="00DC008E"/>
    <w:pPr>
      <w:spacing w:beforeLines="0" w:before="0" w:afterLines="0" w:after="0" w:line="240" w:lineRule="exact"/>
      <w:jc w:val="center"/>
    </w:pPr>
    <w:rPr>
      <w:rFonts w:ascii="Calibri" w:eastAsia="Calibri" w:hAnsi="Calibri"/>
      <w:sz w:val="16"/>
      <w:szCs w:val="22"/>
    </w:rPr>
  </w:style>
  <w:style w:type="paragraph" w:customStyle="1" w:styleId="h60">
    <w:name w:val="h6"/>
    <w:basedOn w:val="a"/>
    <w:rsid w:val="00DC008E"/>
    <w:pPr>
      <w:spacing w:beforeLines="0" w:before="100" w:beforeAutospacing="1" w:afterLines="0" w:after="100" w:afterAutospacing="1"/>
      <w:jc w:val="both"/>
    </w:pPr>
    <w:rPr>
      <w:rFonts w:ascii="Calibri" w:eastAsia="Calibri" w:hAnsi="Calibri"/>
      <w:sz w:val="24"/>
      <w:szCs w:val="24"/>
    </w:rPr>
  </w:style>
  <w:style w:type="paragraph" w:customStyle="1" w:styleId="tah0">
    <w:name w:val="tah"/>
    <w:basedOn w:val="a"/>
    <w:rsid w:val="00DC008E"/>
    <w:pPr>
      <w:keepNext/>
      <w:spacing w:beforeLines="0" w:before="0" w:afterLines="0" w:after="0"/>
      <w:jc w:val="center"/>
    </w:pPr>
    <w:rPr>
      <w:rFonts w:ascii="Arial" w:eastAsia="Batang" w:hAnsi="Arial" w:cs="Arial"/>
      <w:b/>
      <w:bCs/>
      <w:sz w:val="18"/>
      <w:szCs w:val="18"/>
    </w:rPr>
  </w:style>
  <w:style w:type="paragraph" w:customStyle="1" w:styleId="TdocHeading3">
    <w:name w:val="Tdoc_Heading_3"/>
    <w:basedOn w:val="TdocHeading2"/>
    <w:next w:val="a"/>
    <w:rsid w:val="00DC008E"/>
    <w:pPr>
      <w:numPr>
        <w:ilvl w:val="2"/>
      </w:numPr>
      <w:ind w:left="2160" w:hanging="360"/>
    </w:pPr>
    <w:rPr>
      <w:sz w:val="20"/>
    </w:rPr>
  </w:style>
  <w:style w:type="paragraph" w:customStyle="1" w:styleId="TdocHeading2">
    <w:name w:val="Tdoc_Heading_2"/>
    <w:basedOn w:val="TdocHeading1"/>
    <w:next w:val="a"/>
    <w:rsid w:val="00DC008E"/>
    <w:pPr>
      <w:numPr>
        <w:ilvl w:val="1"/>
      </w:numPr>
      <w:spacing w:before="180"/>
      <w:ind w:left="1440" w:hanging="360"/>
    </w:pPr>
    <w:rPr>
      <w:rFonts w:eastAsia="MS Mincho"/>
      <w:noProof w:val="0"/>
      <w:sz w:val="22"/>
    </w:rPr>
  </w:style>
  <w:style w:type="character" w:customStyle="1" w:styleId="MatthewBaker">
    <w:name w:val="Matthew Baker"/>
    <w:semiHidden/>
    <w:rsid w:val="00DC008E"/>
    <w:rPr>
      <w:rFonts w:ascii="Arial" w:hAnsi="Arial" w:cs="Arial"/>
      <w:color w:val="auto"/>
      <w:sz w:val="20"/>
      <w:szCs w:val="20"/>
    </w:rPr>
  </w:style>
  <w:style w:type="paragraph" w:customStyle="1" w:styleId="CM49">
    <w:name w:val="CM49"/>
    <w:basedOn w:val="Default"/>
    <w:next w:val="Default"/>
    <w:rsid w:val="00DC008E"/>
    <w:pPr>
      <w:widowControl w:val="0"/>
      <w:spacing w:before="200"/>
    </w:pPr>
    <w:rPr>
      <w:rFonts w:ascii="Times New Roman" w:eastAsia="Times New Roman" w:hAnsi="Times New Roman" w:cs="Times New Roman"/>
      <w:color w:val="auto"/>
    </w:rPr>
  </w:style>
  <w:style w:type="paragraph" w:customStyle="1" w:styleId="CM51">
    <w:name w:val="CM51"/>
    <w:basedOn w:val="Default"/>
    <w:next w:val="Default"/>
    <w:rsid w:val="00DC008E"/>
    <w:pPr>
      <w:widowControl w:val="0"/>
      <w:spacing w:before="200"/>
    </w:pPr>
    <w:rPr>
      <w:rFonts w:ascii="Times New Roman" w:eastAsia="Times New Roman" w:hAnsi="Times New Roman" w:cs="Times New Roman"/>
      <w:color w:val="auto"/>
    </w:rPr>
  </w:style>
  <w:style w:type="table" w:customStyle="1" w:styleId="EinfacheTabelle11">
    <w:name w:val="Einfache Tabelle 11"/>
    <w:basedOn w:val="a1"/>
    <w:uiPriority w:val="41"/>
    <w:rsid w:val="00DC008E"/>
    <w:rPr>
      <w:rFonts w:ascii="Calibri" w:hAnsi="Calibri"/>
      <w:sz w:val="22"/>
      <w:szCs w:val="22"/>
      <w:lang w:val="sv-SE" w:eastAsia="ja-JP"/>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aff0">
    <w:name w:val="No Spacing"/>
    <w:basedOn w:val="a"/>
    <w:link w:val="Charc"/>
    <w:uiPriority w:val="1"/>
    <w:qFormat/>
    <w:rsid w:val="00DC008E"/>
    <w:pPr>
      <w:spacing w:beforeLines="0" w:before="0" w:afterLines="0" w:after="0"/>
      <w:jc w:val="both"/>
    </w:pPr>
    <w:rPr>
      <w:rFonts w:ascii="Calibri" w:eastAsia="Calibri" w:hAnsi="Calibri"/>
      <w:szCs w:val="22"/>
    </w:rPr>
  </w:style>
  <w:style w:type="paragraph" w:customStyle="1" w:styleId="Annex">
    <w:name w:val="Annex"/>
    <w:basedOn w:val="a"/>
    <w:next w:val="a"/>
    <w:link w:val="AnnexChar"/>
    <w:qFormat/>
    <w:rsid w:val="00DC008E"/>
    <w:pPr>
      <w:pageBreakBefore/>
      <w:spacing w:beforeLines="0" w:before="0" w:afterLines="0" w:after="120"/>
      <w:ind w:left="142" w:hanging="142"/>
      <w:jc w:val="both"/>
    </w:pPr>
    <w:rPr>
      <w:rFonts w:ascii="Calibri" w:eastAsia="Calibri" w:hAnsi="Calibri"/>
      <w:b/>
      <w:sz w:val="32"/>
      <w:szCs w:val="22"/>
    </w:rPr>
  </w:style>
  <w:style w:type="character" w:customStyle="1" w:styleId="AnnexChar">
    <w:name w:val="Annex Char"/>
    <w:link w:val="Annex"/>
    <w:rsid w:val="00DC008E"/>
    <w:rPr>
      <w:rFonts w:ascii="Calibri" w:eastAsia="Calibri" w:hAnsi="Calibri"/>
      <w:b/>
      <w:sz w:val="32"/>
      <w:szCs w:val="22"/>
      <w:lang w:val="en-GB" w:eastAsia="en-US"/>
    </w:rPr>
  </w:style>
  <w:style w:type="paragraph" w:styleId="aff1">
    <w:name w:val="Title"/>
    <w:basedOn w:val="a"/>
    <w:next w:val="a"/>
    <w:link w:val="Chard"/>
    <w:uiPriority w:val="10"/>
    <w:qFormat/>
    <w:rsid w:val="00DC008E"/>
    <w:pPr>
      <w:spacing w:beforeLines="0" w:before="0" w:afterLines="0" w:after="120"/>
      <w:jc w:val="both"/>
    </w:pPr>
    <w:rPr>
      <w:rFonts w:ascii="Calibri Light" w:eastAsia="MS Gothic" w:hAnsi="Calibri Light"/>
      <w:b/>
      <w:bCs/>
      <w:i/>
      <w:iCs/>
      <w:spacing w:val="10"/>
      <w:sz w:val="60"/>
      <w:szCs w:val="60"/>
    </w:rPr>
  </w:style>
  <w:style w:type="character" w:customStyle="1" w:styleId="Chard">
    <w:name w:val="标题 Char"/>
    <w:basedOn w:val="a0"/>
    <w:link w:val="aff1"/>
    <w:uiPriority w:val="10"/>
    <w:rsid w:val="00DC008E"/>
    <w:rPr>
      <w:rFonts w:ascii="Calibri Light" w:eastAsia="MS Gothic" w:hAnsi="Calibri Light"/>
      <w:b/>
      <w:bCs/>
      <w:i/>
      <w:iCs/>
      <w:spacing w:val="10"/>
      <w:sz w:val="60"/>
      <w:szCs w:val="60"/>
      <w:lang w:val="en-GB" w:eastAsia="en-US"/>
    </w:rPr>
  </w:style>
  <w:style w:type="paragraph" w:styleId="aff2">
    <w:name w:val="Subtitle"/>
    <w:basedOn w:val="a"/>
    <w:next w:val="a"/>
    <w:link w:val="Chare"/>
    <w:uiPriority w:val="11"/>
    <w:qFormat/>
    <w:rsid w:val="00DC008E"/>
    <w:pPr>
      <w:spacing w:beforeLines="0" w:before="0" w:afterLines="0" w:after="320"/>
      <w:jc w:val="right"/>
    </w:pPr>
    <w:rPr>
      <w:rFonts w:ascii="Calibri" w:eastAsia="Calibri" w:hAnsi="Calibri"/>
      <w:i/>
      <w:iCs/>
      <w:color w:val="808080"/>
      <w:spacing w:val="10"/>
      <w:sz w:val="24"/>
      <w:szCs w:val="24"/>
    </w:rPr>
  </w:style>
  <w:style w:type="character" w:customStyle="1" w:styleId="Chare">
    <w:name w:val="副标题 Char"/>
    <w:basedOn w:val="a0"/>
    <w:link w:val="aff2"/>
    <w:uiPriority w:val="11"/>
    <w:rsid w:val="00DC008E"/>
    <w:rPr>
      <w:rFonts w:ascii="Calibri" w:eastAsia="Calibri" w:hAnsi="Calibri"/>
      <w:i/>
      <w:iCs/>
      <w:color w:val="808080"/>
      <w:spacing w:val="10"/>
      <w:sz w:val="24"/>
      <w:szCs w:val="24"/>
      <w:lang w:val="en-GB" w:eastAsia="en-US"/>
    </w:rPr>
  </w:style>
  <w:style w:type="character" w:customStyle="1" w:styleId="Charc">
    <w:name w:val="无间隔 Char"/>
    <w:link w:val="aff0"/>
    <w:uiPriority w:val="1"/>
    <w:rsid w:val="00DC008E"/>
    <w:rPr>
      <w:rFonts w:ascii="Calibri" w:eastAsia="Calibri" w:hAnsi="Calibri"/>
      <w:sz w:val="22"/>
      <w:szCs w:val="22"/>
      <w:lang w:val="en-GB" w:eastAsia="en-US"/>
    </w:rPr>
  </w:style>
  <w:style w:type="paragraph" w:styleId="aff3">
    <w:name w:val="Quote"/>
    <w:basedOn w:val="a"/>
    <w:next w:val="a"/>
    <w:link w:val="Charf"/>
    <w:uiPriority w:val="29"/>
    <w:qFormat/>
    <w:rsid w:val="00DC008E"/>
    <w:pPr>
      <w:spacing w:beforeLines="0" w:before="0" w:afterLines="0" w:after="120"/>
      <w:jc w:val="both"/>
    </w:pPr>
    <w:rPr>
      <w:rFonts w:ascii="Calibri" w:eastAsia="Calibri" w:hAnsi="Calibri"/>
      <w:color w:val="5A5A5A"/>
      <w:szCs w:val="22"/>
    </w:rPr>
  </w:style>
  <w:style w:type="character" w:customStyle="1" w:styleId="Charf">
    <w:name w:val="引用 Char"/>
    <w:basedOn w:val="a0"/>
    <w:link w:val="aff3"/>
    <w:uiPriority w:val="29"/>
    <w:rsid w:val="00DC008E"/>
    <w:rPr>
      <w:rFonts w:ascii="Calibri" w:eastAsia="Calibri" w:hAnsi="Calibri"/>
      <w:color w:val="5A5A5A"/>
      <w:sz w:val="22"/>
      <w:szCs w:val="22"/>
      <w:lang w:val="en-GB" w:eastAsia="en-US"/>
    </w:rPr>
  </w:style>
  <w:style w:type="paragraph" w:styleId="aff4">
    <w:name w:val="Intense Quote"/>
    <w:basedOn w:val="a"/>
    <w:next w:val="a"/>
    <w:link w:val="Charf0"/>
    <w:uiPriority w:val="30"/>
    <w:qFormat/>
    <w:rsid w:val="00DC008E"/>
    <w:pPr>
      <w:spacing w:beforeLines="0" w:before="320" w:afterLines="0" w:after="480"/>
      <w:ind w:left="720" w:right="720"/>
      <w:jc w:val="center"/>
    </w:pPr>
    <w:rPr>
      <w:rFonts w:ascii="Calibri Light" w:eastAsia="MS Gothic" w:hAnsi="Calibri Light"/>
      <w:i/>
      <w:iCs/>
      <w:sz w:val="20"/>
    </w:rPr>
  </w:style>
  <w:style w:type="character" w:customStyle="1" w:styleId="Charf0">
    <w:name w:val="明显引用 Char"/>
    <w:basedOn w:val="a0"/>
    <w:link w:val="aff4"/>
    <w:uiPriority w:val="30"/>
    <w:rsid w:val="00DC008E"/>
    <w:rPr>
      <w:rFonts w:ascii="Calibri Light" w:eastAsia="MS Gothic" w:hAnsi="Calibri Light"/>
      <w:i/>
      <w:iCs/>
      <w:lang w:val="en-GB" w:eastAsia="en-US"/>
    </w:rPr>
  </w:style>
  <w:style w:type="character" w:styleId="aff5">
    <w:name w:val="Subtle Emphasis"/>
    <w:uiPriority w:val="19"/>
    <w:qFormat/>
    <w:rsid w:val="00DC008E"/>
    <w:rPr>
      <w:i/>
      <w:iCs/>
      <w:color w:val="5A5A5A"/>
    </w:rPr>
  </w:style>
  <w:style w:type="character" w:styleId="aff6">
    <w:name w:val="Intense Emphasis"/>
    <w:uiPriority w:val="21"/>
    <w:qFormat/>
    <w:rsid w:val="00DC008E"/>
    <w:rPr>
      <w:b/>
      <w:bCs/>
      <w:i/>
      <w:iCs/>
      <w:color w:val="auto"/>
      <w:u w:val="single"/>
    </w:rPr>
  </w:style>
  <w:style w:type="character" w:styleId="aff7">
    <w:name w:val="Subtle Reference"/>
    <w:uiPriority w:val="31"/>
    <w:qFormat/>
    <w:rsid w:val="00DC008E"/>
    <w:rPr>
      <w:smallCaps/>
    </w:rPr>
  </w:style>
  <w:style w:type="character" w:styleId="aff8">
    <w:name w:val="Intense Reference"/>
    <w:uiPriority w:val="32"/>
    <w:qFormat/>
    <w:rsid w:val="00DC008E"/>
    <w:rPr>
      <w:b/>
      <w:bCs/>
      <w:smallCaps/>
      <w:color w:val="auto"/>
    </w:rPr>
  </w:style>
  <w:style w:type="character" w:styleId="aff9">
    <w:name w:val="Book Title"/>
    <w:uiPriority w:val="33"/>
    <w:qFormat/>
    <w:rsid w:val="00DC008E"/>
    <w:rPr>
      <w:rFonts w:ascii="Calibri Light" w:eastAsia="MS Gothic" w:hAnsi="Calibri Light" w:cs="Times New Roman"/>
      <w:b/>
      <w:bCs/>
      <w:smallCaps/>
      <w:color w:val="auto"/>
      <w:u w:val="single"/>
    </w:rPr>
  </w:style>
  <w:style w:type="paragraph" w:styleId="TOC">
    <w:name w:val="TOC Heading"/>
    <w:basedOn w:val="1"/>
    <w:next w:val="a"/>
    <w:uiPriority w:val="39"/>
    <w:unhideWhenUsed/>
    <w:qFormat/>
    <w:rsid w:val="00DC008E"/>
    <w:pPr>
      <w:keepNext w:val="0"/>
      <w:keepLines w:val="0"/>
      <w:pageBreakBefore/>
      <w:numPr>
        <w:numId w:val="0"/>
      </w:numPr>
      <w:pBdr>
        <w:top w:val="none" w:sz="0" w:space="0" w:color="auto"/>
      </w:pBdr>
      <w:spacing w:before="600" w:after="0" w:line="360" w:lineRule="auto"/>
      <w:contextualSpacing/>
      <w:jc w:val="both"/>
      <w:outlineLvl w:val="9"/>
    </w:pPr>
    <w:rPr>
      <w:rFonts w:ascii="Calibri Light" w:eastAsia="MS Gothic" w:hAnsi="Calibri Light"/>
      <w:b/>
      <w:bCs/>
      <w:iCs/>
      <w:sz w:val="32"/>
      <w:szCs w:val="32"/>
      <w:lang w:bidi="en-US"/>
    </w:rPr>
  </w:style>
  <w:style w:type="character" w:customStyle="1" w:styleId="1Char0">
    <w:name w:val="目录 1 Char"/>
    <w:link w:val="10"/>
    <w:uiPriority w:val="39"/>
    <w:rsid w:val="00DC008E"/>
    <w:rPr>
      <w:rFonts w:ascii="Times New Roman" w:hAnsi="Times New Roman"/>
      <w:noProof/>
      <w:sz w:val="22"/>
      <w:lang w:eastAsia="en-US"/>
    </w:rPr>
  </w:style>
  <w:style w:type="paragraph" w:customStyle="1" w:styleId="Figure">
    <w:name w:val="Figure"/>
    <w:basedOn w:val="a"/>
    <w:next w:val="a"/>
    <w:rsid w:val="00DC008E"/>
    <w:pPr>
      <w:keepNext/>
      <w:keepLines/>
      <w:autoSpaceDE w:val="0"/>
      <w:autoSpaceDN w:val="0"/>
      <w:adjustRightInd w:val="0"/>
      <w:snapToGrid w:val="0"/>
      <w:spacing w:beforeLines="0" w:before="180" w:afterLines="0" w:after="120"/>
      <w:jc w:val="center"/>
    </w:pPr>
    <w:rPr>
      <w:rFonts w:eastAsia="宋体" w:cs="Arial"/>
      <w:szCs w:val="22"/>
      <w:lang w:val="en-US"/>
    </w:rPr>
  </w:style>
  <w:style w:type="paragraph" w:customStyle="1" w:styleId="3GPPHeader">
    <w:name w:val="3GPP_Header"/>
    <w:basedOn w:val="a"/>
    <w:rsid w:val="00DC008E"/>
    <w:pPr>
      <w:tabs>
        <w:tab w:val="left" w:pos="1701"/>
        <w:tab w:val="right" w:pos="9639"/>
      </w:tabs>
      <w:autoSpaceDE w:val="0"/>
      <w:autoSpaceDN w:val="0"/>
      <w:adjustRightInd w:val="0"/>
      <w:snapToGrid w:val="0"/>
      <w:spacing w:beforeLines="0" w:before="0" w:afterLines="0" w:after="240"/>
      <w:jc w:val="both"/>
    </w:pPr>
    <w:rPr>
      <w:rFonts w:ascii="Arial" w:eastAsia="宋体" w:hAnsi="Arial" w:cs="Arial"/>
      <w:b/>
      <w:sz w:val="24"/>
      <w:szCs w:val="22"/>
      <w:lang w:val="en-US"/>
    </w:rPr>
  </w:style>
  <w:style w:type="paragraph" w:styleId="affa">
    <w:name w:val="table of figures"/>
    <w:basedOn w:val="a"/>
    <w:next w:val="a"/>
    <w:uiPriority w:val="99"/>
    <w:rsid w:val="00DC008E"/>
    <w:pPr>
      <w:autoSpaceDE w:val="0"/>
      <w:autoSpaceDN w:val="0"/>
      <w:adjustRightInd w:val="0"/>
      <w:snapToGrid w:val="0"/>
      <w:spacing w:beforeLines="0" w:before="0" w:afterLines="0" w:after="120"/>
      <w:ind w:left="1701" w:hanging="1701"/>
      <w:jc w:val="both"/>
    </w:pPr>
    <w:rPr>
      <w:rFonts w:ascii="Arial" w:eastAsia="宋体" w:hAnsi="Arial" w:cs="Arial"/>
      <w:b/>
      <w:szCs w:val="22"/>
      <w:lang w:val="en-US"/>
    </w:rPr>
  </w:style>
  <w:style w:type="character" w:customStyle="1" w:styleId="B3Char2">
    <w:name w:val="B3 Char2"/>
    <w:link w:val="B3"/>
    <w:qFormat/>
    <w:rsid w:val="00DC008E"/>
    <w:rPr>
      <w:sz w:val="22"/>
      <w:lang w:val="en-GB" w:eastAsia="en-US"/>
    </w:rPr>
  </w:style>
  <w:style w:type="character" w:customStyle="1" w:styleId="B4Char">
    <w:name w:val="B4 Char"/>
    <w:link w:val="B4"/>
    <w:rsid w:val="00DC008E"/>
    <w:rPr>
      <w:sz w:val="22"/>
      <w:lang w:val="en-GB" w:eastAsia="en-US"/>
    </w:rPr>
  </w:style>
  <w:style w:type="character" w:customStyle="1" w:styleId="B5Char">
    <w:name w:val="B5 Char"/>
    <w:link w:val="B5"/>
    <w:rsid w:val="00DC008E"/>
    <w:rPr>
      <w:sz w:val="22"/>
      <w:lang w:val="en-GB" w:eastAsia="en-US"/>
    </w:rPr>
  </w:style>
  <w:style w:type="paragraph" w:customStyle="1" w:styleId="B6">
    <w:name w:val="B6"/>
    <w:basedOn w:val="B5"/>
    <w:link w:val="B6Char"/>
    <w:rsid w:val="00DC008E"/>
    <w:pPr>
      <w:autoSpaceDE w:val="0"/>
      <w:autoSpaceDN w:val="0"/>
      <w:adjustRightInd w:val="0"/>
      <w:snapToGrid w:val="0"/>
      <w:spacing w:beforeLines="0" w:before="0" w:afterLines="0" w:after="120"/>
      <w:ind w:left="1985"/>
      <w:jc w:val="both"/>
    </w:pPr>
    <w:rPr>
      <w:rFonts w:ascii="Times New Roman" w:eastAsia="宋体" w:hAnsi="Times New Roman" w:cs="Arial"/>
      <w:szCs w:val="22"/>
      <w:lang w:val="en-US" w:eastAsia="ja-JP"/>
    </w:rPr>
  </w:style>
  <w:style w:type="character" w:customStyle="1" w:styleId="B6Char">
    <w:name w:val="B6 Char"/>
    <w:link w:val="B6"/>
    <w:rsid w:val="00DC008E"/>
    <w:rPr>
      <w:rFonts w:ascii="Times New Roman" w:eastAsia="宋体" w:hAnsi="Times New Roman" w:cs="Arial"/>
      <w:sz w:val="22"/>
      <w:szCs w:val="22"/>
      <w:lang w:eastAsia="ja-JP"/>
    </w:rPr>
  </w:style>
  <w:style w:type="paragraph" w:customStyle="1" w:styleId="B7">
    <w:name w:val="B7"/>
    <w:basedOn w:val="B6"/>
    <w:link w:val="B7Char"/>
    <w:rsid w:val="00DC008E"/>
    <w:pPr>
      <w:ind w:left="2269"/>
    </w:pPr>
  </w:style>
  <w:style w:type="character" w:customStyle="1" w:styleId="B7Char">
    <w:name w:val="B7 Char"/>
    <w:link w:val="B7"/>
    <w:rsid w:val="00DC008E"/>
    <w:rPr>
      <w:rFonts w:ascii="Times New Roman" w:eastAsia="宋体" w:hAnsi="Times New Roman" w:cs="Arial"/>
      <w:sz w:val="22"/>
      <w:szCs w:val="22"/>
      <w:lang w:eastAsia="ja-JP"/>
    </w:rPr>
  </w:style>
  <w:style w:type="paragraph" w:customStyle="1" w:styleId="B8">
    <w:name w:val="B8"/>
    <w:basedOn w:val="B7"/>
    <w:qFormat/>
    <w:rsid w:val="00DC008E"/>
    <w:pPr>
      <w:ind w:left="2552"/>
    </w:pPr>
  </w:style>
  <w:style w:type="character" w:customStyle="1" w:styleId="CRCoverPageZchn">
    <w:name w:val="CR Cover Page Zchn"/>
    <w:rsid w:val="00DC008E"/>
    <w:rPr>
      <w:rFonts w:ascii="Arial" w:eastAsia="MS Mincho" w:hAnsi="Arial"/>
      <w:lang w:val="en-GB"/>
    </w:rPr>
  </w:style>
  <w:style w:type="character" w:customStyle="1" w:styleId="Char6">
    <w:name w:val="文档结构图 Char"/>
    <w:link w:val="af"/>
    <w:rsid w:val="00DC008E"/>
    <w:rPr>
      <w:rFonts w:ascii="Tahoma" w:hAnsi="Tahoma"/>
      <w:sz w:val="22"/>
      <w:shd w:val="clear" w:color="auto" w:fill="000080"/>
      <w:lang w:val="en-GB" w:eastAsia="en-US"/>
    </w:rPr>
  </w:style>
  <w:style w:type="character" w:customStyle="1" w:styleId="EditorsNoteChar">
    <w:name w:val="Editor's Note Char"/>
    <w:link w:val="EditorsNote"/>
    <w:rsid w:val="00DC008E"/>
    <w:rPr>
      <w:color w:val="FF0000"/>
      <w:sz w:val="22"/>
      <w:lang w:val="en-GB" w:eastAsia="en-US"/>
    </w:rPr>
  </w:style>
  <w:style w:type="paragraph" w:customStyle="1" w:styleId="EmailDiscussion">
    <w:name w:val="EmailDiscussion"/>
    <w:basedOn w:val="a"/>
    <w:next w:val="a"/>
    <w:rsid w:val="00DC008E"/>
    <w:pPr>
      <w:numPr>
        <w:numId w:val="14"/>
      </w:numPr>
      <w:tabs>
        <w:tab w:val="clear" w:pos="1619"/>
      </w:tabs>
      <w:autoSpaceDE w:val="0"/>
      <w:autoSpaceDN w:val="0"/>
      <w:adjustRightInd w:val="0"/>
      <w:snapToGrid w:val="0"/>
      <w:spacing w:beforeLines="0" w:before="40" w:afterLines="0" w:after="120"/>
      <w:ind w:left="720"/>
      <w:jc w:val="both"/>
    </w:pPr>
    <w:rPr>
      <w:rFonts w:ascii="Arial" w:hAnsi="Arial" w:cs="Arial"/>
      <w:b/>
      <w:szCs w:val="22"/>
      <w:lang w:val="en-US" w:eastAsia="en-GB"/>
    </w:rPr>
  </w:style>
  <w:style w:type="character" w:customStyle="1" w:styleId="nobreakCar2">
    <w:name w:val="no break Car2"/>
    <w:aliases w:val="H3 Car2,Underrubrik2 Car2,h3 Car2,Memo Heading 3 Car2,hello Car2,no break Car Car1,H3 Car Car1,Underrubrik2 Car Car1,h3 Car Car1,Memo Heading 3 Car Car1,hello Car Car1,Heading 3 Char Car Car1,no break Char Car Car1"/>
    <w:rsid w:val="00DC008E"/>
    <w:rPr>
      <w:rFonts w:ascii="Calibri" w:eastAsia="黑体" w:hAnsi="Calibri" w:cs="Arial"/>
      <w:bCs/>
      <w:kern w:val="2"/>
      <w:sz w:val="24"/>
      <w:szCs w:val="32"/>
      <w:lang w:val="en-US" w:eastAsia="en-US"/>
    </w:rPr>
  </w:style>
  <w:style w:type="character" w:styleId="HTML">
    <w:name w:val="HTML Code"/>
    <w:uiPriority w:val="99"/>
    <w:unhideWhenUsed/>
    <w:rsid w:val="00DC008E"/>
    <w:rPr>
      <w:rFonts w:ascii="Courier New" w:eastAsia="Times New Roman" w:hAnsi="Courier New" w:cs="Courier New"/>
      <w:sz w:val="20"/>
      <w:szCs w:val="20"/>
    </w:rPr>
  </w:style>
  <w:style w:type="paragraph" w:styleId="3">
    <w:name w:val="List Number 3"/>
    <w:basedOn w:val="23"/>
    <w:rsid w:val="00DC008E"/>
    <w:pPr>
      <w:numPr>
        <w:numId w:val="13"/>
      </w:numPr>
      <w:autoSpaceDE w:val="0"/>
      <w:autoSpaceDN w:val="0"/>
      <w:adjustRightInd w:val="0"/>
      <w:snapToGrid w:val="0"/>
      <w:spacing w:beforeLines="0" w:before="0" w:afterLines="0" w:after="120"/>
      <w:ind w:left="720"/>
      <w:contextualSpacing/>
      <w:jc w:val="both"/>
    </w:pPr>
    <w:rPr>
      <w:rFonts w:ascii="Arial" w:eastAsia="宋体" w:hAnsi="Arial" w:cs="Arial"/>
      <w:szCs w:val="22"/>
      <w:lang w:val="en-US" w:eastAsia="ja-JP"/>
    </w:rPr>
  </w:style>
  <w:style w:type="character" w:customStyle="1" w:styleId="bulletChar">
    <w:name w:val="bullet Char"/>
    <w:link w:val="bullet"/>
    <w:locked/>
    <w:rsid w:val="00DC008E"/>
    <w:rPr>
      <w:rFonts w:ascii="Calibri" w:hAnsi="Calibri"/>
      <w:sz w:val="22"/>
      <w:szCs w:val="22"/>
      <w:lang w:eastAsia="en-US"/>
    </w:rPr>
  </w:style>
  <w:style w:type="paragraph" w:customStyle="1" w:styleId="bullet">
    <w:name w:val="bullet"/>
    <w:basedOn w:val="af8"/>
    <w:link w:val="bulletChar"/>
    <w:qFormat/>
    <w:rsid w:val="00DC008E"/>
    <w:pPr>
      <w:numPr>
        <w:numId w:val="15"/>
      </w:numPr>
      <w:autoSpaceDE w:val="0"/>
      <w:autoSpaceDN w:val="0"/>
      <w:adjustRightInd w:val="0"/>
      <w:snapToGrid w:val="0"/>
      <w:spacing w:beforeLines="0" w:before="0" w:afterLines="0" w:after="120" w:line="256" w:lineRule="auto"/>
      <w:ind w:left="720"/>
      <w:contextualSpacing/>
      <w:jc w:val="both"/>
    </w:pPr>
    <w:rPr>
      <w:rFonts w:ascii="Calibri" w:eastAsia="MS Mincho" w:hAnsi="Calibri"/>
      <w:szCs w:val="22"/>
    </w:rPr>
  </w:style>
  <w:style w:type="paragraph" w:customStyle="1" w:styleId="IvDbodytext">
    <w:name w:val="IvD bodytext"/>
    <w:basedOn w:val="a"/>
    <w:link w:val="IvDbodytextChar"/>
    <w:qFormat/>
    <w:rsid w:val="00DC008E"/>
    <w:pPr>
      <w:tabs>
        <w:tab w:val="left" w:pos="2552"/>
        <w:tab w:val="left" w:pos="3856"/>
        <w:tab w:val="left" w:pos="5216"/>
        <w:tab w:val="left" w:pos="6464"/>
        <w:tab w:val="left" w:pos="7768"/>
        <w:tab w:val="left" w:pos="9072"/>
        <w:tab w:val="left" w:pos="9639"/>
      </w:tabs>
      <w:autoSpaceDE w:val="0"/>
      <w:autoSpaceDN w:val="0"/>
      <w:adjustRightInd w:val="0"/>
      <w:snapToGrid w:val="0"/>
      <w:spacing w:beforeLines="0" w:before="240" w:afterLines="0" w:after="120"/>
      <w:jc w:val="both"/>
    </w:pPr>
    <w:rPr>
      <w:rFonts w:ascii="Arial" w:eastAsia="宋体" w:hAnsi="Arial" w:cs="Arial"/>
      <w:spacing w:val="2"/>
      <w:szCs w:val="22"/>
      <w:lang w:val="en-US"/>
    </w:rPr>
  </w:style>
  <w:style w:type="character" w:customStyle="1" w:styleId="IvDbodytextChar">
    <w:name w:val="IvD bodytext Char"/>
    <w:link w:val="IvDbodytext"/>
    <w:rsid w:val="00DC008E"/>
    <w:rPr>
      <w:rFonts w:ascii="Arial" w:eastAsia="宋体" w:hAnsi="Arial" w:cs="Arial"/>
      <w:spacing w:val="2"/>
      <w:sz w:val="22"/>
      <w:szCs w:val="22"/>
      <w:lang w:eastAsia="en-US"/>
    </w:rPr>
  </w:style>
  <w:style w:type="table" w:customStyle="1" w:styleId="affb">
    <w:name w:val="表样式"/>
    <w:basedOn w:val="a1"/>
    <w:rsid w:val="00DC008E"/>
    <w:pPr>
      <w:jc w:val="both"/>
    </w:pPr>
    <w:rPr>
      <w:rFonts w:ascii="Times New Roman" w:eastAsia="宋体"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lledutableau1">
    <w:name w:val="Grille du tableau1"/>
    <w:basedOn w:val="a1"/>
    <w:next w:val="af4"/>
    <w:rsid w:val="00DC008E"/>
    <w:pPr>
      <w:widowControl w:val="0"/>
      <w:autoSpaceDE w:val="0"/>
      <w:autoSpaceDN w:val="0"/>
      <w:adjustRightInd w:val="0"/>
      <w:spacing w:line="360" w:lineRule="auto"/>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ucuneliste1">
    <w:name w:val="Aucune liste1"/>
    <w:next w:val="a2"/>
    <w:uiPriority w:val="99"/>
    <w:semiHidden/>
    <w:rsid w:val="00DC008E"/>
  </w:style>
  <w:style w:type="table" w:customStyle="1" w:styleId="Grilledutableau2">
    <w:name w:val="Grille du tableau2"/>
    <w:basedOn w:val="a1"/>
    <w:next w:val="af4"/>
    <w:rsid w:val="00DC008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54">
    <w:name w:val="xl154"/>
    <w:basedOn w:val="a"/>
    <w:rsid w:val="00DC008E"/>
    <w:pPr>
      <w:pBdr>
        <w:left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5">
    <w:name w:val="xl155"/>
    <w:basedOn w:val="a"/>
    <w:rsid w:val="00DC008E"/>
    <w:pPr>
      <w:pBdr>
        <w:top w:val="single" w:sz="8" w:space="0" w:color="auto"/>
        <w:left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6">
    <w:name w:val="xl156"/>
    <w:basedOn w:val="a"/>
    <w:rsid w:val="00DC008E"/>
    <w:pPr>
      <w:pBdr>
        <w:left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7">
    <w:name w:val="xl157"/>
    <w:basedOn w:val="a"/>
    <w:rsid w:val="00DC008E"/>
    <w:pPr>
      <w:pBdr>
        <w:top w:val="single" w:sz="8" w:space="0" w:color="auto"/>
        <w:left w:val="single" w:sz="8" w:space="0" w:color="auto"/>
        <w:bottom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58">
    <w:name w:val="xl158"/>
    <w:basedOn w:val="a"/>
    <w:rsid w:val="00DC008E"/>
    <w:pPr>
      <w:pBdr>
        <w:top w:val="single" w:sz="8" w:space="0" w:color="auto"/>
        <w:bottom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59">
    <w:name w:val="xl159"/>
    <w:basedOn w:val="a"/>
    <w:rsid w:val="00DC008E"/>
    <w:pPr>
      <w:pBdr>
        <w:top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60">
    <w:name w:val="xl160"/>
    <w:basedOn w:val="a"/>
    <w:rsid w:val="00DC008E"/>
    <w:pPr>
      <w:pBdr>
        <w:top w:val="single" w:sz="8" w:space="0" w:color="auto"/>
        <w:left w:val="single" w:sz="8" w:space="0" w:color="auto"/>
        <w:bottom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1">
    <w:name w:val="xl161"/>
    <w:basedOn w:val="a"/>
    <w:rsid w:val="00DC008E"/>
    <w:pPr>
      <w:pBdr>
        <w:top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2">
    <w:name w:val="xl162"/>
    <w:basedOn w:val="a"/>
    <w:rsid w:val="00DC008E"/>
    <w:pPr>
      <w:pBdr>
        <w:top w:val="single" w:sz="8" w:space="0" w:color="auto"/>
        <w:left w:val="single" w:sz="8" w:space="0" w:color="auto"/>
        <w:bottom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3">
    <w:name w:val="xl163"/>
    <w:basedOn w:val="a"/>
    <w:rsid w:val="00DC008E"/>
    <w:pPr>
      <w:pBdr>
        <w:top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table" w:customStyle="1" w:styleId="43">
    <w:name w:val="网格型4"/>
    <w:basedOn w:val="a1"/>
    <w:next w:val="af4"/>
    <w:uiPriority w:val="39"/>
    <w:qFormat/>
    <w:rsid w:val="002A0F53"/>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3B5888"/>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0358D4"/>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360C7D"/>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8D6C22"/>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CE1131"/>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C30B0A"/>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DD5EF4"/>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39479595">
      <w:bodyDiv w:val="1"/>
      <w:marLeft w:val="0"/>
      <w:marRight w:val="0"/>
      <w:marTop w:val="0"/>
      <w:marBottom w:val="0"/>
      <w:divBdr>
        <w:top w:val="none" w:sz="0" w:space="0" w:color="auto"/>
        <w:left w:val="none" w:sz="0" w:space="0" w:color="auto"/>
        <w:bottom w:val="none" w:sz="0" w:space="0" w:color="auto"/>
        <w:right w:val="none" w:sz="0" w:space="0" w:color="auto"/>
      </w:divBdr>
      <w:divsChild>
        <w:div w:id="1557232498">
          <w:marLeft w:val="360"/>
          <w:marRight w:val="0"/>
          <w:marTop w:val="200"/>
          <w:marBottom w:val="0"/>
          <w:divBdr>
            <w:top w:val="none" w:sz="0" w:space="0" w:color="auto"/>
            <w:left w:val="none" w:sz="0" w:space="0" w:color="auto"/>
            <w:bottom w:val="none" w:sz="0" w:space="0" w:color="auto"/>
            <w:right w:val="none" w:sz="0" w:space="0" w:color="auto"/>
          </w:divBdr>
        </w:div>
      </w:divsChild>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6870071">
      <w:bodyDiv w:val="1"/>
      <w:marLeft w:val="0"/>
      <w:marRight w:val="0"/>
      <w:marTop w:val="0"/>
      <w:marBottom w:val="0"/>
      <w:divBdr>
        <w:top w:val="none" w:sz="0" w:space="0" w:color="auto"/>
        <w:left w:val="none" w:sz="0" w:space="0" w:color="auto"/>
        <w:bottom w:val="none" w:sz="0" w:space="0" w:color="auto"/>
        <w:right w:val="none" w:sz="0" w:space="0" w:color="auto"/>
      </w:divBdr>
      <w:divsChild>
        <w:div w:id="640696693">
          <w:marLeft w:val="360"/>
          <w:marRight w:val="0"/>
          <w:marTop w:val="200"/>
          <w:marBottom w:val="0"/>
          <w:divBdr>
            <w:top w:val="none" w:sz="0" w:space="0" w:color="auto"/>
            <w:left w:val="none" w:sz="0" w:space="0" w:color="auto"/>
            <w:bottom w:val="none" w:sz="0" w:space="0" w:color="auto"/>
            <w:right w:val="none" w:sz="0" w:space="0" w:color="auto"/>
          </w:divBdr>
        </w:div>
        <w:div w:id="631247482">
          <w:marLeft w:val="360"/>
          <w:marRight w:val="0"/>
          <w:marTop w:val="200"/>
          <w:marBottom w:val="0"/>
          <w:divBdr>
            <w:top w:val="none" w:sz="0" w:space="0" w:color="auto"/>
            <w:left w:val="none" w:sz="0" w:space="0" w:color="auto"/>
            <w:bottom w:val="none" w:sz="0" w:space="0" w:color="auto"/>
            <w:right w:val="none" w:sz="0" w:space="0" w:color="auto"/>
          </w:divBdr>
        </w:div>
        <w:div w:id="836699128">
          <w:marLeft w:val="360"/>
          <w:marRight w:val="0"/>
          <w:marTop w:val="200"/>
          <w:marBottom w:val="0"/>
          <w:divBdr>
            <w:top w:val="none" w:sz="0" w:space="0" w:color="auto"/>
            <w:left w:val="none" w:sz="0" w:space="0" w:color="auto"/>
            <w:bottom w:val="none" w:sz="0" w:space="0" w:color="auto"/>
            <w:right w:val="none" w:sz="0" w:space="0" w:color="auto"/>
          </w:divBdr>
        </w:div>
        <w:div w:id="671418998">
          <w:marLeft w:val="1080"/>
          <w:marRight w:val="0"/>
          <w:marTop w:val="100"/>
          <w:marBottom w:val="0"/>
          <w:divBdr>
            <w:top w:val="none" w:sz="0" w:space="0" w:color="auto"/>
            <w:left w:val="none" w:sz="0" w:space="0" w:color="auto"/>
            <w:bottom w:val="none" w:sz="0" w:space="0" w:color="auto"/>
            <w:right w:val="none" w:sz="0" w:space="0" w:color="auto"/>
          </w:divBdr>
        </w:div>
        <w:div w:id="1473673438">
          <w:marLeft w:val="1080"/>
          <w:marRight w:val="0"/>
          <w:marTop w:val="100"/>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1864796">
      <w:bodyDiv w:val="1"/>
      <w:marLeft w:val="0"/>
      <w:marRight w:val="0"/>
      <w:marTop w:val="0"/>
      <w:marBottom w:val="0"/>
      <w:divBdr>
        <w:top w:val="none" w:sz="0" w:space="0" w:color="auto"/>
        <w:left w:val="none" w:sz="0" w:space="0" w:color="auto"/>
        <w:bottom w:val="none" w:sz="0" w:space="0" w:color="auto"/>
        <w:right w:val="none" w:sz="0" w:space="0" w:color="auto"/>
      </w:divBdr>
      <w:divsChild>
        <w:div w:id="108009664">
          <w:marLeft w:val="360"/>
          <w:marRight w:val="0"/>
          <w:marTop w:val="200"/>
          <w:marBottom w:val="0"/>
          <w:divBdr>
            <w:top w:val="none" w:sz="0" w:space="0" w:color="auto"/>
            <w:left w:val="none" w:sz="0" w:space="0" w:color="auto"/>
            <w:bottom w:val="none" w:sz="0" w:space="0" w:color="auto"/>
            <w:right w:val="none" w:sz="0" w:space="0" w:color="auto"/>
          </w:divBdr>
        </w:div>
        <w:div w:id="1046104506">
          <w:marLeft w:val="360"/>
          <w:marRight w:val="0"/>
          <w:marTop w:val="200"/>
          <w:marBottom w:val="0"/>
          <w:divBdr>
            <w:top w:val="none" w:sz="0" w:space="0" w:color="auto"/>
            <w:left w:val="none" w:sz="0" w:space="0" w:color="auto"/>
            <w:bottom w:val="none" w:sz="0" w:space="0" w:color="auto"/>
            <w:right w:val="none" w:sz="0" w:space="0" w:color="auto"/>
          </w:divBdr>
        </w:div>
      </w:divsChild>
    </w:div>
    <w:div w:id="208273810">
      <w:bodyDiv w:val="1"/>
      <w:marLeft w:val="0"/>
      <w:marRight w:val="0"/>
      <w:marTop w:val="0"/>
      <w:marBottom w:val="0"/>
      <w:divBdr>
        <w:top w:val="none" w:sz="0" w:space="0" w:color="auto"/>
        <w:left w:val="none" w:sz="0" w:space="0" w:color="auto"/>
        <w:bottom w:val="none" w:sz="0" w:space="0" w:color="auto"/>
        <w:right w:val="none" w:sz="0" w:space="0" w:color="auto"/>
      </w:divBdr>
      <w:divsChild>
        <w:div w:id="363605329">
          <w:marLeft w:val="360"/>
          <w:marRight w:val="0"/>
          <w:marTop w:val="200"/>
          <w:marBottom w:val="0"/>
          <w:divBdr>
            <w:top w:val="none" w:sz="0" w:space="0" w:color="auto"/>
            <w:left w:val="none" w:sz="0" w:space="0" w:color="auto"/>
            <w:bottom w:val="none" w:sz="0" w:space="0" w:color="auto"/>
            <w:right w:val="none" w:sz="0" w:space="0" w:color="auto"/>
          </w:divBdr>
        </w:div>
        <w:div w:id="596449776">
          <w:marLeft w:val="360"/>
          <w:marRight w:val="0"/>
          <w:marTop w:val="200"/>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130195">
      <w:bodyDiv w:val="1"/>
      <w:marLeft w:val="0"/>
      <w:marRight w:val="0"/>
      <w:marTop w:val="0"/>
      <w:marBottom w:val="0"/>
      <w:divBdr>
        <w:top w:val="none" w:sz="0" w:space="0" w:color="auto"/>
        <w:left w:val="none" w:sz="0" w:space="0" w:color="auto"/>
        <w:bottom w:val="none" w:sz="0" w:space="0" w:color="auto"/>
        <w:right w:val="none" w:sz="0" w:space="0" w:color="auto"/>
      </w:divBdr>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0794470">
      <w:bodyDiv w:val="1"/>
      <w:marLeft w:val="0"/>
      <w:marRight w:val="0"/>
      <w:marTop w:val="0"/>
      <w:marBottom w:val="0"/>
      <w:divBdr>
        <w:top w:val="none" w:sz="0" w:space="0" w:color="auto"/>
        <w:left w:val="none" w:sz="0" w:space="0" w:color="auto"/>
        <w:bottom w:val="none" w:sz="0" w:space="0" w:color="auto"/>
        <w:right w:val="none" w:sz="0" w:space="0" w:color="auto"/>
      </w:divBdr>
      <w:divsChild>
        <w:div w:id="361787114">
          <w:marLeft w:val="547"/>
          <w:marRight w:val="0"/>
          <w:marTop w:val="0"/>
          <w:marBottom w:val="0"/>
          <w:divBdr>
            <w:top w:val="none" w:sz="0" w:space="0" w:color="auto"/>
            <w:left w:val="none" w:sz="0" w:space="0" w:color="auto"/>
            <w:bottom w:val="none" w:sz="0" w:space="0" w:color="auto"/>
            <w:right w:val="none" w:sz="0" w:space="0" w:color="auto"/>
          </w:divBdr>
        </w:div>
        <w:div w:id="948048117">
          <w:marLeft w:val="1166"/>
          <w:marRight w:val="0"/>
          <w:marTop w:val="0"/>
          <w:marBottom w:val="0"/>
          <w:divBdr>
            <w:top w:val="none" w:sz="0" w:space="0" w:color="auto"/>
            <w:left w:val="none" w:sz="0" w:space="0" w:color="auto"/>
            <w:bottom w:val="none" w:sz="0" w:space="0" w:color="auto"/>
            <w:right w:val="none" w:sz="0" w:space="0" w:color="auto"/>
          </w:divBdr>
        </w:div>
        <w:div w:id="1020163169">
          <w:marLeft w:val="1166"/>
          <w:marRight w:val="0"/>
          <w:marTop w:val="0"/>
          <w:marBottom w:val="0"/>
          <w:divBdr>
            <w:top w:val="none" w:sz="0" w:space="0" w:color="auto"/>
            <w:left w:val="none" w:sz="0" w:space="0" w:color="auto"/>
            <w:bottom w:val="none" w:sz="0" w:space="0" w:color="auto"/>
            <w:right w:val="none" w:sz="0" w:space="0" w:color="auto"/>
          </w:divBdr>
        </w:div>
        <w:div w:id="1646199329">
          <w:marLeft w:val="1166"/>
          <w:marRight w:val="0"/>
          <w:marTop w:val="0"/>
          <w:marBottom w:val="0"/>
          <w:divBdr>
            <w:top w:val="none" w:sz="0" w:space="0" w:color="auto"/>
            <w:left w:val="none" w:sz="0" w:space="0" w:color="auto"/>
            <w:bottom w:val="none" w:sz="0" w:space="0" w:color="auto"/>
            <w:right w:val="none" w:sz="0" w:space="0" w:color="auto"/>
          </w:divBdr>
        </w:div>
        <w:div w:id="495152501">
          <w:marLeft w:val="1166"/>
          <w:marRight w:val="0"/>
          <w:marTop w:val="0"/>
          <w:marBottom w:val="0"/>
          <w:divBdr>
            <w:top w:val="none" w:sz="0" w:space="0" w:color="auto"/>
            <w:left w:val="none" w:sz="0" w:space="0" w:color="auto"/>
            <w:bottom w:val="none" w:sz="0" w:space="0" w:color="auto"/>
            <w:right w:val="none" w:sz="0" w:space="0" w:color="auto"/>
          </w:divBdr>
        </w:div>
        <w:div w:id="49967623">
          <w:marLeft w:val="547"/>
          <w:marRight w:val="0"/>
          <w:marTop w:val="0"/>
          <w:marBottom w:val="0"/>
          <w:divBdr>
            <w:top w:val="none" w:sz="0" w:space="0" w:color="auto"/>
            <w:left w:val="none" w:sz="0" w:space="0" w:color="auto"/>
            <w:bottom w:val="none" w:sz="0" w:space="0" w:color="auto"/>
            <w:right w:val="none" w:sz="0" w:space="0" w:color="auto"/>
          </w:divBdr>
        </w:div>
        <w:div w:id="698510638">
          <w:marLeft w:val="1166"/>
          <w:marRight w:val="0"/>
          <w:marTop w:val="0"/>
          <w:marBottom w:val="0"/>
          <w:divBdr>
            <w:top w:val="none" w:sz="0" w:space="0" w:color="auto"/>
            <w:left w:val="none" w:sz="0" w:space="0" w:color="auto"/>
            <w:bottom w:val="none" w:sz="0" w:space="0" w:color="auto"/>
            <w:right w:val="none" w:sz="0" w:space="0" w:color="auto"/>
          </w:divBdr>
        </w:div>
        <w:div w:id="1236549626">
          <w:marLeft w:val="1166"/>
          <w:marRight w:val="0"/>
          <w:marTop w:val="0"/>
          <w:marBottom w:val="0"/>
          <w:divBdr>
            <w:top w:val="none" w:sz="0" w:space="0" w:color="auto"/>
            <w:left w:val="none" w:sz="0" w:space="0" w:color="auto"/>
            <w:bottom w:val="none" w:sz="0" w:space="0" w:color="auto"/>
            <w:right w:val="none" w:sz="0" w:space="0" w:color="auto"/>
          </w:divBdr>
        </w:div>
        <w:div w:id="3631836">
          <w:marLeft w:val="1166"/>
          <w:marRight w:val="0"/>
          <w:marTop w:val="0"/>
          <w:marBottom w:val="0"/>
          <w:divBdr>
            <w:top w:val="none" w:sz="0" w:space="0" w:color="auto"/>
            <w:left w:val="none" w:sz="0" w:space="0" w:color="auto"/>
            <w:bottom w:val="none" w:sz="0" w:space="0" w:color="auto"/>
            <w:right w:val="none" w:sz="0" w:space="0" w:color="auto"/>
          </w:divBdr>
        </w:div>
        <w:div w:id="1061640571">
          <w:marLeft w:val="1166"/>
          <w:marRight w:val="0"/>
          <w:marTop w:val="0"/>
          <w:marBottom w:val="0"/>
          <w:divBdr>
            <w:top w:val="none" w:sz="0" w:space="0" w:color="auto"/>
            <w:left w:val="none" w:sz="0" w:space="0" w:color="auto"/>
            <w:bottom w:val="none" w:sz="0" w:space="0" w:color="auto"/>
            <w:right w:val="none" w:sz="0" w:space="0" w:color="auto"/>
          </w:divBdr>
        </w:div>
        <w:div w:id="989944217">
          <w:marLeft w:val="547"/>
          <w:marRight w:val="0"/>
          <w:marTop w:val="0"/>
          <w:marBottom w:val="0"/>
          <w:divBdr>
            <w:top w:val="none" w:sz="0" w:space="0" w:color="auto"/>
            <w:left w:val="none" w:sz="0" w:space="0" w:color="auto"/>
            <w:bottom w:val="none" w:sz="0" w:space="0" w:color="auto"/>
            <w:right w:val="none" w:sz="0" w:space="0" w:color="auto"/>
          </w:divBdr>
        </w:div>
        <w:div w:id="2040351272">
          <w:marLeft w:val="547"/>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3225806">
      <w:bodyDiv w:val="1"/>
      <w:marLeft w:val="0"/>
      <w:marRight w:val="0"/>
      <w:marTop w:val="0"/>
      <w:marBottom w:val="0"/>
      <w:divBdr>
        <w:top w:val="none" w:sz="0" w:space="0" w:color="auto"/>
        <w:left w:val="none" w:sz="0" w:space="0" w:color="auto"/>
        <w:bottom w:val="none" w:sz="0" w:space="0" w:color="auto"/>
        <w:right w:val="none" w:sz="0" w:space="0" w:color="auto"/>
      </w:divBdr>
      <w:divsChild>
        <w:div w:id="1366826233">
          <w:marLeft w:val="547"/>
          <w:marRight w:val="0"/>
          <w:marTop w:val="0"/>
          <w:marBottom w:val="0"/>
          <w:divBdr>
            <w:top w:val="none" w:sz="0" w:space="0" w:color="auto"/>
            <w:left w:val="none" w:sz="0" w:space="0" w:color="auto"/>
            <w:bottom w:val="none" w:sz="0" w:space="0" w:color="auto"/>
            <w:right w:val="none" w:sz="0" w:space="0" w:color="auto"/>
          </w:divBdr>
        </w:div>
        <w:div w:id="584070658">
          <w:marLeft w:val="547"/>
          <w:marRight w:val="0"/>
          <w:marTop w:val="0"/>
          <w:marBottom w:val="0"/>
          <w:divBdr>
            <w:top w:val="none" w:sz="0" w:space="0" w:color="auto"/>
            <w:left w:val="none" w:sz="0" w:space="0" w:color="auto"/>
            <w:bottom w:val="none" w:sz="0" w:space="0" w:color="auto"/>
            <w:right w:val="none" w:sz="0" w:space="0" w:color="auto"/>
          </w:divBdr>
        </w:div>
        <w:div w:id="275211666">
          <w:marLeft w:val="547"/>
          <w:marRight w:val="0"/>
          <w:marTop w:val="0"/>
          <w:marBottom w:val="0"/>
          <w:divBdr>
            <w:top w:val="none" w:sz="0" w:space="0" w:color="auto"/>
            <w:left w:val="none" w:sz="0" w:space="0" w:color="auto"/>
            <w:bottom w:val="none" w:sz="0" w:space="0" w:color="auto"/>
            <w:right w:val="none" w:sz="0" w:space="0" w:color="auto"/>
          </w:divBdr>
        </w:div>
        <w:div w:id="372459257">
          <w:marLeft w:val="547"/>
          <w:marRight w:val="0"/>
          <w:marTop w:val="0"/>
          <w:marBottom w:val="0"/>
          <w:divBdr>
            <w:top w:val="none" w:sz="0" w:space="0" w:color="auto"/>
            <w:left w:val="none" w:sz="0" w:space="0" w:color="auto"/>
            <w:bottom w:val="none" w:sz="0" w:space="0" w:color="auto"/>
            <w:right w:val="none" w:sz="0" w:space="0" w:color="auto"/>
          </w:divBdr>
        </w:div>
        <w:div w:id="991569039">
          <w:marLeft w:val="547"/>
          <w:marRight w:val="0"/>
          <w:marTop w:val="0"/>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9578046">
      <w:bodyDiv w:val="1"/>
      <w:marLeft w:val="0"/>
      <w:marRight w:val="0"/>
      <w:marTop w:val="0"/>
      <w:marBottom w:val="0"/>
      <w:divBdr>
        <w:top w:val="none" w:sz="0" w:space="0" w:color="auto"/>
        <w:left w:val="none" w:sz="0" w:space="0" w:color="auto"/>
        <w:bottom w:val="none" w:sz="0" w:space="0" w:color="auto"/>
        <w:right w:val="none" w:sz="0" w:space="0" w:color="auto"/>
      </w:divBdr>
      <w:divsChild>
        <w:div w:id="41487243">
          <w:marLeft w:val="547"/>
          <w:marRight w:val="0"/>
          <w:marTop w:val="0"/>
          <w:marBottom w:val="0"/>
          <w:divBdr>
            <w:top w:val="none" w:sz="0" w:space="0" w:color="auto"/>
            <w:left w:val="none" w:sz="0" w:space="0" w:color="auto"/>
            <w:bottom w:val="none" w:sz="0" w:space="0" w:color="auto"/>
            <w:right w:val="none" w:sz="0" w:space="0" w:color="auto"/>
          </w:divBdr>
        </w:div>
        <w:div w:id="1724909394">
          <w:marLeft w:val="547"/>
          <w:marRight w:val="0"/>
          <w:marTop w:val="0"/>
          <w:marBottom w:val="0"/>
          <w:divBdr>
            <w:top w:val="none" w:sz="0" w:space="0" w:color="auto"/>
            <w:left w:val="none" w:sz="0" w:space="0" w:color="auto"/>
            <w:bottom w:val="none" w:sz="0" w:space="0" w:color="auto"/>
            <w:right w:val="none" w:sz="0" w:space="0" w:color="auto"/>
          </w:divBdr>
        </w:div>
        <w:div w:id="2120879045">
          <w:marLeft w:val="547"/>
          <w:marRight w:val="0"/>
          <w:marTop w:val="0"/>
          <w:marBottom w:val="0"/>
          <w:divBdr>
            <w:top w:val="none" w:sz="0" w:space="0" w:color="auto"/>
            <w:left w:val="none" w:sz="0" w:space="0" w:color="auto"/>
            <w:bottom w:val="none" w:sz="0" w:space="0" w:color="auto"/>
            <w:right w:val="none" w:sz="0" w:space="0" w:color="auto"/>
          </w:divBdr>
        </w:div>
        <w:div w:id="881864630">
          <w:marLeft w:val="547"/>
          <w:marRight w:val="0"/>
          <w:marTop w:val="0"/>
          <w:marBottom w:val="0"/>
          <w:divBdr>
            <w:top w:val="none" w:sz="0" w:space="0" w:color="auto"/>
            <w:left w:val="none" w:sz="0" w:space="0" w:color="auto"/>
            <w:bottom w:val="none" w:sz="0" w:space="0" w:color="auto"/>
            <w:right w:val="none" w:sz="0" w:space="0" w:color="auto"/>
          </w:divBdr>
        </w:div>
        <w:div w:id="318121003">
          <w:marLeft w:val="547"/>
          <w:marRight w:val="0"/>
          <w:marTop w:val="0"/>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2176545">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4425702">
      <w:bodyDiv w:val="1"/>
      <w:marLeft w:val="0"/>
      <w:marRight w:val="0"/>
      <w:marTop w:val="0"/>
      <w:marBottom w:val="0"/>
      <w:divBdr>
        <w:top w:val="none" w:sz="0" w:space="0" w:color="auto"/>
        <w:left w:val="none" w:sz="0" w:space="0" w:color="auto"/>
        <w:bottom w:val="none" w:sz="0" w:space="0" w:color="auto"/>
        <w:right w:val="none" w:sz="0" w:space="0" w:color="auto"/>
      </w:divBdr>
      <w:divsChild>
        <w:div w:id="1419865352">
          <w:marLeft w:val="547"/>
          <w:marRight w:val="0"/>
          <w:marTop w:val="0"/>
          <w:marBottom w:val="0"/>
          <w:divBdr>
            <w:top w:val="none" w:sz="0" w:space="0" w:color="auto"/>
            <w:left w:val="none" w:sz="0" w:space="0" w:color="auto"/>
            <w:bottom w:val="none" w:sz="0" w:space="0" w:color="auto"/>
            <w:right w:val="none" w:sz="0" w:space="0" w:color="auto"/>
          </w:divBdr>
        </w:div>
        <w:div w:id="929124771">
          <w:marLeft w:val="1166"/>
          <w:marRight w:val="0"/>
          <w:marTop w:val="0"/>
          <w:marBottom w:val="0"/>
          <w:divBdr>
            <w:top w:val="none" w:sz="0" w:space="0" w:color="auto"/>
            <w:left w:val="none" w:sz="0" w:space="0" w:color="auto"/>
            <w:bottom w:val="none" w:sz="0" w:space="0" w:color="auto"/>
            <w:right w:val="none" w:sz="0" w:space="0" w:color="auto"/>
          </w:divBdr>
        </w:div>
        <w:div w:id="1108549015">
          <w:marLeft w:val="1166"/>
          <w:marRight w:val="0"/>
          <w:marTop w:val="0"/>
          <w:marBottom w:val="0"/>
          <w:divBdr>
            <w:top w:val="none" w:sz="0" w:space="0" w:color="auto"/>
            <w:left w:val="none" w:sz="0" w:space="0" w:color="auto"/>
            <w:bottom w:val="none" w:sz="0" w:space="0" w:color="auto"/>
            <w:right w:val="none" w:sz="0" w:space="0" w:color="auto"/>
          </w:divBdr>
        </w:div>
        <w:div w:id="465315898">
          <w:marLeft w:val="1166"/>
          <w:marRight w:val="0"/>
          <w:marTop w:val="0"/>
          <w:marBottom w:val="0"/>
          <w:divBdr>
            <w:top w:val="none" w:sz="0" w:space="0" w:color="auto"/>
            <w:left w:val="none" w:sz="0" w:space="0" w:color="auto"/>
            <w:bottom w:val="none" w:sz="0" w:space="0" w:color="auto"/>
            <w:right w:val="none" w:sz="0" w:space="0" w:color="auto"/>
          </w:divBdr>
        </w:div>
        <w:div w:id="1049836885">
          <w:marLeft w:val="1166"/>
          <w:marRight w:val="0"/>
          <w:marTop w:val="0"/>
          <w:marBottom w:val="0"/>
          <w:divBdr>
            <w:top w:val="none" w:sz="0" w:space="0" w:color="auto"/>
            <w:left w:val="none" w:sz="0" w:space="0" w:color="auto"/>
            <w:bottom w:val="none" w:sz="0" w:space="0" w:color="auto"/>
            <w:right w:val="none" w:sz="0" w:space="0" w:color="auto"/>
          </w:divBdr>
        </w:div>
        <w:div w:id="1754664651">
          <w:marLeft w:val="547"/>
          <w:marRight w:val="0"/>
          <w:marTop w:val="0"/>
          <w:marBottom w:val="0"/>
          <w:divBdr>
            <w:top w:val="none" w:sz="0" w:space="0" w:color="auto"/>
            <w:left w:val="none" w:sz="0" w:space="0" w:color="auto"/>
            <w:bottom w:val="none" w:sz="0" w:space="0" w:color="auto"/>
            <w:right w:val="none" w:sz="0" w:space="0" w:color="auto"/>
          </w:divBdr>
        </w:div>
        <w:div w:id="1085301544">
          <w:marLeft w:val="1166"/>
          <w:marRight w:val="0"/>
          <w:marTop w:val="0"/>
          <w:marBottom w:val="0"/>
          <w:divBdr>
            <w:top w:val="none" w:sz="0" w:space="0" w:color="auto"/>
            <w:left w:val="none" w:sz="0" w:space="0" w:color="auto"/>
            <w:bottom w:val="none" w:sz="0" w:space="0" w:color="auto"/>
            <w:right w:val="none" w:sz="0" w:space="0" w:color="auto"/>
          </w:divBdr>
        </w:div>
        <w:div w:id="1638878431">
          <w:marLeft w:val="1166"/>
          <w:marRight w:val="0"/>
          <w:marTop w:val="0"/>
          <w:marBottom w:val="0"/>
          <w:divBdr>
            <w:top w:val="none" w:sz="0" w:space="0" w:color="auto"/>
            <w:left w:val="none" w:sz="0" w:space="0" w:color="auto"/>
            <w:bottom w:val="none" w:sz="0" w:space="0" w:color="auto"/>
            <w:right w:val="none" w:sz="0" w:space="0" w:color="auto"/>
          </w:divBdr>
        </w:div>
        <w:div w:id="482088055">
          <w:marLeft w:val="1166"/>
          <w:marRight w:val="0"/>
          <w:marTop w:val="0"/>
          <w:marBottom w:val="0"/>
          <w:divBdr>
            <w:top w:val="none" w:sz="0" w:space="0" w:color="auto"/>
            <w:left w:val="none" w:sz="0" w:space="0" w:color="auto"/>
            <w:bottom w:val="none" w:sz="0" w:space="0" w:color="auto"/>
            <w:right w:val="none" w:sz="0" w:space="0" w:color="auto"/>
          </w:divBdr>
        </w:div>
        <w:div w:id="1184588179">
          <w:marLeft w:val="1166"/>
          <w:marRight w:val="0"/>
          <w:marTop w:val="0"/>
          <w:marBottom w:val="0"/>
          <w:divBdr>
            <w:top w:val="none" w:sz="0" w:space="0" w:color="auto"/>
            <w:left w:val="none" w:sz="0" w:space="0" w:color="auto"/>
            <w:bottom w:val="none" w:sz="0" w:space="0" w:color="auto"/>
            <w:right w:val="none" w:sz="0" w:space="0" w:color="auto"/>
          </w:divBdr>
        </w:div>
        <w:div w:id="284312313">
          <w:marLeft w:val="547"/>
          <w:marRight w:val="0"/>
          <w:marTop w:val="0"/>
          <w:marBottom w:val="0"/>
          <w:divBdr>
            <w:top w:val="none" w:sz="0" w:space="0" w:color="auto"/>
            <w:left w:val="none" w:sz="0" w:space="0" w:color="auto"/>
            <w:bottom w:val="none" w:sz="0" w:space="0" w:color="auto"/>
            <w:right w:val="none" w:sz="0" w:space="0" w:color="auto"/>
          </w:divBdr>
        </w:div>
        <w:div w:id="2050569183">
          <w:marLeft w:val="547"/>
          <w:marRight w:val="0"/>
          <w:marTop w:val="0"/>
          <w:marBottom w:val="0"/>
          <w:divBdr>
            <w:top w:val="none" w:sz="0" w:space="0" w:color="auto"/>
            <w:left w:val="none" w:sz="0" w:space="0" w:color="auto"/>
            <w:bottom w:val="none" w:sz="0" w:space="0" w:color="auto"/>
            <w:right w:val="none" w:sz="0" w:space="0" w:color="auto"/>
          </w:divBdr>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7239949">
      <w:bodyDiv w:val="1"/>
      <w:marLeft w:val="0"/>
      <w:marRight w:val="0"/>
      <w:marTop w:val="0"/>
      <w:marBottom w:val="0"/>
      <w:divBdr>
        <w:top w:val="none" w:sz="0" w:space="0" w:color="auto"/>
        <w:left w:val="none" w:sz="0" w:space="0" w:color="auto"/>
        <w:bottom w:val="none" w:sz="0" w:space="0" w:color="auto"/>
        <w:right w:val="none" w:sz="0" w:space="0" w:color="auto"/>
      </w:divBdr>
      <w:divsChild>
        <w:div w:id="1688100286">
          <w:marLeft w:val="547"/>
          <w:marRight w:val="0"/>
          <w:marTop w:val="0"/>
          <w:marBottom w:val="0"/>
          <w:divBdr>
            <w:top w:val="none" w:sz="0" w:space="0" w:color="auto"/>
            <w:left w:val="none" w:sz="0" w:space="0" w:color="auto"/>
            <w:bottom w:val="none" w:sz="0" w:space="0" w:color="auto"/>
            <w:right w:val="none" w:sz="0" w:space="0" w:color="auto"/>
          </w:divBdr>
        </w:div>
        <w:div w:id="382216022">
          <w:marLeft w:val="547"/>
          <w:marRight w:val="0"/>
          <w:marTop w:val="0"/>
          <w:marBottom w:val="0"/>
          <w:divBdr>
            <w:top w:val="none" w:sz="0" w:space="0" w:color="auto"/>
            <w:left w:val="none" w:sz="0" w:space="0" w:color="auto"/>
            <w:bottom w:val="none" w:sz="0" w:space="0" w:color="auto"/>
            <w:right w:val="none" w:sz="0" w:space="0" w:color="auto"/>
          </w:divBdr>
        </w:div>
        <w:div w:id="1648976344">
          <w:marLeft w:val="547"/>
          <w:marRight w:val="0"/>
          <w:marTop w:val="0"/>
          <w:marBottom w:val="0"/>
          <w:divBdr>
            <w:top w:val="none" w:sz="0" w:space="0" w:color="auto"/>
            <w:left w:val="none" w:sz="0" w:space="0" w:color="auto"/>
            <w:bottom w:val="none" w:sz="0" w:space="0" w:color="auto"/>
            <w:right w:val="none" w:sz="0" w:space="0" w:color="auto"/>
          </w:divBdr>
        </w:div>
        <w:div w:id="2079663794">
          <w:marLeft w:val="547"/>
          <w:marRight w:val="0"/>
          <w:marTop w:val="0"/>
          <w:marBottom w:val="0"/>
          <w:divBdr>
            <w:top w:val="none" w:sz="0" w:space="0" w:color="auto"/>
            <w:left w:val="none" w:sz="0" w:space="0" w:color="auto"/>
            <w:bottom w:val="none" w:sz="0" w:space="0" w:color="auto"/>
            <w:right w:val="none" w:sz="0" w:space="0" w:color="auto"/>
          </w:divBdr>
        </w:div>
        <w:div w:id="703946205">
          <w:marLeft w:val="547"/>
          <w:marRight w:val="0"/>
          <w:marTop w:val="0"/>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9586621">
      <w:bodyDiv w:val="1"/>
      <w:marLeft w:val="0"/>
      <w:marRight w:val="0"/>
      <w:marTop w:val="0"/>
      <w:marBottom w:val="0"/>
      <w:divBdr>
        <w:top w:val="none" w:sz="0" w:space="0" w:color="auto"/>
        <w:left w:val="none" w:sz="0" w:space="0" w:color="auto"/>
        <w:bottom w:val="none" w:sz="0" w:space="0" w:color="auto"/>
        <w:right w:val="none" w:sz="0" w:space="0" w:color="auto"/>
      </w:divBdr>
      <w:divsChild>
        <w:div w:id="1917783110">
          <w:marLeft w:val="360"/>
          <w:marRight w:val="0"/>
          <w:marTop w:val="200"/>
          <w:marBottom w:val="0"/>
          <w:divBdr>
            <w:top w:val="none" w:sz="0" w:space="0" w:color="auto"/>
            <w:left w:val="none" w:sz="0" w:space="0" w:color="auto"/>
            <w:bottom w:val="none" w:sz="0" w:space="0" w:color="auto"/>
            <w:right w:val="none" w:sz="0" w:space="0" w:color="auto"/>
          </w:divBdr>
        </w:div>
        <w:div w:id="1221207334">
          <w:marLeft w:val="360"/>
          <w:marRight w:val="0"/>
          <w:marTop w:val="200"/>
          <w:marBottom w:val="0"/>
          <w:divBdr>
            <w:top w:val="none" w:sz="0" w:space="0" w:color="auto"/>
            <w:left w:val="none" w:sz="0" w:space="0" w:color="auto"/>
            <w:bottom w:val="none" w:sz="0" w:space="0" w:color="auto"/>
            <w:right w:val="none" w:sz="0" w:space="0" w:color="auto"/>
          </w:divBdr>
        </w:div>
        <w:div w:id="1981567423">
          <w:marLeft w:val="360"/>
          <w:marRight w:val="0"/>
          <w:marTop w:val="200"/>
          <w:marBottom w:val="0"/>
          <w:divBdr>
            <w:top w:val="none" w:sz="0" w:space="0" w:color="auto"/>
            <w:left w:val="none" w:sz="0" w:space="0" w:color="auto"/>
            <w:bottom w:val="none" w:sz="0" w:space="0" w:color="auto"/>
            <w:right w:val="none" w:sz="0" w:space="0" w:color="auto"/>
          </w:divBdr>
        </w:div>
      </w:divsChild>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0946750">
      <w:bodyDiv w:val="1"/>
      <w:marLeft w:val="0"/>
      <w:marRight w:val="0"/>
      <w:marTop w:val="0"/>
      <w:marBottom w:val="0"/>
      <w:divBdr>
        <w:top w:val="none" w:sz="0" w:space="0" w:color="auto"/>
        <w:left w:val="none" w:sz="0" w:space="0" w:color="auto"/>
        <w:bottom w:val="none" w:sz="0" w:space="0" w:color="auto"/>
        <w:right w:val="none" w:sz="0" w:space="0" w:color="auto"/>
      </w:divBdr>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73691308">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0323730">
      <w:bodyDiv w:val="1"/>
      <w:marLeft w:val="0"/>
      <w:marRight w:val="0"/>
      <w:marTop w:val="0"/>
      <w:marBottom w:val="0"/>
      <w:divBdr>
        <w:top w:val="none" w:sz="0" w:space="0" w:color="auto"/>
        <w:left w:val="none" w:sz="0" w:space="0" w:color="auto"/>
        <w:bottom w:val="none" w:sz="0" w:space="0" w:color="auto"/>
        <w:right w:val="none" w:sz="0" w:space="0" w:color="auto"/>
      </w:divBdr>
      <w:divsChild>
        <w:div w:id="1952544345">
          <w:marLeft w:val="360"/>
          <w:marRight w:val="0"/>
          <w:marTop w:val="200"/>
          <w:marBottom w:val="0"/>
          <w:divBdr>
            <w:top w:val="none" w:sz="0" w:space="0" w:color="auto"/>
            <w:left w:val="none" w:sz="0" w:space="0" w:color="auto"/>
            <w:bottom w:val="none" w:sz="0" w:space="0" w:color="auto"/>
            <w:right w:val="none" w:sz="0" w:space="0" w:color="auto"/>
          </w:divBdr>
        </w:div>
        <w:div w:id="551189199">
          <w:marLeft w:val="360"/>
          <w:marRight w:val="0"/>
          <w:marTop w:val="200"/>
          <w:marBottom w:val="0"/>
          <w:divBdr>
            <w:top w:val="none" w:sz="0" w:space="0" w:color="auto"/>
            <w:left w:val="none" w:sz="0" w:space="0" w:color="auto"/>
            <w:bottom w:val="none" w:sz="0" w:space="0" w:color="auto"/>
            <w:right w:val="none" w:sz="0" w:space="0" w:color="auto"/>
          </w:divBdr>
        </w:div>
        <w:div w:id="629867364">
          <w:marLeft w:val="360"/>
          <w:marRight w:val="0"/>
          <w:marTop w:val="200"/>
          <w:marBottom w:val="0"/>
          <w:divBdr>
            <w:top w:val="none" w:sz="0" w:space="0" w:color="auto"/>
            <w:left w:val="none" w:sz="0" w:space="0" w:color="auto"/>
            <w:bottom w:val="none" w:sz="0" w:space="0" w:color="auto"/>
            <w:right w:val="none" w:sz="0" w:space="0" w:color="auto"/>
          </w:divBdr>
        </w:div>
        <w:div w:id="1287349641">
          <w:marLeft w:val="360"/>
          <w:marRight w:val="0"/>
          <w:marTop w:val="200"/>
          <w:marBottom w:val="0"/>
          <w:divBdr>
            <w:top w:val="none" w:sz="0" w:space="0" w:color="auto"/>
            <w:left w:val="none" w:sz="0" w:space="0" w:color="auto"/>
            <w:bottom w:val="none" w:sz="0" w:space="0" w:color="auto"/>
            <w:right w:val="none" w:sz="0" w:space="0" w:color="auto"/>
          </w:divBdr>
        </w:div>
        <w:div w:id="1143624238">
          <w:marLeft w:val="1080"/>
          <w:marRight w:val="0"/>
          <w:marTop w:val="100"/>
          <w:marBottom w:val="0"/>
          <w:divBdr>
            <w:top w:val="none" w:sz="0" w:space="0" w:color="auto"/>
            <w:left w:val="none" w:sz="0" w:space="0" w:color="auto"/>
            <w:bottom w:val="none" w:sz="0" w:space="0" w:color="auto"/>
            <w:right w:val="none" w:sz="0" w:space="0" w:color="auto"/>
          </w:divBdr>
        </w:div>
        <w:div w:id="1988509865">
          <w:marLeft w:val="1080"/>
          <w:marRight w:val="0"/>
          <w:marTop w:val="100"/>
          <w:marBottom w:val="0"/>
          <w:divBdr>
            <w:top w:val="none" w:sz="0" w:space="0" w:color="auto"/>
            <w:left w:val="none" w:sz="0" w:space="0" w:color="auto"/>
            <w:bottom w:val="none" w:sz="0" w:space="0" w:color="auto"/>
            <w:right w:val="none" w:sz="0" w:space="0" w:color="auto"/>
          </w:divBdr>
        </w:div>
      </w:divsChild>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2325408">
      <w:bodyDiv w:val="1"/>
      <w:marLeft w:val="0"/>
      <w:marRight w:val="0"/>
      <w:marTop w:val="0"/>
      <w:marBottom w:val="0"/>
      <w:divBdr>
        <w:top w:val="none" w:sz="0" w:space="0" w:color="auto"/>
        <w:left w:val="none" w:sz="0" w:space="0" w:color="auto"/>
        <w:bottom w:val="none" w:sz="0" w:space="0" w:color="auto"/>
        <w:right w:val="none" w:sz="0" w:space="0" w:color="auto"/>
      </w:divBdr>
      <w:divsChild>
        <w:div w:id="1044713255">
          <w:marLeft w:val="360"/>
          <w:marRight w:val="0"/>
          <w:marTop w:val="200"/>
          <w:marBottom w:val="0"/>
          <w:divBdr>
            <w:top w:val="none" w:sz="0" w:space="0" w:color="auto"/>
            <w:left w:val="none" w:sz="0" w:space="0" w:color="auto"/>
            <w:bottom w:val="none" w:sz="0" w:space="0" w:color="auto"/>
            <w:right w:val="none" w:sz="0" w:space="0" w:color="auto"/>
          </w:divBdr>
        </w:div>
        <w:div w:id="800466939">
          <w:marLeft w:val="1080"/>
          <w:marRight w:val="0"/>
          <w:marTop w:val="100"/>
          <w:marBottom w:val="0"/>
          <w:divBdr>
            <w:top w:val="none" w:sz="0" w:space="0" w:color="auto"/>
            <w:left w:val="none" w:sz="0" w:space="0" w:color="auto"/>
            <w:bottom w:val="none" w:sz="0" w:space="0" w:color="auto"/>
            <w:right w:val="none" w:sz="0" w:space="0" w:color="auto"/>
          </w:divBdr>
        </w:div>
        <w:div w:id="1349332970">
          <w:marLeft w:val="1800"/>
          <w:marRight w:val="0"/>
          <w:marTop w:val="100"/>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96582255">
      <w:bodyDiv w:val="1"/>
      <w:marLeft w:val="0"/>
      <w:marRight w:val="0"/>
      <w:marTop w:val="0"/>
      <w:marBottom w:val="0"/>
      <w:divBdr>
        <w:top w:val="none" w:sz="0" w:space="0" w:color="auto"/>
        <w:left w:val="none" w:sz="0" w:space="0" w:color="auto"/>
        <w:bottom w:val="none" w:sz="0" w:space="0" w:color="auto"/>
        <w:right w:val="none" w:sz="0" w:space="0" w:color="auto"/>
      </w:divBdr>
      <w:divsChild>
        <w:div w:id="830218810">
          <w:marLeft w:val="360"/>
          <w:marRight w:val="0"/>
          <w:marTop w:val="200"/>
          <w:marBottom w:val="0"/>
          <w:divBdr>
            <w:top w:val="none" w:sz="0" w:space="0" w:color="auto"/>
            <w:left w:val="none" w:sz="0" w:space="0" w:color="auto"/>
            <w:bottom w:val="none" w:sz="0" w:space="0" w:color="auto"/>
            <w:right w:val="none" w:sz="0" w:space="0" w:color="auto"/>
          </w:divBdr>
        </w:div>
        <w:div w:id="354118440">
          <w:marLeft w:val="360"/>
          <w:marRight w:val="0"/>
          <w:marTop w:val="200"/>
          <w:marBottom w:val="0"/>
          <w:divBdr>
            <w:top w:val="none" w:sz="0" w:space="0" w:color="auto"/>
            <w:left w:val="none" w:sz="0" w:space="0" w:color="auto"/>
            <w:bottom w:val="none" w:sz="0" w:space="0" w:color="auto"/>
            <w:right w:val="none" w:sz="0" w:space="0" w:color="auto"/>
          </w:divBdr>
        </w:div>
        <w:div w:id="1514219559">
          <w:marLeft w:val="1080"/>
          <w:marRight w:val="0"/>
          <w:marTop w:val="100"/>
          <w:marBottom w:val="0"/>
          <w:divBdr>
            <w:top w:val="none" w:sz="0" w:space="0" w:color="auto"/>
            <w:left w:val="none" w:sz="0" w:space="0" w:color="auto"/>
            <w:bottom w:val="none" w:sz="0" w:space="0" w:color="auto"/>
            <w:right w:val="none" w:sz="0" w:space="0" w:color="auto"/>
          </w:divBdr>
        </w:div>
        <w:div w:id="1626278731">
          <w:marLeft w:val="1800"/>
          <w:marRight w:val="0"/>
          <w:marTop w:val="100"/>
          <w:marBottom w:val="0"/>
          <w:divBdr>
            <w:top w:val="none" w:sz="0" w:space="0" w:color="auto"/>
            <w:left w:val="none" w:sz="0" w:space="0" w:color="auto"/>
            <w:bottom w:val="none" w:sz="0" w:space="0" w:color="auto"/>
            <w:right w:val="none" w:sz="0" w:space="0" w:color="auto"/>
          </w:divBdr>
        </w:div>
        <w:div w:id="168645432">
          <w:marLeft w:val="1800"/>
          <w:marRight w:val="0"/>
          <w:marTop w:val="100"/>
          <w:marBottom w:val="0"/>
          <w:divBdr>
            <w:top w:val="none" w:sz="0" w:space="0" w:color="auto"/>
            <w:left w:val="none" w:sz="0" w:space="0" w:color="auto"/>
            <w:bottom w:val="none" w:sz="0" w:space="0" w:color="auto"/>
            <w:right w:val="none" w:sz="0" w:space="0" w:color="auto"/>
          </w:divBdr>
        </w:div>
        <w:div w:id="1828983769">
          <w:marLeft w:val="1080"/>
          <w:marRight w:val="0"/>
          <w:marTop w:val="100"/>
          <w:marBottom w:val="0"/>
          <w:divBdr>
            <w:top w:val="none" w:sz="0" w:space="0" w:color="auto"/>
            <w:left w:val="none" w:sz="0" w:space="0" w:color="auto"/>
            <w:bottom w:val="none" w:sz="0" w:space="0" w:color="auto"/>
            <w:right w:val="none" w:sz="0" w:space="0" w:color="auto"/>
          </w:divBdr>
        </w:div>
        <w:div w:id="448665348">
          <w:marLeft w:val="1080"/>
          <w:marRight w:val="0"/>
          <w:marTop w:val="100"/>
          <w:marBottom w:val="0"/>
          <w:divBdr>
            <w:top w:val="none" w:sz="0" w:space="0" w:color="auto"/>
            <w:left w:val="none" w:sz="0" w:space="0" w:color="auto"/>
            <w:bottom w:val="none" w:sz="0" w:space="0" w:color="auto"/>
            <w:right w:val="none" w:sz="0" w:space="0" w:color="auto"/>
          </w:divBdr>
        </w:div>
        <w:div w:id="324283300">
          <w:marLeft w:val="1080"/>
          <w:marRight w:val="0"/>
          <w:marTop w:val="100"/>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82193417">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73276118">
      <w:bodyDiv w:val="1"/>
      <w:marLeft w:val="0"/>
      <w:marRight w:val="0"/>
      <w:marTop w:val="0"/>
      <w:marBottom w:val="0"/>
      <w:divBdr>
        <w:top w:val="none" w:sz="0" w:space="0" w:color="auto"/>
        <w:left w:val="none" w:sz="0" w:space="0" w:color="auto"/>
        <w:bottom w:val="none" w:sz="0" w:space="0" w:color="auto"/>
        <w:right w:val="none" w:sz="0" w:space="0" w:color="auto"/>
      </w:divBdr>
      <w:divsChild>
        <w:div w:id="338118692">
          <w:marLeft w:val="1080"/>
          <w:marRight w:val="0"/>
          <w:marTop w:val="100"/>
          <w:marBottom w:val="0"/>
          <w:divBdr>
            <w:top w:val="none" w:sz="0" w:space="0" w:color="auto"/>
            <w:left w:val="none" w:sz="0" w:space="0" w:color="auto"/>
            <w:bottom w:val="none" w:sz="0" w:space="0" w:color="auto"/>
            <w:right w:val="none" w:sz="0" w:space="0" w:color="auto"/>
          </w:divBdr>
        </w:div>
        <w:div w:id="2045518055">
          <w:marLeft w:val="1800"/>
          <w:marRight w:val="0"/>
          <w:marTop w:val="100"/>
          <w:marBottom w:val="0"/>
          <w:divBdr>
            <w:top w:val="none" w:sz="0" w:space="0" w:color="auto"/>
            <w:left w:val="none" w:sz="0" w:space="0" w:color="auto"/>
            <w:bottom w:val="none" w:sz="0" w:space="0" w:color="auto"/>
            <w:right w:val="none" w:sz="0" w:space="0" w:color="auto"/>
          </w:divBdr>
        </w:div>
        <w:div w:id="488448815">
          <w:marLeft w:val="1080"/>
          <w:marRight w:val="0"/>
          <w:marTop w:val="100"/>
          <w:marBottom w:val="0"/>
          <w:divBdr>
            <w:top w:val="none" w:sz="0" w:space="0" w:color="auto"/>
            <w:left w:val="none" w:sz="0" w:space="0" w:color="auto"/>
            <w:bottom w:val="none" w:sz="0" w:space="0" w:color="auto"/>
            <w:right w:val="none" w:sz="0" w:space="0" w:color="auto"/>
          </w:divBdr>
        </w:div>
        <w:div w:id="59595241">
          <w:marLeft w:val="1800"/>
          <w:marRight w:val="0"/>
          <w:marTop w:val="100"/>
          <w:marBottom w:val="0"/>
          <w:divBdr>
            <w:top w:val="none" w:sz="0" w:space="0" w:color="auto"/>
            <w:left w:val="none" w:sz="0" w:space="0" w:color="auto"/>
            <w:bottom w:val="none" w:sz="0" w:space="0" w:color="auto"/>
            <w:right w:val="none" w:sz="0" w:space="0" w:color="auto"/>
          </w:divBdr>
        </w:div>
      </w:divsChild>
    </w:div>
    <w:div w:id="1577744003">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39872485">
      <w:bodyDiv w:val="1"/>
      <w:marLeft w:val="0"/>
      <w:marRight w:val="0"/>
      <w:marTop w:val="0"/>
      <w:marBottom w:val="0"/>
      <w:divBdr>
        <w:top w:val="none" w:sz="0" w:space="0" w:color="auto"/>
        <w:left w:val="none" w:sz="0" w:space="0" w:color="auto"/>
        <w:bottom w:val="none" w:sz="0" w:space="0" w:color="auto"/>
        <w:right w:val="none" w:sz="0" w:space="0" w:color="auto"/>
      </w:divBdr>
      <w:divsChild>
        <w:div w:id="833225081">
          <w:marLeft w:val="360"/>
          <w:marRight w:val="0"/>
          <w:marTop w:val="200"/>
          <w:marBottom w:val="0"/>
          <w:divBdr>
            <w:top w:val="none" w:sz="0" w:space="0" w:color="auto"/>
            <w:left w:val="none" w:sz="0" w:space="0" w:color="auto"/>
            <w:bottom w:val="none" w:sz="0" w:space="0" w:color="auto"/>
            <w:right w:val="none" w:sz="0" w:space="0" w:color="auto"/>
          </w:divBdr>
        </w:div>
        <w:div w:id="235551494">
          <w:marLeft w:val="360"/>
          <w:marRight w:val="0"/>
          <w:marTop w:val="200"/>
          <w:marBottom w:val="0"/>
          <w:divBdr>
            <w:top w:val="none" w:sz="0" w:space="0" w:color="auto"/>
            <w:left w:val="none" w:sz="0" w:space="0" w:color="auto"/>
            <w:bottom w:val="none" w:sz="0" w:space="0" w:color="auto"/>
            <w:right w:val="none" w:sz="0" w:space="0" w:color="auto"/>
          </w:divBdr>
        </w:div>
        <w:div w:id="393742862">
          <w:marLeft w:val="1080"/>
          <w:marRight w:val="0"/>
          <w:marTop w:val="100"/>
          <w:marBottom w:val="0"/>
          <w:divBdr>
            <w:top w:val="none" w:sz="0" w:space="0" w:color="auto"/>
            <w:left w:val="none" w:sz="0" w:space="0" w:color="auto"/>
            <w:bottom w:val="none" w:sz="0" w:space="0" w:color="auto"/>
            <w:right w:val="none" w:sz="0" w:space="0" w:color="auto"/>
          </w:divBdr>
        </w:div>
        <w:div w:id="1978758150">
          <w:marLeft w:val="1080"/>
          <w:marRight w:val="0"/>
          <w:marTop w:val="100"/>
          <w:marBottom w:val="0"/>
          <w:divBdr>
            <w:top w:val="none" w:sz="0" w:space="0" w:color="auto"/>
            <w:left w:val="none" w:sz="0" w:space="0" w:color="auto"/>
            <w:bottom w:val="none" w:sz="0" w:space="0" w:color="auto"/>
            <w:right w:val="none" w:sz="0" w:space="0" w:color="auto"/>
          </w:divBdr>
        </w:div>
        <w:div w:id="1147625441">
          <w:marLeft w:val="1080"/>
          <w:marRight w:val="0"/>
          <w:marTop w:val="100"/>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1411683">
      <w:bodyDiv w:val="1"/>
      <w:marLeft w:val="0"/>
      <w:marRight w:val="0"/>
      <w:marTop w:val="0"/>
      <w:marBottom w:val="0"/>
      <w:divBdr>
        <w:top w:val="none" w:sz="0" w:space="0" w:color="auto"/>
        <w:left w:val="none" w:sz="0" w:space="0" w:color="auto"/>
        <w:bottom w:val="none" w:sz="0" w:space="0" w:color="auto"/>
        <w:right w:val="none" w:sz="0" w:space="0" w:color="auto"/>
      </w:divBdr>
      <w:divsChild>
        <w:div w:id="344599154">
          <w:marLeft w:val="547"/>
          <w:marRight w:val="0"/>
          <w:marTop w:val="0"/>
          <w:marBottom w:val="0"/>
          <w:divBdr>
            <w:top w:val="none" w:sz="0" w:space="0" w:color="auto"/>
            <w:left w:val="none" w:sz="0" w:space="0" w:color="auto"/>
            <w:bottom w:val="none" w:sz="0" w:space="0" w:color="auto"/>
            <w:right w:val="none" w:sz="0" w:space="0" w:color="auto"/>
          </w:divBdr>
        </w:div>
        <w:div w:id="40711799">
          <w:marLeft w:val="1166"/>
          <w:marRight w:val="0"/>
          <w:marTop w:val="0"/>
          <w:marBottom w:val="0"/>
          <w:divBdr>
            <w:top w:val="none" w:sz="0" w:space="0" w:color="auto"/>
            <w:left w:val="none" w:sz="0" w:space="0" w:color="auto"/>
            <w:bottom w:val="none" w:sz="0" w:space="0" w:color="auto"/>
            <w:right w:val="none" w:sz="0" w:space="0" w:color="auto"/>
          </w:divBdr>
        </w:div>
        <w:div w:id="1841575880">
          <w:marLeft w:val="1166"/>
          <w:marRight w:val="0"/>
          <w:marTop w:val="0"/>
          <w:marBottom w:val="0"/>
          <w:divBdr>
            <w:top w:val="none" w:sz="0" w:space="0" w:color="auto"/>
            <w:left w:val="none" w:sz="0" w:space="0" w:color="auto"/>
            <w:bottom w:val="none" w:sz="0" w:space="0" w:color="auto"/>
            <w:right w:val="none" w:sz="0" w:space="0" w:color="auto"/>
          </w:divBdr>
        </w:div>
        <w:div w:id="1567178505">
          <w:marLeft w:val="1166"/>
          <w:marRight w:val="0"/>
          <w:marTop w:val="0"/>
          <w:marBottom w:val="0"/>
          <w:divBdr>
            <w:top w:val="none" w:sz="0" w:space="0" w:color="auto"/>
            <w:left w:val="none" w:sz="0" w:space="0" w:color="auto"/>
            <w:bottom w:val="none" w:sz="0" w:space="0" w:color="auto"/>
            <w:right w:val="none" w:sz="0" w:space="0" w:color="auto"/>
          </w:divBdr>
        </w:div>
        <w:div w:id="1603300355">
          <w:marLeft w:val="1166"/>
          <w:marRight w:val="0"/>
          <w:marTop w:val="0"/>
          <w:marBottom w:val="0"/>
          <w:divBdr>
            <w:top w:val="none" w:sz="0" w:space="0" w:color="auto"/>
            <w:left w:val="none" w:sz="0" w:space="0" w:color="auto"/>
            <w:bottom w:val="none" w:sz="0" w:space="0" w:color="auto"/>
            <w:right w:val="none" w:sz="0" w:space="0" w:color="auto"/>
          </w:divBdr>
        </w:div>
        <w:div w:id="242186975">
          <w:marLeft w:val="547"/>
          <w:marRight w:val="0"/>
          <w:marTop w:val="0"/>
          <w:marBottom w:val="0"/>
          <w:divBdr>
            <w:top w:val="none" w:sz="0" w:space="0" w:color="auto"/>
            <w:left w:val="none" w:sz="0" w:space="0" w:color="auto"/>
            <w:bottom w:val="none" w:sz="0" w:space="0" w:color="auto"/>
            <w:right w:val="none" w:sz="0" w:space="0" w:color="auto"/>
          </w:divBdr>
        </w:div>
        <w:div w:id="1400709792">
          <w:marLeft w:val="1166"/>
          <w:marRight w:val="0"/>
          <w:marTop w:val="0"/>
          <w:marBottom w:val="0"/>
          <w:divBdr>
            <w:top w:val="none" w:sz="0" w:space="0" w:color="auto"/>
            <w:left w:val="none" w:sz="0" w:space="0" w:color="auto"/>
            <w:bottom w:val="none" w:sz="0" w:space="0" w:color="auto"/>
            <w:right w:val="none" w:sz="0" w:space="0" w:color="auto"/>
          </w:divBdr>
        </w:div>
        <w:div w:id="670255036">
          <w:marLeft w:val="1166"/>
          <w:marRight w:val="0"/>
          <w:marTop w:val="0"/>
          <w:marBottom w:val="0"/>
          <w:divBdr>
            <w:top w:val="none" w:sz="0" w:space="0" w:color="auto"/>
            <w:left w:val="none" w:sz="0" w:space="0" w:color="auto"/>
            <w:bottom w:val="none" w:sz="0" w:space="0" w:color="auto"/>
            <w:right w:val="none" w:sz="0" w:space="0" w:color="auto"/>
          </w:divBdr>
        </w:div>
        <w:div w:id="765350820">
          <w:marLeft w:val="1166"/>
          <w:marRight w:val="0"/>
          <w:marTop w:val="0"/>
          <w:marBottom w:val="0"/>
          <w:divBdr>
            <w:top w:val="none" w:sz="0" w:space="0" w:color="auto"/>
            <w:left w:val="none" w:sz="0" w:space="0" w:color="auto"/>
            <w:bottom w:val="none" w:sz="0" w:space="0" w:color="auto"/>
            <w:right w:val="none" w:sz="0" w:space="0" w:color="auto"/>
          </w:divBdr>
        </w:div>
        <w:div w:id="139736579">
          <w:marLeft w:val="1166"/>
          <w:marRight w:val="0"/>
          <w:marTop w:val="0"/>
          <w:marBottom w:val="0"/>
          <w:divBdr>
            <w:top w:val="none" w:sz="0" w:space="0" w:color="auto"/>
            <w:left w:val="none" w:sz="0" w:space="0" w:color="auto"/>
            <w:bottom w:val="none" w:sz="0" w:space="0" w:color="auto"/>
            <w:right w:val="none" w:sz="0" w:space="0" w:color="auto"/>
          </w:divBdr>
        </w:div>
        <w:div w:id="846557785">
          <w:marLeft w:val="547"/>
          <w:marRight w:val="0"/>
          <w:marTop w:val="0"/>
          <w:marBottom w:val="0"/>
          <w:divBdr>
            <w:top w:val="none" w:sz="0" w:space="0" w:color="auto"/>
            <w:left w:val="none" w:sz="0" w:space="0" w:color="auto"/>
            <w:bottom w:val="none" w:sz="0" w:space="0" w:color="auto"/>
            <w:right w:val="none" w:sz="0" w:space="0" w:color="auto"/>
          </w:divBdr>
        </w:div>
        <w:div w:id="1505898378">
          <w:marLeft w:val="547"/>
          <w:marRight w:val="0"/>
          <w:marTop w:val="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0318340">
      <w:bodyDiv w:val="1"/>
      <w:marLeft w:val="0"/>
      <w:marRight w:val="0"/>
      <w:marTop w:val="0"/>
      <w:marBottom w:val="0"/>
      <w:divBdr>
        <w:top w:val="none" w:sz="0" w:space="0" w:color="auto"/>
        <w:left w:val="none" w:sz="0" w:space="0" w:color="auto"/>
        <w:bottom w:val="none" w:sz="0" w:space="0" w:color="auto"/>
        <w:right w:val="none" w:sz="0" w:space="0" w:color="auto"/>
      </w:divBdr>
      <w:divsChild>
        <w:div w:id="1567841238">
          <w:marLeft w:val="360"/>
          <w:marRight w:val="0"/>
          <w:marTop w:val="200"/>
          <w:marBottom w:val="0"/>
          <w:divBdr>
            <w:top w:val="none" w:sz="0" w:space="0" w:color="auto"/>
            <w:left w:val="none" w:sz="0" w:space="0" w:color="auto"/>
            <w:bottom w:val="none" w:sz="0" w:space="0" w:color="auto"/>
            <w:right w:val="none" w:sz="0" w:space="0" w:color="auto"/>
          </w:divBdr>
        </w:div>
        <w:div w:id="1774472504">
          <w:marLeft w:val="360"/>
          <w:marRight w:val="0"/>
          <w:marTop w:val="200"/>
          <w:marBottom w:val="0"/>
          <w:divBdr>
            <w:top w:val="none" w:sz="0" w:space="0" w:color="auto"/>
            <w:left w:val="none" w:sz="0" w:space="0" w:color="auto"/>
            <w:bottom w:val="none" w:sz="0" w:space="0" w:color="auto"/>
            <w:right w:val="none" w:sz="0" w:space="0" w:color="auto"/>
          </w:divBdr>
        </w:div>
        <w:div w:id="1452095516">
          <w:marLeft w:val="1080"/>
          <w:marRight w:val="0"/>
          <w:marTop w:val="100"/>
          <w:marBottom w:val="0"/>
          <w:divBdr>
            <w:top w:val="none" w:sz="0" w:space="0" w:color="auto"/>
            <w:left w:val="none" w:sz="0" w:space="0" w:color="auto"/>
            <w:bottom w:val="none" w:sz="0" w:space="0" w:color="auto"/>
            <w:right w:val="none" w:sz="0" w:space="0" w:color="auto"/>
          </w:divBdr>
        </w:div>
        <w:div w:id="7409937">
          <w:marLeft w:val="1080"/>
          <w:marRight w:val="0"/>
          <w:marTop w:val="100"/>
          <w:marBottom w:val="0"/>
          <w:divBdr>
            <w:top w:val="none" w:sz="0" w:space="0" w:color="auto"/>
            <w:left w:val="none" w:sz="0" w:space="0" w:color="auto"/>
            <w:bottom w:val="none" w:sz="0" w:space="0" w:color="auto"/>
            <w:right w:val="none" w:sz="0" w:space="0" w:color="auto"/>
          </w:divBdr>
        </w:div>
        <w:div w:id="2101948349">
          <w:marLeft w:val="1080"/>
          <w:marRight w:val="0"/>
          <w:marTop w:val="100"/>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C9A466B0-6917-4C5B-9D63-C40F223F8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40089</TotalTime>
  <Pages>1</Pages>
  <Words>2091</Words>
  <Characters>11922</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13986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113</cp:revision>
  <cp:lastPrinted>2009-04-22T06:01:00Z</cp:lastPrinted>
  <dcterms:created xsi:type="dcterms:W3CDTF">2020-07-07T06:33:00Z</dcterms:created>
  <dcterms:modified xsi:type="dcterms:W3CDTF">2021-10-22T18:08:00Z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(3)pB398v2/QlcuFZ1AXucvuZQtyQvTz8sbqc/GNdUAoo3j19+akKqeh6tGyJ9Jq+hnFHwueiy2
3wLVOF8ZyZx0PSWlvi2kJGN4wqT9esZtC8y7F0/SBnfJQ2kCP6F1a/k15VJ52pU2AMe5IhYr
6X130mgK85V5tkGt9lCHsxNHcA1yiLQqnwdornExV/2ILn2x53ykZyr6TZgLSgNamY4KEW9p
hCzEONGSip2+FqAeaY</vt:lpwstr>
  </property>
  <property fmtid="{D5CDD505-2E9C-101B-9397-08002B2CF9AE}" pid="17" name="_2015_ms_pID_725343_00">
    <vt:lpwstr>_2015_ms_pID_725343</vt:lpwstr>
  </property>
  <property fmtid="{D5CDD505-2E9C-101B-9397-08002B2CF9AE}" pid="18" name="_2015_ms_pID_7253431">
    <vt:lpwstr>2YnNuEteFJ9TSbi2fxIzML2GYrGYdpPP244vjgxr3xKrjBwCkaNUWX
chehgEce84zjYpNlZvAPhTcEMRqujGBUtBzYdd1BtFgb1/eroa/f63OOfJJllM09Zu/F4Wa8
tgTc8G7+aj7ZlCemoD5aX1mm4vKbxDHPjvqdyNGS/glHdvX8HmV78XK1SG6LxWfMvNotaQpl
Qj+n9Tean44iwnLAv2kegQXxIpgT/oRECDxk</vt:lpwstr>
  </property>
  <property fmtid="{D5CDD505-2E9C-101B-9397-08002B2CF9AE}" pid="19" name="_2015_ms_pID_7253431_00">
    <vt:lpwstr>_2015_ms_pID_7253431</vt:lpwstr>
  </property>
  <property fmtid="{D5CDD505-2E9C-101B-9397-08002B2CF9AE}" pid="20" name="_2015_ms_pID_7253432">
    <vt:lpwstr>/HETwhSHlh5rfbSvdEqeAa2U9vBiTgOhm+IE
7doVjJzcEjFG9W6qc+k6d1bHD7rdrMeOd+TapueWPKmjF1AW8lQ=</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