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D270F5" w:rsidRPr="00D270F5">
        <w:rPr>
          <w:rFonts w:ascii="Arial" w:hAnsi="Arial" w:cs="Arial"/>
          <w:b/>
          <w:sz w:val="24"/>
          <w:lang w:val="en-US" w:eastAsia="zh-CN"/>
        </w:rPr>
        <w:t>R4-2119363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F09B2" w:rsidRPr="002F09B2">
        <w:rPr>
          <w:rFonts w:ascii="Arial" w:eastAsia="宋体" w:hAnsi="Arial"/>
          <w:b/>
          <w:sz w:val="24"/>
          <w:lang w:val="en-US" w:eastAsia="zh-CN"/>
        </w:rPr>
        <w:t>Discussion on RRM impacts of PUCCH carrier switching</w:t>
      </w:r>
      <w:r w:rsidR="00C22611" w:rsidRPr="00C22611">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212F5">
        <w:rPr>
          <w:rFonts w:ascii="Arial" w:eastAsia="宋体" w:hAnsi="Arial"/>
          <w:b/>
          <w:sz w:val="24"/>
          <w:lang w:val="en-US" w:eastAsia="zh-CN"/>
        </w:rPr>
        <w:t>8.23.2.</w:t>
      </w:r>
      <w:r w:rsidR="002F09B2">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F09B2">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212F5" w:rsidRDefault="00F212F5" w:rsidP="002F09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Rel-17 </w:t>
      </w:r>
      <w:r w:rsidRPr="00E8005A">
        <w:rPr>
          <w:rFonts w:eastAsia="宋体"/>
          <w:lang w:eastAsia="zh-CN"/>
        </w:rPr>
        <w:t xml:space="preserve">URLLC/IIOT </w:t>
      </w:r>
      <w:r>
        <w:rPr>
          <w:rFonts w:eastAsia="宋体"/>
          <w:lang w:eastAsia="zh-CN"/>
        </w:rPr>
        <w:t xml:space="preserve">were discussed in RAN4#100-e, and the outcomes are captured in the WF [1]. </w:t>
      </w:r>
      <w:r w:rsidR="002F09B2">
        <w:rPr>
          <w:rFonts w:eastAsia="宋体"/>
          <w:lang w:eastAsia="zh-CN"/>
        </w:rPr>
        <w:t>O</w:t>
      </w:r>
      <w:r>
        <w:rPr>
          <w:rFonts w:eastAsia="宋体"/>
          <w:lang w:eastAsia="zh-CN"/>
        </w:rPr>
        <w:t xml:space="preserve">ne topic that was discussed </w:t>
      </w:r>
      <w:r w:rsidR="002F09B2">
        <w:rPr>
          <w:rFonts w:eastAsia="宋体"/>
          <w:lang w:eastAsia="zh-CN"/>
        </w:rPr>
        <w:t>is the need for RRM requirements for PUCCH carrier switch</w:t>
      </w:r>
      <w:r>
        <w:rPr>
          <w:rFonts w:eastAsia="宋体"/>
          <w:lang w:eastAsia="zh-CN"/>
        </w:rPr>
        <w:t xml:space="preserve">. </w:t>
      </w:r>
    </w:p>
    <w:tbl>
      <w:tblPr>
        <w:tblStyle w:val="af4"/>
        <w:tblW w:w="0" w:type="auto"/>
        <w:tblLook w:val="04A0" w:firstRow="1" w:lastRow="0" w:firstColumn="1" w:lastColumn="0" w:noHBand="0" w:noVBand="1"/>
      </w:tblPr>
      <w:tblGrid>
        <w:gridCol w:w="9621"/>
      </w:tblGrid>
      <w:tr w:rsidR="002F09B2" w:rsidTr="002F09B2">
        <w:tc>
          <w:tcPr>
            <w:tcW w:w="9621" w:type="dxa"/>
          </w:tcPr>
          <w:p w:rsidR="002F09B2" w:rsidRPr="002F09B2" w:rsidRDefault="002F09B2" w:rsidP="002F09B2">
            <w:pPr>
              <w:spacing w:beforeLines="0" w:before="0" w:afterLines="0" w:after="180"/>
              <w:rPr>
                <w:rFonts w:eastAsia="等线"/>
                <w:iCs/>
                <w:sz w:val="20"/>
                <w:lang w:val="en-US" w:eastAsia="zh-CN"/>
              </w:rPr>
            </w:pPr>
            <w:r w:rsidRPr="002F09B2">
              <w:rPr>
                <w:rFonts w:eastAsia="等线"/>
                <w:iCs/>
                <w:sz w:val="20"/>
                <w:lang w:val="en-US" w:eastAsia="zh-CN"/>
              </w:rPr>
              <w:t>A</w:t>
            </w:r>
            <w:r w:rsidRPr="002F09B2">
              <w:rPr>
                <w:rFonts w:eastAsia="等线" w:hint="eastAsia"/>
                <w:iCs/>
                <w:sz w:val="20"/>
                <w:lang w:val="en-US" w:eastAsia="zh-CN"/>
              </w:rPr>
              <w:t>greements:</w:t>
            </w:r>
          </w:p>
          <w:p w:rsidR="002F09B2" w:rsidRPr="002F09B2" w:rsidRDefault="002F09B2" w:rsidP="002F09B2">
            <w:pPr>
              <w:numPr>
                <w:ilvl w:val="0"/>
                <w:numId w:val="39"/>
              </w:numPr>
              <w:overflowPunct w:val="0"/>
              <w:autoSpaceDE w:val="0"/>
              <w:autoSpaceDN w:val="0"/>
              <w:adjustRightInd w:val="0"/>
              <w:spacing w:beforeLines="0" w:before="0" w:afterLines="0" w:after="180"/>
              <w:textAlignment w:val="baseline"/>
              <w:rPr>
                <w:rFonts w:eastAsia="等线"/>
                <w:iCs/>
                <w:sz w:val="20"/>
                <w:lang w:val="en-US" w:eastAsia="zh-CN"/>
              </w:rPr>
            </w:pPr>
            <w:r w:rsidRPr="002F09B2">
              <w:rPr>
                <w:rFonts w:eastAsia="等线"/>
                <w:iCs/>
                <w:sz w:val="20"/>
                <w:highlight w:val="green"/>
                <w:lang w:val="en-US" w:eastAsia="zh-CN"/>
              </w:rPr>
              <w:t>Continue the study for next meeting and continue the discussion in RAN4#101 meeting.</w:t>
            </w:r>
          </w:p>
          <w:p w:rsidR="002F09B2" w:rsidRPr="002F09B2" w:rsidRDefault="002F09B2" w:rsidP="002F09B2">
            <w:pPr>
              <w:spacing w:beforeLines="0" w:before="0" w:afterLines="0" w:after="180"/>
              <w:rPr>
                <w:rFonts w:eastAsia="等线"/>
                <w:iCs/>
                <w:sz w:val="20"/>
                <w:lang w:val="en-US" w:eastAsia="zh-CN"/>
              </w:rPr>
            </w:pPr>
            <w:r w:rsidRPr="002F09B2">
              <w:rPr>
                <w:rFonts w:eastAsia="等线"/>
                <w:iCs/>
                <w:sz w:val="20"/>
                <w:lang w:val="en-US" w:eastAsia="zh-CN"/>
              </w:rPr>
              <w:t>WF:</w:t>
            </w:r>
          </w:p>
          <w:p w:rsidR="002F09B2" w:rsidRPr="002F09B2" w:rsidRDefault="002F09B2" w:rsidP="002F09B2">
            <w:pPr>
              <w:spacing w:beforeLines="0" w:before="0" w:afterLines="0" w:after="180"/>
              <w:rPr>
                <w:rFonts w:eastAsia="等线"/>
                <w:iCs/>
                <w:sz w:val="20"/>
                <w:lang w:val="en-US" w:eastAsia="zh-CN"/>
              </w:rPr>
            </w:pPr>
            <w:r w:rsidRPr="002F09B2">
              <w:rPr>
                <w:rFonts w:eastAsia="等线"/>
                <w:iCs/>
                <w:sz w:val="20"/>
                <w:lang w:val="en-US" w:eastAsia="zh-CN"/>
              </w:rPr>
              <w:t>To be studied for next meeting regarding RRM Requirements concerning PUCCH carrier switching:</w:t>
            </w:r>
          </w:p>
          <w:p w:rsidR="002F09B2" w:rsidRPr="002F09B2" w:rsidRDefault="002F09B2" w:rsidP="002F09B2">
            <w:pPr>
              <w:numPr>
                <w:ilvl w:val="0"/>
                <w:numId w:val="39"/>
              </w:numPr>
              <w:overflowPunct w:val="0"/>
              <w:autoSpaceDE w:val="0"/>
              <w:autoSpaceDN w:val="0"/>
              <w:adjustRightInd w:val="0"/>
              <w:spacing w:beforeLines="0" w:before="0" w:afterLines="0" w:after="180"/>
              <w:textAlignment w:val="baseline"/>
              <w:rPr>
                <w:sz w:val="20"/>
              </w:rPr>
            </w:pPr>
            <w:r w:rsidRPr="002F09B2">
              <w:rPr>
                <w:iCs/>
                <w:sz w:val="20"/>
                <w:szCs w:val="24"/>
                <w:lang w:eastAsia="zh-CN"/>
              </w:rPr>
              <w:t>Any need for new RRM requirements due to introduction of</w:t>
            </w:r>
            <w:r w:rsidRPr="002F09B2">
              <w:rPr>
                <w:rFonts w:eastAsia="等线"/>
                <w:iCs/>
                <w:sz w:val="20"/>
                <w:lang w:val="en-US" w:eastAsia="zh-CN"/>
              </w:rPr>
              <w:t xml:space="preserve"> PUCCH carrier switching</w:t>
            </w:r>
            <w:r w:rsidRPr="002F09B2">
              <w:rPr>
                <w:iCs/>
                <w:sz w:val="20"/>
                <w:szCs w:val="24"/>
                <w:lang w:eastAsia="zh-CN"/>
              </w:rPr>
              <w:t>.</w:t>
            </w:r>
          </w:p>
          <w:p w:rsidR="002F09B2" w:rsidRPr="002F09B2" w:rsidRDefault="002F09B2" w:rsidP="002F09B2">
            <w:pPr>
              <w:spacing w:beforeLines="0" w:before="0" w:afterLines="0" w:after="180"/>
              <w:rPr>
                <w:rFonts w:eastAsia="等线"/>
                <w:iCs/>
                <w:sz w:val="20"/>
                <w:lang w:val="en-US" w:eastAsia="zh-CN"/>
              </w:rPr>
            </w:pPr>
            <w:r w:rsidRPr="002F09B2">
              <w:rPr>
                <w:rFonts w:eastAsia="等线"/>
                <w:iCs/>
                <w:sz w:val="20"/>
                <w:lang w:val="en-US" w:eastAsia="zh-CN"/>
              </w:rPr>
              <w:t>A</w:t>
            </w:r>
            <w:r w:rsidRPr="002F09B2">
              <w:rPr>
                <w:rFonts w:eastAsia="等线" w:hint="eastAsia"/>
                <w:iCs/>
                <w:sz w:val="20"/>
                <w:lang w:val="en-US" w:eastAsia="zh-CN"/>
              </w:rPr>
              <w:t>greements:</w:t>
            </w:r>
          </w:p>
          <w:p w:rsidR="002F09B2" w:rsidRPr="002F09B2" w:rsidRDefault="002F09B2" w:rsidP="002F09B2">
            <w:pPr>
              <w:numPr>
                <w:ilvl w:val="0"/>
                <w:numId w:val="39"/>
              </w:numPr>
              <w:overflowPunct w:val="0"/>
              <w:autoSpaceDE w:val="0"/>
              <w:autoSpaceDN w:val="0"/>
              <w:adjustRightInd w:val="0"/>
              <w:spacing w:beforeLines="0" w:before="0" w:afterLines="0" w:after="180"/>
              <w:textAlignment w:val="baseline"/>
              <w:rPr>
                <w:iCs/>
                <w:sz w:val="20"/>
                <w:szCs w:val="24"/>
                <w:lang w:val="en-US" w:eastAsia="zh-CN"/>
              </w:rPr>
            </w:pPr>
            <w:r w:rsidRPr="002F09B2">
              <w:rPr>
                <w:sz w:val="20"/>
                <w:szCs w:val="24"/>
                <w:highlight w:val="green"/>
                <w:lang w:eastAsia="zh-CN"/>
              </w:rPr>
              <w:t xml:space="preserve">RAN4 can further discuss </w:t>
            </w:r>
            <w:r w:rsidRPr="002F09B2">
              <w:rPr>
                <w:iCs/>
                <w:sz w:val="20"/>
                <w:szCs w:val="24"/>
                <w:highlight w:val="green"/>
                <w:lang w:val="en-US" w:eastAsia="zh-CN"/>
              </w:rPr>
              <w:t>introduction of new test case(s) once the need for new RRM requirements have been concluded.</w:t>
            </w:r>
          </w:p>
        </w:tc>
      </w:tr>
    </w:tbl>
    <w:p w:rsidR="00410E84" w:rsidRPr="00410E84" w:rsidRDefault="00F212F5" w:rsidP="00F212F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F09B2">
        <w:rPr>
          <w:rFonts w:eastAsia="宋体"/>
          <w:lang w:eastAsia="zh-CN"/>
        </w:rPr>
        <w:t xml:space="preserve">RRM impacts due to </w:t>
      </w:r>
      <w:r w:rsidR="002F09B2" w:rsidRPr="00576FBF">
        <w:rPr>
          <w:rFonts w:eastAsia="宋体"/>
          <w:lang w:eastAsia="zh-CN"/>
        </w:rPr>
        <w:t>PUCCH carrier switching</w:t>
      </w:r>
      <w:r>
        <w:rPr>
          <w:rFonts w:eastAsia="宋体"/>
          <w:lang w:eastAsia="zh-CN"/>
        </w:rPr>
        <w:t>.</w:t>
      </w:r>
    </w:p>
    <w:p w:rsidR="00754DE9" w:rsidRDefault="00B06084" w:rsidP="00754DE9">
      <w:pPr>
        <w:pStyle w:val="1"/>
        <w:jc w:val="both"/>
        <w:rPr>
          <w:lang w:val="en-US"/>
        </w:rPr>
      </w:pPr>
      <w:r>
        <w:rPr>
          <w:lang w:val="en-US"/>
        </w:rPr>
        <w:t>Discussion</w:t>
      </w:r>
    </w:p>
    <w:p w:rsidR="002F09B2" w:rsidRDefault="002F09B2" w:rsidP="002F09B2">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AN1#105-e has agreed to introduce PUCCH carrier switching as a </w:t>
      </w:r>
      <w:r w:rsidRPr="008C521B">
        <w:rPr>
          <w:rFonts w:eastAsiaTheme="minorEastAsia"/>
          <w:lang w:eastAsia="zh-CN"/>
        </w:rPr>
        <w:t>UE feedback enhancements for HARQ-ACK</w:t>
      </w:r>
      <w:r>
        <w:rPr>
          <w:rFonts w:eastAsiaTheme="minorEastAsia"/>
          <w:lang w:eastAsia="zh-CN"/>
        </w:rPr>
        <w:t xml:space="preserve"> for URLLC/IIOT.</w:t>
      </w:r>
    </w:p>
    <w:tbl>
      <w:tblPr>
        <w:tblStyle w:val="af4"/>
        <w:tblW w:w="0" w:type="auto"/>
        <w:tblLook w:val="04A0" w:firstRow="1" w:lastRow="0" w:firstColumn="1" w:lastColumn="0" w:noHBand="0" w:noVBand="1"/>
      </w:tblPr>
      <w:tblGrid>
        <w:gridCol w:w="9621"/>
      </w:tblGrid>
      <w:tr w:rsidR="002F09B2" w:rsidTr="005F05C4">
        <w:tc>
          <w:tcPr>
            <w:tcW w:w="9621" w:type="dxa"/>
          </w:tcPr>
          <w:p w:rsidR="002F09B2" w:rsidRPr="003C3C02" w:rsidRDefault="002F09B2" w:rsidP="005F05C4">
            <w:pPr>
              <w:spacing w:before="120" w:after="120"/>
              <w:rPr>
                <w:sz w:val="21"/>
                <w:szCs w:val="21"/>
                <w:lang w:eastAsia="zh-CN"/>
              </w:rPr>
            </w:pPr>
            <w:r w:rsidRPr="003C3C02">
              <w:rPr>
                <w:sz w:val="21"/>
                <w:szCs w:val="21"/>
                <w:highlight w:val="green"/>
                <w:lang w:eastAsia="zh-CN"/>
              </w:rPr>
              <w:t>Agreement</w:t>
            </w:r>
            <w:r w:rsidRPr="003C3C02">
              <w:rPr>
                <w:sz w:val="21"/>
                <w:szCs w:val="21"/>
                <w:lang w:eastAsia="zh-CN"/>
              </w:rPr>
              <w:t xml:space="preserve">: Support PUCCH carrier switching based on dynamic indication in DCI scheduling a PUCCH and semi-static configuration </w:t>
            </w:r>
          </w:p>
          <w:p w:rsidR="002F09B2" w:rsidRPr="003C3C02" w:rsidRDefault="002F09B2" w:rsidP="002F09B2">
            <w:pPr>
              <w:pStyle w:val="listparagraph"/>
              <w:numPr>
                <w:ilvl w:val="0"/>
                <w:numId w:val="41"/>
              </w:numPr>
              <w:spacing w:before="120" w:beforeAutospacing="0" w:after="12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Details are FFS (including applicability of dynamic and/or semi-static means)</w:t>
            </w:r>
          </w:p>
          <w:p w:rsidR="002F09B2" w:rsidRPr="003C3C02" w:rsidRDefault="002F09B2" w:rsidP="002F09B2">
            <w:pPr>
              <w:pStyle w:val="listparagraph"/>
              <w:numPr>
                <w:ilvl w:val="0"/>
                <w:numId w:val="41"/>
              </w:numPr>
              <w:spacing w:before="120" w:beforeAutospacing="0" w:after="12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 xml:space="preserve">Aim for minimum specification impact </w:t>
            </w:r>
          </w:p>
          <w:p w:rsidR="002F09B2" w:rsidRPr="003C3C02" w:rsidRDefault="002F09B2" w:rsidP="002F09B2">
            <w:pPr>
              <w:pStyle w:val="listparagraph"/>
              <w:numPr>
                <w:ilvl w:val="0"/>
                <w:numId w:val="41"/>
              </w:numPr>
              <w:spacing w:before="120" w:beforeAutospacing="0" w:after="12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Dynamic indication and/or semi-static configuration are subject to separate UE capabilities</w:t>
            </w:r>
          </w:p>
          <w:p w:rsidR="002F09B2" w:rsidRPr="003C3C02" w:rsidRDefault="002F09B2" w:rsidP="002F09B2">
            <w:pPr>
              <w:pStyle w:val="listparagraph"/>
              <w:numPr>
                <w:ilvl w:val="0"/>
                <w:numId w:val="41"/>
              </w:numPr>
              <w:spacing w:before="120" w:beforeAutospacing="0" w:after="12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The semi-static PUCCH carrier switching configuration operation is based on RRC configured PUCCH cell timing pattern of applicable PUCCH cells and supports PUCCH carrier switching across cells with different numerologies.</w:t>
            </w:r>
          </w:p>
          <w:p w:rsidR="002F09B2" w:rsidRPr="003C3C02" w:rsidRDefault="002F09B2" w:rsidP="002F09B2">
            <w:pPr>
              <w:pStyle w:val="af8"/>
              <w:numPr>
                <w:ilvl w:val="1"/>
                <w:numId w:val="42"/>
              </w:numPr>
              <w:spacing w:beforeLines="0" w:before="120" w:afterLines="0" w:after="120"/>
              <w:contextualSpacing/>
              <w:rPr>
                <w:sz w:val="21"/>
                <w:szCs w:val="21"/>
              </w:rPr>
            </w:pPr>
            <w:r w:rsidRPr="003C3C02">
              <w:rPr>
                <w:sz w:val="21"/>
                <w:szCs w:val="21"/>
              </w:rPr>
              <w:t>FFS whether additional rules are needed to support PUCCH carrier switching across cells with different numerologies</w:t>
            </w:r>
          </w:p>
          <w:p w:rsidR="002F09B2" w:rsidRPr="003C3C02" w:rsidRDefault="002F09B2" w:rsidP="002F09B2">
            <w:pPr>
              <w:pStyle w:val="listparagraph"/>
              <w:numPr>
                <w:ilvl w:val="0"/>
                <w:numId w:val="41"/>
              </w:numPr>
              <w:spacing w:before="120" w:beforeAutospacing="0" w:after="12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FFS the maximum number of PUCCH cells</w:t>
            </w:r>
          </w:p>
          <w:p w:rsidR="002F09B2" w:rsidRPr="003C3C02" w:rsidRDefault="002F09B2" w:rsidP="002F09B2">
            <w:pPr>
              <w:pStyle w:val="listparagraph"/>
              <w:numPr>
                <w:ilvl w:val="0"/>
                <w:numId w:val="41"/>
              </w:numPr>
              <w:spacing w:before="120" w:beforeAutospacing="0" w:after="120" w:afterAutospacing="0"/>
              <w:rPr>
                <w:rFonts w:ascii="Times New Roman" w:hAnsi="Times New Roman" w:cs="Times New Roman"/>
                <w:sz w:val="21"/>
                <w:szCs w:val="21"/>
              </w:rPr>
            </w:pPr>
            <w:r w:rsidRPr="003C3C02">
              <w:rPr>
                <w:rFonts w:ascii="Times New Roman" w:eastAsiaTheme="minorEastAsia" w:hAnsi="Times New Roman" w:cs="Times New Roman"/>
                <w:sz w:val="21"/>
                <w:szCs w:val="21"/>
              </w:rPr>
              <w:t>FFS whether and how to support joint operation of dynamic and semi-static carrier switching for a UE</w:t>
            </w:r>
          </w:p>
          <w:p w:rsidR="002F09B2" w:rsidRPr="003C3C02" w:rsidRDefault="002F09B2" w:rsidP="002F09B2">
            <w:pPr>
              <w:pStyle w:val="listparagraph"/>
              <w:numPr>
                <w:ilvl w:val="0"/>
                <w:numId w:val="41"/>
              </w:numPr>
              <w:spacing w:before="120" w:beforeAutospacing="0" w:after="120" w:afterAutospacing="0"/>
              <w:rPr>
                <w:sz w:val="21"/>
                <w:szCs w:val="21"/>
              </w:rPr>
            </w:pPr>
            <w:r w:rsidRPr="003C3C02">
              <w:rPr>
                <w:rFonts w:ascii="Times New Roman" w:eastAsiaTheme="minorEastAsia" w:hAnsi="Times New Roman" w:cs="Times New Roman"/>
                <w:sz w:val="21"/>
                <w:szCs w:val="21"/>
              </w:rPr>
              <w:t>FFS whether and how to support joint operation of PUCCH carrier switching and SPS HARQ-ACK deferral</w:t>
            </w:r>
          </w:p>
          <w:p w:rsidR="002F09B2" w:rsidRPr="003C3C02" w:rsidRDefault="002F09B2" w:rsidP="005F05C4">
            <w:pPr>
              <w:spacing w:before="120" w:after="120"/>
              <w:rPr>
                <w:sz w:val="21"/>
                <w:szCs w:val="21"/>
                <w:highlight w:val="green"/>
              </w:rPr>
            </w:pPr>
            <w:r w:rsidRPr="003C3C02">
              <w:rPr>
                <w:sz w:val="21"/>
                <w:szCs w:val="21"/>
                <w:highlight w:val="green"/>
              </w:rPr>
              <w:t>Agreement:</w:t>
            </w:r>
            <w:r w:rsidRPr="003C3C02">
              <w:rPr>
                <w:sz w:val="21"/>
                <w:szCs w:val="21"/>
              </w:rPr>
              <w:t xml:space="preserve"> For PUCCH carrier switching, the PUCCH resource configuration is per UL BWP (i.e. per candidate cell and UL BWP of that specific candidate cell).</w:t>
            </w:r>
            <w:r w:rsidRPr="003C3C02">
              <w:rPr>
                <w:sz w:val="21"/>
                <w:szCs w:val="21"/>
                <w:highlight w:val="green"/>
              </w:rPr>
              <w:t xml:space="preserve"> </w:t>
            </w:r>
          </w:p>
          <w:p w:rsidR="002F09B2" w:rsidRDefault="002F09B2" w:rsidP="005F05C4">
            <w:pPr>
              <w:spacing w:before="120" w:after="120"/>
              <w:rPr>
                <w:rFonts w:eastAsiaTheme="minorEastAsia"/>
                <w:lang w:eastAsia="zh-CN"/>
              </w:rPr>
            </w:pPr>
            <w:r w:rsidRPr="003C3C02">
              <w:rPr>
                <w:sz w:val="21"/>
                <w:szCs w:val="21"/>
                <w:highlight w:val="green"/>
              </w:rPr>
              <w:lastRenderedPageBreak/>
              <w:t>Agreement</w:t>
            </w:r>
            <w:r w:rsidRPr="003C3C02">
              <w:rPr>
                <w:sz w:val="21"/>
                <w:szCs w:val="21"/>
              </w:rPr>
              <w:t>: For PUCCH carrier switching based on dynamic indication in DCI scheduling a PUCCH (i.e. Alt. 1), the PDSCH to HARQ-ACK offset k1 is interpreted based on the numerology of the dynamically indicated target PUCCH cell.</w:t>
            </w:r>
          </w:p>
        </w:tc>
      </w:tr>
    </w:tbl>
    <w:p w:rsidR="002F09B2" w:rsidRDefault="002F09B2" w:rsidP="002F09B2">
      <w:pPr>
        <w:spacing w:before="120" w:after="120"/>
        <w:rPr>
          <w:rFonts w:eastAsiaTheme="minorEastAsia"/>
          <w:lang w:eastAsia="zh-CN"/>
        </w:rPr>
      </w:pPr>
      <w:r w:rsidRPr="008C521B">
        <w:rPr>
          <w:rFonts w:eastAsiaTheme="minorEastAsia"/>
          <w:lang w:eastAsia="zh-CN"/>
        </w:rPr>
        <w:lastRenderedPageBreak/>
        <w:t xml:space="preserve">In our understanding, the main motivation to introduce </w:t>
      </w:r>
      <w:r>
        <w:rPr>
          <w:rFonts w:eastAsiaTheme="minorEastAsia"/>
          <w:lang w:eastAsia="zh-CN"/>
        </w:rPr>
        <w:t xml:space="preserve">PUCCH carrier switching is to get </w:t>
      </w:r>
      <w:r w:rsidRPr="008C521B">
        <w:rPr>
          <w:rFonts w:eastAsiaTheme="minorEastAsia"/>
          <w:lang w:eastAsia="zh-CN"/>
        </w:rPr>
        <w:t>more available UL opportunities to reduce latency with the combination of different DL/UL configurations over carriers</w:t>
      </w:r>
      <w:r>
        <w:rPr>
          <w:rFonts w:eastAsiaTheme="minorEastAsia"/>
          <w:lang w:eastAsia="zh-CN"/>
        </w:rPr>
        <w:t xml:space="preserve">. For example, in the figure from our previous RAN1 paper [4], without PUCCH carrier switching, the HARQ-ACK for PDSCH in slot #1 on cell#1 can only be transmitted in slot #4 on the same cell due to UL/DL configuration. This is the case even from UE capability perspective the HARQ-ACK can be sent in </w:t>
      </w:r>
      <w:r w:rsidRPr="008C521B">
        <w:rPr>
          <w:rFonts w:eastAsiaTheme="minorEastAsia"/>
          <w:lang w:eastAsia="zh-CN"/>
        </w:rPr>
        <w:t xml:space="preserve">symbols 3~8 in slot </w:t>
      </w:r>
      <w:r>
        <w:rPr>
          <w:rFonts w:eastAsiaTheme="minorEastAsia"/>
          <w:lang w:eastAsia="zh-CN"/>
        </w:rPr>
        <w:t>#</w:t>
      </w:r>
      <w:r w:rsidRPr="008C521B">
        <w:rPr>
          <w:rFonts w:eastAsiaTheme="minorEastAsia"/>
          <w:lang w:eastAsia="zh-CN"/>
        </w:rPr>
        <w:t>2</w:t>
      </w:r>
      <w:r>
        <w:rPr>
          <w:rFonts w:eastAsiaTheme="minorEastAsia"/>
          <w:lang w:eastAsia="zh-CN"/>
        </w:rPr>
        <w:t xml:space="preserve">, and this would introduce a </w:t>
      </w:r>
      <w:r w:rsidRPr="008C521B">
        <w:rPr>
          <w:rFonts w:eastAsiaTheme="minorEastAsia"/>
          <w:lang w:eastAsia="zh-CN"/>
        </w:rPr>
        <w:t>0.32ms additional latency is introduced just for the HARQ-ACK feedback</w:t>
      </w:r>
      <w:r>
        <w:rPr>
          <w:rFonts w:eastAsiaTheme="minorEastAsia"/>
          <w:lang w:eastAsia="zh-CN"/>
        </w:rPr>
        <w:t>.</w:t>
      </w:r>
    </w:p>
    <w:p w:rsidR="002F09B2" w:rsidRPr="008C521B" w:rsidRDefault="002F09B2" w:rsidP="002F09B2">
      <w:pPr>
        <w:spacing w:before="120" w:after="120"/>
        <w:rPr>
          <w:rFonts w:eastAsiaTheme="minorEastAsia"/>
          <w:lang w:eastAsia="zh-CN"/>
        </w:rPr>
      </w:pPr>
      <w:r>
        <w:rPr>
          <w:rFonts w:eastAsiaTheme="minorEastAsia"/>
          <w:lang w:eastAsia="zh-CN"/>
        </w:rPr>
        <w:t xml:space="preserve">With PUCCH carrier switching, the HARQ-ACK for the concerned PDSCH can be scheduled or configured on another cell#2 with an earlier available PUCCH resource. For example, </w:t>
      </w:r>
      <w:r>
        <w:rPr>
          <w:lang w:val="fi-FI" w:eastAsia="zh-CN"/>
        </w:rPr>
        <w:t>the UE could send feedback in symbol 8 in slot 0 of cell#2, which would obviously decrease the latency compared to using symbol#3~8 in slot#4 of cell#1.</w:t>
      </w:r>
    </w:p>
    <w:p w:rsidR="002F09B2" w:rsidRDefault="002F09B2" w:rsidP="002F09B2">
      <w:pPr>
        <w:spacing w:before="120" w:after="120"/>
        <w:jc w:val="center"/>
        <w:rPr>
          <w:lang w:val="fi-FI" w:eastAsia="zh-CN"/>
        </w:rPr>
      </w:pPr>
      <w:r>
        <w:rPr>
          <w:noProof/>
          <w:lang w:val="en-US" w:eastAsia="zh-CN"/>
        </w:rPr>
        <w:drawing>
          <wp:inline distT="0" distB="0" distL="0" distR="0" wp14:anchorId="59C1CBF9" wp14:editId="7ABAF2BC">
            <wp:extent cx="4420870" cy="15081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0870" cy="1508125"/>
                    </a:xfrm>
                    <a:prstGeom prst="rect">
                      <a:avLst/>
                    </a:prstGeom>
                    <a:noFill/>
                    <a:ln>
                      <a:noFill/>
                    </a:ln>
                  </pic:spPr>
                </pic:pic>
              </a:graphicData>
            </a:graphic>
          </wp:inline>
        </w:drawing>
      </w:r>
    </w:p>
    <w:p w:rsidR="002F09B2" w:rsidRPr="008C521B" w:rsidRDefault="002F09B2" w:rsidP="002F09B2">
      <w:pPr>
        <w:spacing w:before="120" w:after="120"/>
        <w:jc w:val="center"/>
        <w:rPr>
          <w:rFonts w:eastAsiaTheme="minorEastAsia"/>
          <w:b/>
          <w:lang w:val="en-US" w:eastAsia="zh-CN"/>
        </w:rPr>
      </w:pPr>
      <w:r w:rsidRPr="008C521B">
        <w:rPr>
          <w:rFonts w:eastAsiaTheme="minorEastAsia"/>
          <w:b/>
          <w:lang w:val="en-US" w:eastAsia="zh-CN"/>
        </w:rPr>
        <w:t>Figure 1</w:t>
      </w:r>
      <w:r>
        <w:rPr>
          <w:rFonts w:eastAsiaTheme="minorEastAsia"/>
          <w:b/>
          <w:lang w:val="en-US" w:eastAsia="zh-CN"/>
        </w:rPr>
        <w:t>:</w:t>
      </w:r>
      <w:r w:rsidRPr="008C521B">
        <w:rPr>
          <w:rFonts w:eastAsiaTheme="minorEastAsia"/>
          <w:b/>
          <w:lang w:val="en-US" w:eastAsia="zh-CN"/>
        </w:rPr>
        <w:t xml:space="preserve"> An example for PUCCH </w:t>
      </w:r>
      <w:r>
        <w:rPr>
          <w:rFonts w:eastAsiaTheme="minorEastAsia"/>
          <w:b/>
          <w:lang w:val="en-US" w:eastAsia="zh-CN"/>
        </w:rPr>
        <w:t>carrier switching</w:t>
      </w:r>
    </w:p>
    <w:p w:rsidR="002F09B2" w:rsidRDefault="002F09B2" w:rsidP="002F09B2">
      <w:pPr>
        <w:spacing w:before="120" w:after="120"/>
        <w:rPr>
          <w:rFonts w:eastAsiaTheme="minorEastAsia"/>
          <w:lang w:val="en-US" w:eastAsia="zh-CN"/>
        </w:rPr>
      </w:pPr>
      <w:r>
        <w:rPr>
          <w:rFonts w:eastAsiaTheme="minorEastAsia"/>
          <w:lang w:val="en-US" w:eastAsia="zh-CN"/>
        </w:rPr>
        <w:t>Although the detailed mechanism for PUCCH carrier switching is under development in RAN1, RAN4 can start discussing whether and what requirements are to be defined. We have made some initial analysis as follows:</w:t>
      </w:r>
    </w:p>
    <w:p w:rsidR="002F09B2" w:rsidRDefault="002F09B2" w:rsidP="002F09B2">
      <w:pPr>
        <w:pStyle w:val="af8"/>
        <w:numPr>
          <w:ilvl w:val="0"/>
          <w:numId w:val="43"/>
        </w:numPr>
        <w:spacing w:before="120" w:after="120"/>
        <w:rPr>
          <w:rFonts w:eastAsiaTheme="minorEastAsia"/>
          <w:lang w:eastAsia="zh-CN"/>
        </w:rPr>
      </w:pPr>
      <w:r w:rsidRPr="00F235E9">
        <w:rPr>
          <w:rFonts w:eastAsiaTheme="minorEastAsia"/>
          <w:lang w:eastAsia="zh-CN"/>
        </w:rPr>
        <w:t>There is no RF re-tuning due to PUCCH carrier switching</w:t>
      </w:r>
    </w:p>
    <w:p w:rsidR="002F09B2" w:rsidRDefault="002F09B2" w:rsidP="002F09B2">
      <w:pPr>
        <w:pStyle w:val="af8"/>
        <w:spacing w:before="120" w:after="120"/>
        <w:ind w:left="360"/>
        <w:rPr>
          <w:rFonts w:eastAsiaTheme="minorEastAsia"/>
          <w:lang w:eastAsia="zh-CN"/>
        </w:rPr>
      </w:pPr>
      <w:r>
        <w:rPr>
          <w:rFonts w:eastAsiaTheme="minorEastAsia"/>
          <w:lang w:eastAsia="zh-CN"/>
        </w:rPr>
        <w:t>Unlike SRS carrier switching where UE needs to re-tune the RF to the carrier without PUSCH, or BWP switching where UE needs to re-tune the RF center frequency or BW, PUCCH carrier switching is among active serving cells with UL PUCCH resource configured per UL BWP. This means the RF chain can be readily usable when UE needs to transmit PUCCH from an active BWP of an active serving cell.</w:t>
      </w:r>
    </w:p>
    <w:p w:rsidR="002F09B2" w:rsidRDefault="002F09B2" w:rsidP="002F09B2">
      <w:pPr>
        <w:pStyle w:val="af8"/>
        <w:numPr>
          <w:ilvl w:val="0"/>
          <w:numId w:val="43"/>
        </w:numPr>
        <w:spacing w:before="120" w:after="120"/>
        <w:rPr>
          <w:rFonts w:eastAsiaTheme="minorEastAsia"/>
          <w:lang w:eastAsia="zh-CN"/>
        </w:rPr>
      </w:pPr>
      <w:r w:rsidRPr="00F235E9">
        <w:rPr>
          <w:rFonts w:eastAsiaTheme="minorEastAsia"/>
          <w:lang w:eastAsia="zh-CN"/>
        </w:rPr>
        <w:t>There is no</w:t>
      </w:r>
      <w:r>
        <w:rPr>
          <w:rFonts w:eastAsiaTheme="minorEastAsia"/>
          <w:lang w:eastAsia="zh-CN"/>
        </w:rPr>
        <w:t xml:space="preserve"> measurement or time tracking </w:t>
      </w:r>
      <w:r w:rsidRPr="00F235E9">
        <w:rPr>
          <w:rFonts w:eastAsiaTheme="minorEastAsia"/>
          <w:lang w:eastAsia="zh-CN"/>
        </w:rPr>
        <w:t>due to PUCCH carrier switching</w:t>
      </w:r>
    </w:p>
    <w:p w:rsidR="002F09B2" w:rsidRDefault="002F09B2" w:rsidP="002F09B2">
      <w:pPr>
        <w:pStyle w:val="af8"/>
        <w:spacing w:before="120" w:after="120"/>
        <w:ind w:left="360"/>
        <w:rPr>
          <w:rFonts w:eastAsiaTheme="minorEastAsia"/>
          <w:lang w:eastAsia="zh-CN"/>
        </w:rPr>
      </w:pPr>
      <w:r>
        <w:rPr>
          <w:rFonts w:eastAsiaTheme="minorEastAsia"/>
          <w:lang w:eastAsia="zh-CN"/>
        </w:rPr>
        <w:t>Unlike UL spatial information switching where UE may not have fine timing or Rx beam information to make the transmission, UE should maintain the timing and beam information for the active serving cell no matter if the serving cell is configured with PUCCH resource or not. This means when UE needs to transmit PUCCH from an active serving cell, it may not need additional time to obtain the timing or beam information</w:t>
      </w:r>
    </w:p>
    <w:p w:rsidR="002F09B2" w:rsidRDefault="002F09B2" w:rsidP="002F09B2">
      <w:pPr>
        <w:pStyle w:val="af8"/>
        <w:numPr>
          <w:ilvl w:val="0"/>
          <w:numId w:val="43"/>
        </w:numPr>
        <w:spacing w:before="120" w:after="120"/>
        <w:rPr>
          <w:rFonts w:eastAsiaTheme="minorEastAsia"/>
          <w:lang w:eastAsia="zh-CN"/>
        </w:rPr>
      </w:pPr>
      <w:r w:rsidRPr="00F235E9">
        <w:rPr>
          <w:rFonts w:eastAsiaTheme="minorEastAsia"/>
          <w:lang w:eastAsia="zh-CN"/>
        </w:rPr>
        <w:t xml:space="preserve">There is </w:t>
      </w:r>
      <w:r>
        <w:rPr>
          <w:rFonts w:eastAsiaTheme="minorEastAsia"/>
          <w:lang w:eastAsia="zh-CN"/>
        </w:rPr>
        <w:t xml:space="preserve">baseband adjustment </w:t>
      </w:r>
      <w:r w:rsidRPr="00F235E9">
        <w:rPr>
          <w:rFonts w:eastAsiaTheme="minorEastAsia"/>
          <w:lang w:eastAsia="zh-CN"/>
        </w:rPr>
        <w:t>due to PUCCH carrier switching</w:t>
      </w:r>
    </w:p>
    <w:p w:rsidR="002F09B2" w:rsidRDefault="002F09B2" w:rsidP="002F09B2">
      <w:pPr>
        <w:pStyle w:val="af8"/>
        <w:spacing w:before="120" w:after="120"/>
        <w:ind w:left="360"/>
        <w:rPr>
          <w:rFonts w:eastAsiaTheme="minorEastAsia"/>
          <w:lang w:eastAsia="zh-CN"/>
        </w:rPr>
      </w:pPr>
      <w:r>
        <w:rPr>
          <w:rFonts w:eastAsiaTheme="minorEastAsia"/>
          <w:lang w:eastAsia="zh-CN"/>
        </w:rPr>
        <w:t>Like BWP switching, UE needs to adjustment the PHY to transmit HARQ-ACK from different serving cells. For BWP switching, the PHY resources may need to be reconfigured e.g. due to applying new SCS or new BW, but for PUCCH carrier switching, the PHY resources may not need to be changed, so we understand there may be no need for additional time (on top of the existing PDSCH processing time) for BB adjustment in PUCCH carrier switching.</w:t>
      </w:r>
    </w:p>
    <w:p w:rsidR="002F09B2" w:rsidRPr="00275158" w:rsidRDefault="002F09B2" w:rsidP="002F09B2">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above analysis, we think there may be no need for RAN4 to define requirements for PUCCH carrier switching. Since there is no requirement to be defined, there is also no need to define any RRM test case, which would be pure functional hence out of RAN4 scope</w:t>
      </w:r>
    </w:p>
    <w:p w:rsidR="002F09B2" w:rsidRPr="00DC0BBD" w:rsidRDefault="002F09B2" w:rsidP="002F09B2">
      <w:pPr>
        <w:spacing w:before="120" w:after="120"/>
        <w:rPr>
          <w:rFonts w:eastAsiaTheme="minorEastAsia"/>
          <w:b/>
          <w:lang w:val="en-US" w:eastAsia="zh-CN"/>
        </w:rPr>
      </w:pPr>
      <w:r w:rsidRPr="00DC0BBD">
        <w:rPr>
          <w:rFonts w:eastAsiaTheme="minorEastAsia"/>
          <w:b/>
          <w:lang w:val="en-US" w:eastAsia="zh-CN"/>
        </w:rPr>
        <w:t xml:space="preserve">Proposal: RAN4 </w:t>
      </w:r>
      <w:r>
        <w:rPr>
          <w:rFonts w:eastAsiaTheme="minorEastAsia"/>
          <w:b/>
          <w:lang w:val="en-US" w:eastAsia="zh-CN"/>
        </w:rPr>
        <w:t>not to define RRM requirement or test case for PUCCH carrier switching</w:t>
      </w:r>
      <w:r w:rsidRPr="00DC0BBD">
        <w:rPr>
          <w:rFonts w:eastAsiaTheme="minorEastAsia"/>
          <w:b/>
          <w:lang w:val="en-US" w:eastAsia="zh-CN"/>
        </w:rPr>
        <w:t>.</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6B7527">
        <w:rPr>
          <w:rFonts w:eastAsia="宋体"/>
          <w:lang w:eastAsia="zh-CN"/>
        </w:rPr>
        <w:t>our views on</w:t>
      </w:r>
      <w:r w:rsidR="002F09B2" w:rsidRPr="002F09B2">
        <w:rPr>
          <w:rFonts w:eastAsia="宋体"/>
          <w:lang w:eastAsia="zh-CN"/>
        </w:rPr>
        <w:t xml:space="preserve"> </w:t>
      </w:r>
      <w:r w:rsidR="002F09B2">
        <w:rPr>
          <w:rFonts w:eastAsia="宋体"/>
          <w:lang w:eastAsia="zh-CN"/>
        </w:rPr>
        <w:t xml:space="preserve">RRM impacts due to </w:t>
      </w:r>
      <w:r w:rsidR="002F09B2" w:rsidRPr="00576FBF">
        <w:rPr>
          <w:rFonts w:eastAsia="宋体"/>
          <w:lang w:eastAsia="zh-CN"/>
        </w:rPr>
        <w:t>PUCCH carrier switching</w:t>
      </w:r>
      <w:r w:rsidR="00210C78">
        <w:rPr>
          <w:rFonts w:eastAsia="宋体"/>
          <w:lang w:eastAsia="zh-CN"/>
        </w:rPr>
        <w:t>.</w:t>
      </w:r>
    </w:p>
    <w:p w:rsidR="002F09B2" w:rsidRPr="00DC0BBD" w:rsidRDefault="002F09B2" w:rsidP="002F09B2">
      <w:pPr>
        <w:spacing w:before="120" w:after="120"/>
        <w:rPr>
          <w:rFonts w:eastAsiaTheme="minorEastAsia"/>
          <w:b/>
          <w:lang w:val="en-US" w:eastAsia="zh-CN"/>
        </w:rPr>
      </w:pPr>
      <w:r w:rsidRPr="00DC0BBD">
        <w:rPr>
          <w:rFonts w:eastAsiaTheme="minorEastAsia"/>
          <w:b/>
          <w:lang w:val="en-US" w:eastAsia="zh-CN"/>
        </w:rPr>
        <w:t xml:space="preserve">Proposal: RAN4 </w:t>
      </w:r>
      <w:r>
        <w:rPr>
          <w:rFonts w:eastAsiaTheme="minorEastAsia"/>
          <w:b/>
          <w:lang w:val="en-US" w:eastAsia="zh-CN"/>
        </w:rPr>
        <w:t>not to define RRM requirement or test case for PUCCH carrier switching</w:t>
      </w:r>
      <w:r w:rsidRPr="00DC0BBD">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F212F5" w:rsidRDefault="00F212F5" w:rsidP="00F212F5">
      <w:pPr>
        <w:numPr>
          <w:ilvl w:val="0"/>
          <w:numId w:val="5"/>
        </w:numPr>
        <w:spacing w:before="120" w:after="120"/>
        <w:rPr>
          <w:rFonts w:eastAsia="宋体"/>
          <w:lang w:eastAsia="zh-CN"/>
        </w:rPr>
      </w:pPr>
      <w:r w:rsidRPr="00E8005A">
        <w:rPr>
          <w:rFonts w:eastAsia="宋体"/>
          <w:lang w:eastAsia="zh-CN"/>
        </w:rPr>
        <w:t>R4-21</w:t>
      </w:r>
      <w:r>
        <w:rPr>
          <w:rFonts w:eastAsia="宋体"/>
          <w:lang w:eastAsia="zh-CN"/>
        </w:rPr>
        <w:t>15371</w:t>
      </w:r>
      <w:r w:rsidRPr="00E8005A">
        <w:rPr>
          <w:rFonts w:eastAsia="宋体"/>
          <w:lang w:eastAsia="zh-CN"/>
        </w:rPr>
        <w:t xml:space="preserve">, </w:t>
      </w:r>
      <w:r w:rsidRPr="00F212F5">
        <w:rPr>
          <w:rFonts w:eastAsia="宋体"/>
          <w:lang w:val="en-US" w:eastAsia="zh-CN"/>
        </w:rPr>
        <w:t>WF on NR_IIOT_URLLC_enh_RRM</w:t>
      </w:r>
      <w:r w:rsidRPr="00E8005A">
        <w:rPr>
          <w:rFonts w:eastAsia="宋体" w:hint="eastAsia"/>
          <w:lang w:val="en-US" w:eastAsia="zh-CN"/>
        </w:rPr>
        <w:t>,</w:t>
      </w:r>
      <w:r w:rsidRPr="00E8005A">
        <w:rPr>
          <w:rFonts w:asciiTheme="minorHAnsi" w:eastAsiaTheme="minorEastAsia" w:hAnsi="Calibri" w:cstheme="minorBidi"/>
          <w:color w:val="000000" w:themeColor="text1"/>
          <w:kern w:val="24"/>
          <w:sz w:val="48"/>
          <w:szCs w:val="48"/>
          <w:lang w:val="en-US" w:eastAsia="zh-CN"/>
        </w:rPr>
        <w:t xml:space="preserve"> </w:t>
      </w:r>
      <w:r w:rsidRPr="00E8005A">
        <w:rPr>
          <w:rFonts w:eastAsia="宋体"/>
          <w:lang w:eastAsia="zh-CN"/>
        </w:rPr>
        <w:t>Nokia, Nokia Shanghai Bell</w:t>
      </w:r>
    </w:p>
    <w:sectPr w:rsidR="00F212F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7CB" w:rsidRDefault="008737CB">
      <w:pPr>
        <w:spacing w:before="120" w:after="120"/>
      </w:pPr>
      <w:r>
        <w:separator/>
      </w:r>
    </w:p>
  </w:endnote>
  <w:endnote w:type="continuationSeparator" w:id="0">
    <w:p w:rsidR="008737CB" w:rsidRDefault="008737C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4B" w:rsidRDefault="00B36D4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36D4B" w:rsidRDefault="00B36D4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4B" w:rsidRDefault="00B36D4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270F5">
      <w:rPr>
        <w:rStyle w:val="af1"/>
      </w:rPr>
      <w:t>3</w:t>
    </w:r>
    <w:r>
      <w:rPr>
        <w:rStyle w:val="af1"/>
      </w:rPr>
      <w:fldChar w:fldCharType="end"/>
    </w:r>
  </w:p>
  <w:p w:rsidR="00B36D4B" w:rsidRDefault="00B36D4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7CB" w:rsidRDefault="008737CB">
      <w:pPr>
        <w:spacing w:before="120" w:after="120"/>
      </w:pPr>
      <w:r>
        <w:separator/>
      </w:r>
    </w:p>
  </w:footnote>
  <w:footnote w:type="continuationSeparator" w:id="0">
    <w:p w:rsidR="008737CB" w:rsidRDefault="008737C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5pt;height:74.7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10A3E"/>
    <w:multiLevelType w:val="hybridMultilevel"/>
    <w:tmpl w:val="54BC0564"/>
    <w:lvl w:ilvl="0" w:tplc="44AA9392">
      <w:start w:val="1"/>
      <w:numFmt w:val="bullet"/>
      <w:lvlText w:val="•"/>
      <w:lvlJc w:val="left"/>
      <w:pPr>
        <w:tabs>
          <w:tab w:val="num" w:pos="720"/>
        </w:tabs>
        <w:ind w:left="720" w:hanging="360"/>
      </w:pPr>
      <w:rPr>
        <w:rFonts w:ascii="Arial" w:hAnsi="Arial" w:hint="default"/>
      </w:rPr>
    </w:lvl>
    <w:lvl w:ilvl="1" w:tplc="AC7227FE" w:tentative="1">
      <w:start w:val="1"/>
      <w:numFmt w:val="bullet"/>
      <w:lvlText w:val="•"/>
      <w:lvlJc w:val="left"/>
      <w:pPr>
        <w:tabs>
          <w:tab w:val="num" w:pos="1440"/>
        </w:tabs>
        <w:ind w:left="1440" w:hanging="360"/>
      </w:pPr>
      <w:rPr>
        <w:rFonts w:ascii="Arial" w:hAnsi="Arial" w:hint="default"/>
      </w:rPr>
    </w:lvl>
    <w:lvl w:ilvl="2" w:tplc="BBA88BB8" w:tentative="1">
      <w:start w:val="1"/>
      <w:numFmt w:val="bullet"/>
      <w:lvlText w:val="•"/>
      <w:lvlJc w:val="left"/>
      <w:pPr>
        <w:tabs>
          <w:tab w:val="num" w:pos="2160"/>
        </w:tabs>
        <w:ind w:left="2160" w:hanging="360"/>
      </w:pPr>
      <w:rPr>
        <w:rFonts w:ascii="Arial" w:hAnsi="Arial" w:hint="default"/>
      </w:rPr>
    </w:lvl>
    <w:lvl w:ilvl="3" w:tplc="859E7106" w:tentative="1">
      <w:start w:val="1"/>
      <w:numFmt w:val="bullet"/>
      <w:lvlText w:val="•"/>
      <w:lvlJc w:val="left"/>
      <w:pPr>
        <w:tabs>
          <w:tab w:val="num" w:pos="2880"/>
        </w:tabs>
        <w:ind w:left="2880" w:hanging="360"/>
      </w:pPr>
      <w:rPr>
        <w:rFonts w:ascii="Arial" w:hAnsi="Arial" w:hint="default"/>
      </w:rPr>
    </w:lvl>
    <w:lvl w:ilvl="4" w:tplc="88BC0824" w:tentative="1">
      <w:start w:val="1"/>
      <w:numFmt w:val="bullet"/>
      <w:lvlText w:val="•"/>
      <w:lvlJc w:val="left"/>
      <w:pPr>
        <w:tabs>
          <w:tab w:val="num" w:pos="3600"/>
        </w:tabs>
        <w:ind w:left="3600" w:hanging="360"/>
      </w:pPr>
      <w:rPr>
        <w:rFonts w:ascii="Arial" w:hAnsi="Arial" w:hint="default"/>
      </w:rPr>
    </w:lvl>
    <w:lvl w:ilvl="5" w:tplc="BDB8C8A0" w:tentative="1">
      <w:start w:val="1"/>
      <w:numFmt w:val="bullet"/>
      <w:lvlText w:val="•"/>
      <w:lvlJc w:val="left"/>
      <w:pPr>
        <w:tabs>
          <w:tab w:val="num" w:pos="4320"/>
        </w:tabs>
        <w:ind w:left="4320" w:hanging="360"/>
      </w:pPr>
      <w:rPr>
        <w:rFonts w:ascii="Arial" w:hAnsi="Arial" w:hint="default"/>
      </w:rPr>
    </w:lvl>
    <w:lvl w:ilvl="6" w:tplc="3A6CA632" w:tentative="1">
      <w:start w:val="1"/>
      <w:numFmt w:val="bullet"/>
      <w:lvlText w:val="•"/>
      <w:lvlJc w:val="left"/>
      <w:pPr>
        <w:tabs>
          <w:tab w:val="num" w:pos="5040"/>
        </w:tabs>
        <w:ind w:left="5040" w:hanging="360"/>
      </w:pPr>
      <w:rPr>
        <w:rFonts w:ascii="Arial" w:hAnsi="Arial" w:hint="default"/>
      </w:rPr>
    </w:lvl>
    <w:lvl w:ilvl="7" w:tplc="3D9CF052" w:tentative="1">
      <w:start w:val="1"/>
      <w:numFmt w:val="bullet"/>
      <w:lvlText w:val="•"/>
      <w:lvlJc w:val="left"/>
      <w:pPr>
        <w:tabs>
          <w:tab w:val="num" w:pos="5760"/>
        </w:tabs>
        <w:ind w:left="5760" w:hanging="360"/>
      </w:pPr>
      <w:rPr>
        <w:rFonts w:ascii="Arial" w:hAnsi="Arial" w:hint="default"/>
      </w:rPr>
    </w:lvl>
    <w:lvl w:ilvl="8" w:tplc="3E9A05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2F574A"/>
    <w:multiLevelType w:val="hybridMultilevel"/>
    <w:tmpl w:val="D58AA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852A2E"/>
    <w:multiLevelType w:val="hybridMultilevel"/>
    <w:tmpl w:val="F042B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267F7F"/>
    <w:multiLevelType w:val="hybridMultilevel"/>
    <w:tmpl w:val="BBE86A02"/>
    <w:lvl w:ilvl="0" w:tplc="23ACCC3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77C0219"/>
    <w:multiLevelType w:val="multilevel"/>
    <w:tmpl w:val="39249E8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B6EAC"/>
    <w:multiLevelType w:val="hybridMultilevel"/>
    <w:tmpl w:val="4C2ED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1536BA"/>
    <w:multiLevelType w:val="hybridMultilevel"/>
    <w:tmpl w:val="6FA68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4147CC"/>
    <w:multiLevelType w:val="hybridMultilevel"/>
    <w:tmpl w:val="B642A0F0"/>
    <w:lvl w:ilvl="0" w:tplc="F572C4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E8C2431"/>
    <w:multiLevelType w:val="hybridMultilevel"/>
    <w:tmpl w:val="53323034"/>
    <w:lvl w:ilvl="0" w:tplc="BBB0FAE6">
      <w:start w:val="1"/>
      <w:numFmt w:val="bullet"/>
      <w:lvlText w:val="•"/>
      <w:lvlJc w:val="left"/>
      <w:pPr>
        <w:tabs>
          <w:tab w:val="num" w:pos="720"/>
        </w:tabs>
        <w:ind w:left="720" w:hanging="360"/>
      </w:pPr>
      <w:rPr>
        <w:rFonts w:ascii="Arial" w:hAnsi="Arial" w:hint="default"/>
      </w:rPr>
    </w:lvl>
    <w:lvl w:ilvl="1" w:tplc="F072CEC4">
      <w:start w:val="1"/>
      <w:numFmt w:val="bullet"/>
      <w:lvlText w:val="•"/>
      <w:lvlJc w:val="left"/>
      <w:pPr>
        <w:tabs>
          <w:tab w:val="num" w:pos="1440"/>
        </w:tabs>
        <w:ind w:left="1440" w:hanging="360"/>
      </w:pPr>
      <w:rPr>
        <w:rFonts w:ascii="Arial" w:hAnsi="Arial" w:hint="default"/>
      </w:rPr>
    </w:lvl>
    <w:lvl w:ilvl="2" w:tplc="BB8A4E24">
      <w:start w:val="1"/>
      <w:numFmt w:val="bullet"/>
      <w:lvlText w:val="•"/>
      <w:lvlJc w:val="left"/>
      <w:pPr>
        <w:tabs>
          <w:tab w:val="num" w:pos="2160"/>
        </w:tabs>
        <w:ind w:left="2160" w:hanging="360"/>
      </w:pPr>
      <w:rPr>
        <w:rFonts w:ascii="Arial" w:hAnsi="Arial" w:hint="default"/>
      </w:rPr>
    </w:lvl>
    <w:lvl w:ilvl="3" w:tplc="0E08B70A" w:tentative="1">
      <w:start w:val="1"/>
      <w:numFmt w:val="bullet"/>
      <w:lvlText w:val="•"/>
      <w:lvlJc w:val="left"/>
      <w:pPr>
        <w:tabs>
          <w:tab w:val="num" w:pos="2880"/>
        </w:tabs>
        <w:ind w:left="2880" w:hanging="360"/>
      </w:pPr>
      <w:rPr>
        <w:rFonts w:ascii="Arial" w:hAnsi="Arial" w:hint="default"/>
      </w:rPr>
    </w:lvl>
    <w:lvl w:ilvl="4" w:tplc="A3EE68BA" w:tentative="1">
      <w:start w:val="1"/>
      <w:numFmt w:val="bullet"/>
      <w:lvlText w:val="•"/>
      <w:lvlJc w:val="left"/>
      <w:pPr>
        <w:tabs>
          <w:tab w:val="num" w:pos="3600"/>
        </w:tabs>
        <w:ind w:left="3600" w:hanging="360"/>
      </w:pPr>
      <w:rPr>
        <w:rFonts w:ascii="Arial" w:hAnsi="Arial" w:hint="default"/>
      </w:rPr>
    </w:lvl>
    <w:lvl w:ilvl="5" w:tplc="295271FC" w:tentative="1">
      <w:start w:val="1"/>
      <w:numFmt w:val="bullet"/>
      <w:lvlText w:val="•"/>
      <w:lvlJc w:val="left"/>
      <w:pPr>
        <w:tabs>
          <w:tab w:val="num" w:pos="4320"/>
        </w:tabs>
        <w:ind w:left="4320" w:hanging="360"/>
      </w:pPr>
      <w:rPr>
        <w:rFonts w:ascii="Arial" w:hAnsi="Arial" w:hint="default"/>
      </w:rPr>
    </w:lvl>
    <w:lvl w:ilvl="6" w:tplc="66F8BEF6" w:tentative="1">
      <w:start w:val="1"/>
      <w:numFmt w:val="bullet"/>
      <w:lvlText w:val="•"/>
      <w:lvlJc w:val="left"/>
      <w:pPr>
        <w:tabs>
          <w:tab w:val="num" w:pos="5040"/>
        </w:tabs>
        <w:ind w:left="5040" w:hanging="360"/>
      </w:pPr>
      <w:rPr>
        <w:rFonts w:ascii="Arial" w:hAnsi="Arial" w:hint="default"/>
      </w:rPr>
    </w:lvl>
    <w:lvl w:ilvl="7" w:tplc="8C841836" w:tentative="1">
      <w:start w:val="1"/>
      <w:numFmt w:val="bullet"/>
      <w:lvlText w:val="•"/>
      <w:lvlJc w:val="left"/>
      <w:pPr>
        <w:tabs>
          <w:tab w:val="num" w:pos="5760"/>
        </w:tabs>
        <w:ind w:left="5760" w:hanging="360"/>
      </w:pPr>
      <w:rPr>
        <w:rFonts w:ascii="Arial" w:hAnsi="Arial" w:hint="default"/>
      </w:rPr>
    </w:lvl>
    <w:lvl w:ilvl="8" w:tplc="28D26A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2"/>
  </w:num>
  <w:num w:numId="3">
    <w:abstractNumId w:val="35"/>
  </w:num>
  <w:num w:numId="4">
    <w:abstractNumId w:val="10"/>
  </w:num>
  <w:num w:numId="5">
    <w:abstractNumId w:val="18"/>
  </w:num>
  <w:num w:numId="6">
    <w:abstractNumId w:val="29"/>
  </w:num>
  <w:num w:numId="7">
    <w:abstractNumId w:val="24"/>
  </w:num>
  <w:num w:numId="8">
    <w:abstractNumId w:val="36"/>
    <w:lvlOverride w:ilvl="0">
      <w:startOverride w:val="1"/>
    </w:lvlOverride>
  </w:num>
  <w:num w:numId="9">
    <w:abstractNumId w:val="26"/>
  </w:num>
  <w:num w:numId="10">
    <w:abstractNumId w:val="19"/>
  </w:num>
  <w:num w:numId="11">
    <w:abstractNumId w:val="17"/>
  </w:num>
  <w:num w:numId="12">
    <w:abstractNumId w:val="38"/>
  </w:num>
  <w:num w:numId="13">
    <w:abstractNumId w:val="0"/>
  </w:num>
  <w:num w:numId="14">
    <w:abstractNumId w:val="23"/>
  </w:num>
  <w:num w:numId="15">
    <w:abstractNumId w:val="11"/>
  </w:num>
  <w:num w:numId="16">
    <w:abstractNumId w:val="22"/>
  </w:num>
  <w:num w:numId="17">
    <w:abstractNumId w:val="31"/>
  </w:num>
  <w:num w:numId="18">
    <w:abstractNumId w:val="12"/>
  </w:num>
  <w:num w:numId="19">
    <w:abstractNumId w:val="28"/>
  </w:num>
  <w:num w:numId="20">
    <w:abstractNumId w:val="21"/>
  </w:num>
  <w:num w:numId="21">
    <w:abstractNumId w:val="21"/>
  </w:num>
  <w:num w:numId="22">
    <w:abstractNumId w:val="25"/>
  </w:num>
  <w:num w:numId="23">
    <w:abstractNumId w:val="9"/>
  </w:num>
  <w:num w:numId="24">
    <w:abstractNumId w:val="21"/>
  </w:num>
  <w:num w:numId="25">
    <w:abstractNumId w:val="14"/>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
  </w:num>
  <w:num w:numId="29">
    <w:abstractNumId w:val="27"/>
  </w:num>
  <w:num w:numId="30">
    <w:abstractNumId w:val="33"/>
  </w:num>
  <w:num w:numId="31">
    <w:abstractNumId w:val="37"/>
  </w:num>
  <w:num w:numId="32">
    <w:abstractNumId w:val="7"/>
  </w:num>
  <w:num w:numId="33">
    <w:abstractNumId w:val="2"/>
  </w:num>
  <w:num w:numId="34">
    <w:abstractNumId w:val="16"/>
  </w:num>
  <w:num w:numId="35">
    <w:abstractNumId w:val="5"/>
  </w:num>
  <w:num w:numId="36">
    <w:abstractNumId w:val="34"/>
  </w:num>
  <w:num w:numId="37">
    <w:abstractNumId w:val="4"/>
  </w:num>
  <w:num w:numId="38">
    <w:abstractNumId w:val="20"/>
  </w:num>
  <w:num w:numId="39">
    <w:abstractNumId w:val="30"/>
  </w:num>
  <w:num w:numId="40">
    <w:abstractNumId w:val="13"/>
  </w:num>
  <w:num w:numId="41">
    <w:abstractNumId w:val="8"/>
  </w:num>
  <w:num w:numId="42">
    <w:abstractNumId w:val="3"/>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2F61"/>
    <w:rsid w:val="000A31EE"/>
    <w:rsid w:val="000A343E"/>
    <w:rsid w:val="000A3619"/>
    <w:rsid w:val="000A3A3D"/>
    <w:rsid w:val="000A3A69"/>
    <w:rsid w:val="000A3F33"/>
    <w:rsid w:val="000A412F"/>
    <w:rsid w:val="000A4511"/>
    <w:rsid w:val="000A4626"/>
    <w:rsid w:val="000A4864"/>
    <w:rsid w:val="000A49AE"/>
    <w:rsid w:val="000A5581"/>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4A3"/>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1FF"/>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CD3"/>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8B0"/>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C44"/>
    <w:rsid w:val="00270F79"/>
    <w:rsid w:val="0027102E"/>
    <w:rsid w:val="00271B1A"/>
    <w:rsid w:val="00272474"/>
    <w:rsid w:val="0027257D"/>
    <w:rsid w:val="00272622"/>
    <w:rsid w:val="0027283D"/>
    <w:rsid w:val="0027284E"/>
    <w:rsid w:val="002728B3"/>
    <w:rsid w:val="00272955"/>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9B2"/>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E84"/>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073"/>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2D2"/>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1F62"/>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76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527"/>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1776"/>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8AB"/>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37C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0D"/>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281"/>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47EA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2F21"/>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34"/>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12"/>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042"/>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37A"/>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38"/>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02E"/>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698"/>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511"/>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6D4B"/>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AA2"/>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D4"/>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A19"/>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47"/>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11"/>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70D"/>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0CF"/>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AE1"/>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EA3"/>
    <w:rsid w:val="00D27067"/>
    <w:rsid w:val="00D270F5"/>
    <w:rsid w:val="00D273DE"/>
    <w:rsid w:val="00D278F7"/>
    <w:rsid w:val="00D27ABA"/>
    <w:rsid w:val="00D27D3E"/>
    <w:rsid w:val="00D27D7E"/>
    <w:rsid w:val="00D300B3"/>
    <w:rsid w:val="00D3042D"/>
    <w:rsid w:val="00D309B6"/>
    <w:rsid w:val="00D30FC9"/>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B1"/>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0EB"/>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39E"/>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2"/>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1FC1"/>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2F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AA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paragraph"/>
    <w:basedOn w:val="a"/>
    <w:rsid w:val="002F09B2"/>
    <w:pPr>
      <w:spacing w:beforeLines="0" w:before="100" w:beforeAutospacing="1" w:afterLines="0"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0946750">
      <w:bodyDiv w:val="1"/>
      <w:marLeft w:val="0"/>
      <w:marRight w:val="0"/>
      <w:marTop w:val="0"/>
      <w:marBottom w:val="0"/>
      <w:divBdr>
        <w:top w:val="none" w:sz="0" w:space="0" w:color="auto"/>
        <w:left w:val="none" w:sz="0" w:space="0" w:color="auto"/>
        <w:bottom w:val="none" w:sz="0" w:space="0" w:color="auto"/>
        <w:right w:val="none" w:sz="0" w:space="0" w:color="auto"/>
      </w:divBdr>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B2F984-CDA6-4BB9-B7B1-A0471035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40114</TotalTime>
  <Pages>1</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115</cp:revision>
  <cp:lastPrinted>2009-04-22T06:01:00Z</cp:lastPrinted>
  <dcterms:created xsi:type="dcterms:W3CDTF">2020-07-07T06:33:00Z</dcterms:created>
  <dcterms:modified xsi:type="dcterms:W3CDTF">2021-10-22T18:08:00Z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